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pStyle w:val="Heading1"/>
        <w:tabs>
          <w:tab w:val="left" w:pos="961"/>
        </w:tabs>
        <w:spacing w:before="42"/>
        <w:ind w:left="0" w:right="358" w:firstLine="0"/>
        <w:jc w:val="center"/>
      </w:pPr>
      <w:r>
        <w:t>目</w:t>
        <w:tab/>
        <w:t>录</w:t>
      </w: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62"/>
        </w:rPr>
      </w:pPr>
    </w:p>
    <w:sdt>
      <w:sdtPr>
        <w:id w:val="135220445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2238"/>
            </w:tabs>
            <w:spacing w:before="0"/>
            <w:rPr>
              <w:rFonts w:ascii="Arial" w:eastAsia="Arial"/>
            </w:rPr>
          </w:pPr>
          <w:hyperlink w:anchor="_TOC_250019" w:history="1">
            <w:r>
              <w:rPr>
                <w:rFonts w:ascii="Arial" w:eastAsia="Arial"/>
              </w:rPr>
              <w:t>1</w:t>
            </w:r>
            <w:r>
              <w:t>、编制依据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2"/>
            <w:numPr>
              <w:ilvl w:val="1"/>
              <w:numId w:val="30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18" w:history="1">
            <w:r>
              <w:t>主要规范、规程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2"/>
            <w:numPr>
              <w:ilvl w:val="1"/>
              <w:numId w:val="30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17" w:history="1">
            <w:r>
              <w:t>有关法规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1"/>
            <w:tabs>
              <w:tab w:val="left" w:leader="dot" w:pos="12238"/>
            </w:tabs>
            <w:rPr>
              <w:rFonts w:ascii="Arial" w:eastAsia="Arial"/>
            </w:rPr>
          </w:pPr>
          <w:hyperlink w:anchor="_TOC_250016" w:history="1">
            <w:r>
              <w:rPr>
                <w:rFonts w:ascii="Arial" w:eastAsia="Arial"/>
              </w:rPr>
              <w:t>2</w:t>
            </w:r>
            <w:r>
              <w:t>、工程概况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1"/>
            <w:tabs>
              <w:tab w:val="left" w:leader="dot" w:pos="12238"/>
            </w:tabs>
            <w:rPr>
              <w:rFonts w:ascii="Arial" w:eastAsia="Arial"/>
            </w:rPr>
          </w:pPr>
          <w:hyperlink w:anchor="_TOC_250015" w:history="1">
            <w:r>
              <w:rPr>
                <w:rFonts w:ascii="Arial" w:eastAsia="Arial"/>
              </w:rPr>
              <w:t>3</w:t>
            </w:r>
            <w:r>
              <w:t>、施工总体部署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2"/>
            <w:numPr>
              <w:ilvl w:val="1"/>
              <w:numId w:val="29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14" w:history="1">
            <w:r>
              <w:t>组织机构建立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2"/>
            <w:numPr>
              <w:ilvl w:val="1"/>
              <w:numId w:val="29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13" w:history="1">
            <w:r>
              <w:t>管理目标</w:t>
              <w:tab/>
            </w:r>
            <w:r>
              <w:rPr>
                <w:rFonts w:ascii="Arial" w:eastAsia="Arial"/>
              </w:rPr>
              <w:t>5</w:t>
            </w:r>
          </w:hyperlink>
        </w:p>
        <w:p>
          <w:pPr>
            <w:pStyle w:val="TOC1"/>
            <w:tabs>
              <w:tab w:val="left" w:leader="dot" w:pos="12238"/>
            </w:tabs>
            <w:rPr>
              <w:rFonts w:ascii="Arial" w:eastAsia="Arial"/>
            </w:rPr>
          </w:pPr>
          <w:hyperlink w:anchor="_TOC_250012" w:history="1">
            <w:r>
              <w:rPr>
                <w:rFonts w:ascii="Arial" w:eastAsia="Arial"/>
              </w:rPr>
              <w:t>4</w:t>
            </w:r>
            <w:r>
              <w:t>、施工准备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2"/>
            <w:numPr>
              <w:ilvl w:val="1"/>
              <w:numId w:val="28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11" w:history="1">
            <w:r>
              <w:t>技术准备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2"/>
            <w:numPr>
              <w:ilvl w:val="1"/>
              <w:numId w:val="28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10" w:history="1">
            <w:r>
              <w:t>机具准备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2"/>
            <w:numPr>
              <w:ilvl w:val="1"/>
              <w:numId w:val="28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9" w:history="1">
            <w:r>
              <w:t>人员准备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2"/>
            <w:numPr>
              <w:ilvl w:val="1"/>
              <w:numId w:val="28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8" w:history="1">
            <w:r>
              <w:t>材料准备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2"/>
            <w:numPr>
              <w:ilvl w:val="1"/>
              <w:numId w:val="28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7" w:history="1">
            <w:r>
              <w:t>原材料要求</w:t>
              <w:tab/>
            </w:r>
            <w:r>
              <w:rPr>
                <w:rFonts w:ascii="Arial" w:eastAsia="Arial"/>
              </w:rPr>
              <w:t>8</w:t>
            </w:r>
          </w:hyperlink>
        </w:p>
        <w:p>
          <w:pPr>
            <w:pStyle w:val="TOC2"/>
            <w:numPr>
              <w:ilvl w:val="1"/>
              <w:numId w:val="28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6" w:history="1">
            <w:r>
              <w:t>配合比选定</w:t>
              <w:tab/>
            </w:r>
            <w:r>
              <w:rPr>
                <w:rFonts w:ascii="Arial" w:eastAsia="Arial"/>
              </w:rPr>
              <w:t>8</w:t>
            </w:r>
          </w:hyperlink>
        </w:p>
        <w:p>
          <w:pPr>
            <w:pStyle w:val="TOC2"/>
            <w:numPr>
              <w:ilvl w:val="1"/>
              <w:numId w:val="28"/>
            </w:numPr>
            <w:tabs>
              <w:tab w:val="left" w:pos="1439"/>
              <w:tab w:val="left" w:leader="dot" w:pos="12439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5" w:history="1">
            <w:r>
              <w:t>施工道路准备</w:t>
              <w:tab/>
            </w:r>
            <w:r>
              <w:rPr>
                <w:rFonts w:ascii="Arial" w:eastAsia="Arial"/>
              </w:rPr>
              <w:t>8</w:t>
            </w:r>
          </w:hyperlink>
        </w:p>
        <w:p>
          <w:pPr>
            <w:pStyle w:val="TOC1"/>
            <w:numPr>
              <w:ilvl w:val="0"/>
              <w:numId w:val="27"/>
            </w:numPr>
            <w:tabs>
              <w:tab w:val="left" w:pos="493"/>
              <w:tab w:val="left" w:leader="dot" w:pos="12238"/>
            </w:tabs>
            <w:spacing w:before="398" w:after="0" w:line="240" w:lineRule="auto"/>
            <w:ind w:left="492" w:right="366" w:hanging="493"/>
            <w:jc w:val="left"/>
            <w:rPr>
              <w:rFonts w:ascii="Arial" w:eastAsia="Arial"/>
            </w:rPr>
          </w:pPr>
          <w:hyperlink w:anchor="_TOC_250004" w:history="1">
            <w:r>
              <w:t>主要施工方法</w:t>
              <w:tab/>
            </w:r>
            <w:r>
              <w:rPr>
                <w:rFonts w:ascii="Arial" w:eastAsia="Arial"/>
              </w:rPr>
              <w:t>8</w:t>
            </w:r>
          </w:hyperlink>
        </w:p>
        <w:p>
          <w:pPr>
            <w:pStyle w:val="TOC2"/>
            <w:numPr>
              <w:ilvl w:val="1"/>
              <w:numId w:val="27"/>
            </w:numPr>
            <w:tabs>
              <w:tab w:val="left" w:pos="1439"/>
              <w:tab w:val="left" w:leader="dot" w:pos="12439"/>
            </w:tabs>
            <w:spacing w:before="399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3" w:history="1">
            <w:r>
              <w:t>混凝土拌制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2"/>
            <w:numPr>
              <w:ilvl w:val="1"/>
              <w:numId w:val="27"/>
            </w:numPr>
            <w:tabs>
              <w:tab w:val="left" w:pos="1439"/>
              <w:tab w:val="left" w:leader="dot" w:pos="12439"/>
            </w:tabs>
            <w:spacing w:before="397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2" w:history="1">
            <w:r>
              <w:t>混凝土输送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2"/>
            <w:numPr>
              <w:ilvl w:val="1"/>
              <w:numId w:val="27"/>
            </w:numPr>
            <w:tabs>
              <w:tab w:val="left" w:pos="1439"/>
              <w:tab w:val="left" w:leader="dot" w:pos="12244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1" w:history="1">
            <w:r>
              <w:t>混凝土浇筑</w:t>
              <w:tab/>
            </w:r>
            <w:r>
              <w:rPr>
                <w:rFonts w:ascii="Arial" w:eastAsia="Arial"/>
                <w:spacing w:val="-9"/>
              </w:rPr>
              <w:t>11</w:t>
            </w:r>
          </w:hyperlink>
        </w:p>
        <w:p>
          <w:pPr>
            <w:pStyle w:val="TOC2"/>
            <w:numPr>
              <w:ilvl w:val="1"/>
              <w:numId w:val="27"/>
            </w:numPr>
            <w:tabs>
              <w:tab w:val="left" w:pos="1439"/>
              <w:tab w:val="left" w:leader="dot" w:pos="12226"/>
            </w:tabs>
            <w:spacing w:before="398" w:after="0" w:line="240" w:lineRule="auto"/>
            <w:ind w:left="1439" w:right="0" w:hanging="609"/>
            <w:jc w:val="left"/>
            <w:rPr>
              <w:rFonts w:ascii="Arial" w:eastAsia="Arial"/>
            </w:rPr>
          </w:pPr>
          <w:hyperlink w:anchor="_TOC_250000" w:history="1">
            <w:r>
              <w:t>混凝土振捣</w:t>
              <w:tab/>
            </w:r>
            <w:r>
              <w:rPr>
                <w:rFonts w:ascii="Arial" w:eastAsia="Arial"/>
              </w:rPr>
              <w:t>14</w:t>
            </w:r>
          </w:hyperlink>
        </w:p>
      </w:sdtContent>
    </w:sdt>
    <w:p>
      <w:pPr>
        <w:spacing w:after="0" w:line="240" w:lineRule="auto"/>
        <w:jc w:val="left"/>
        <w:rPr>
          <w:rFonts w:ascii="Arial" w:eastAsia="Arial"/>
        </w:rPr>
        <w:sectPr>
          <w:headerReference w:type="default" r:id="rId4"/>
          <w:footerReference w:type="default" r:id="rId5"/>
          <w:type w:val="continuous"/>
          <w:pgSz w:w="17860" w:h="25260"/>
          <w:pgMar w:top="1400" w:right="2140" w:bottom="2020" w:left="2500" w:header="1088" w:footer="1831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1439"/>
          <w:tab w:val="right" w:leader="dot" w:pos="12649"/>
        </w:tabs>
        <w:spacing w:before="598" w:after="0" w:line="240" w:lineRule="auto"/>
        <w:ind w:left="1439" w:right="0" w:hanging="609"/>
        <w:jc w:val="left"/>
        <w:rPr>
          <w:rFonts w:ascii="Arial" w:eastAsia="Arial"/>
          <w:sz w:val="42"/>
        </w:rPr>
      </w:pPr>
      <w:r>
        <w:rPr>
          <w:sz w:val="42"/>
        </w:rPr>
        <w:t>混凝土养护</w:t>
        <w:tab/>
      </w:r>
      <w:r>
        <w:rPr>
          <w:rFonts w:ascii="Arial" w:eastAsia="Arial"/>
          <w:sz w:val="42"/>
        </w:rPr>
        <w:t>15</w:t>
      </w:r>
    </w:p>
    <w:p>
      <w:pPr>
        <w:pStyle w:val="ListParagraph"/>
        <w:numPr>
          <w:ilvl w:val="0"/>
          <w:numId w:val="27"/>
        </w:numPr>
        <w:tabs>
          <w:tab w:val="left" w:pos="493"/>
          <w:tab w:val="right" w:leader="dot" w:pos="12649"/>
        </w:tabs>
        <w:spacing w:before="398" w:after="0" w:line="240" w:lineRule="auto"/>
        <w:ind w:left="492" w:right="0" w:hanging="293"/>
        <w:jc w:val="left"/>
        <w:rPr>
          <w:rFonts w:ascii="Arial" w:eastAsia="Arial"/>
          <w:sz w:val="42"/>
        </w:rPr>
      </w:pPr>
      <w:r>
        <w:rPr>
          <w:sz w:val="42"/>
        </w:rPr>
        <w:t>夏季高温施工专项措施</w:t>
        <w:tab/>
      </w:r>
      <w:r>
        <w:rPr>
          <w:rFonts w:ascii="Arial" w:eastAsia="Arial"/>
          <w:sz w:val="42"/>
        </w:rPr>
        <w:t>16</w:t>
      </w:r>
    </w:p>
    <w:p>
      <w:pPr>
        <w:pStyle w:val="ListParagraph"/>
        <w:numPr>
          <w:ilvl w:val="1"/>
          <w:numId w:val="27"/>
        </w:numPr>
        <w:tabs>
          <w:tab w:val="left" w:pos="1439"/>
          <w:tab w:val="right" w:leader="dot" w:pos="12649"/>
        </w:tabs>
        <w:spacing w:before="397" w:after="0" w:line="240" w:lineRule="auto"/>
        <w:ind w:left="1439" w:right="0" w:hanging="609"/>
        <w:jc w:val="left"/>
        <w:rPr>
          <w:rFonts w:ascii="Arial" w:eastAsia="Arial"/>
          <w:sz w:val="42"/>
        </w:rPr>
      </w:pPr>
      <w:r>
        <w:rPr>
          <w:sz w:val="42"/>
        </w:rPr>
        <w:t>建立组织机构</w:t>
        <w:tab/>
      </w:r>
      <w:r>
        <w:rPr>
          <w:rFonts w:ascii="Arial" w:eastAsia="Arial"/>
          <w:sz w:val="42"/>
        </w:rPr>
        <w:t>16</w:t>
      </w:r>
    </w:p>
    <w:p>
      <w:pPr>
        <w:pStyle w:val="ListParagraph"/>
        <w:numPr>
          <w:ilvl w:val="1"/>
          <w:numId w:val="27"/>
        </w:numPr>
        <w:tabs>
          <w:tab w:val="left" w:pos="1439"/>
          <w:tab w:val="right" w:leader="dot" w:pos="12649"/>
        </w:tabs>
        <w:spacing w:before="398" w:after="0" w:line="240" w:lineRule="auto"/>
        <w:ind w:left="1439" w:right="0" w:hanging="609"/>
        <w:jc w:val="left"/>
        <w:rPr>
          <w:rFonts w:ascii="Arial" w:eastAsia="Arial"/>
          <w:sz w:val="42"/>
        </w:rPr>
      </w:pPr>
      <w:r>
        <w:rPr>
          <w:sz w:val="42"/>
        </w:rPr>
        <w:t>混凝土工程高温专项措施</w:t>
        <w:tab/>
      </w:r>
      <w:r>
        <w:rPr>
          <w:rFonts w:ascii="Arial" w:eastAsia="Arial"/>
          <w:sz w:val="42"/>
        </w:rPr>
        <w:t>17</w:t>
      </w:r>
    </w:p>
    <w:p>
      <w:pPr>
        <w:pStyle w:val="ListParagraph"/>
        <w:numPr>
          <w:ilvl w:val="1"/>
          <w:numId w:val="27"/>
        </w:numPr>
        <w:tabs>
          <w:tab w:val="left" w:pos="1439"/>
          <w:tab w:val="right" w:leader="dot" w:pos="12649"/>
        </w:tabs>
        <w:spacing w:before="398" w:after="0" w:line="240" w:lineRule="auto"/>
        <w:ind w:left="1439" w:right="0" w:hanging="609"/>
        <w:jc w:val="left"/>
        <w:rPr>
          <w:rFonts w:ascii="Arial" w:eastAsia="Arial"/>
          <w:sz w:val="42"/>
        </w:rPr>
      </w:pPr>
      <w:r>
        <w:rPr>
          <w:sz w:val="42"/>
        </w:rPr>
        <w:t>防高温中暑专项措施</w:t>
        <w:tab/>
      </w:r>
      <w:r>
        <w:rPr>
          <w:rFonts w:ascii="Arial" w:eastAsia="Arial"/>
          <w:sz w:val="42"/>
        </w:rPr>
        <w:t>22</w:t>
      </w:r>
    </w:p>
    <w:p>
      <w:pPr>
        <w:pStyle w:val="ListParagraph"/>
        <w:numPr>
          <w:ilvl w:val="0"/>
          <w:numId w:val="27"/>
        </w:numPr>
        <w:tabs>
          <w:tab w:val="left" w:pos="493"/>
          <w:tab w:val="right" w:leader="dot" w:pos="12649"/>
        </w:tabs>
        <w:spacing w:before="398" w:after="0" w:line="240" w:lineRule="auto"/>
        <w:ind w:left="492" w:right="0" w:hanging="293"/>
        <w:jc w:val="left"/>
        <w:rPr>
          <w:rFonts w:ascii="Arial" w:eastAsia="Arial"/>
          <w:sz w:val="42"/>
        </w:rPr>
      </w:pPr>
      <w:r>
        <w:rPr>
          <w:sz w:val="42"/>
        </w:rPr>
        <w:t>控制和防止质量通病的措施</w:t>
        <w:tab/>
      </w:r>
      <w:r>
        <w:rPr>
          <w:rFonts w:ascii="Arial" w:eastAsia="Arial"/>
          <w:sz w:val="42"/>
        </w:rPr>
        <w:t>22</w:t>
      </w:r>
    </w:p>
    <w:p>
      <w:pPr>
        <w:pStyle w:val="ListParagraph"/>
        <w:numPr>
          <w:ilvl w:val="0"/>
          <w:numId w:val="27"/>
        </w:numPr>
        <w:tabs>
          <w:tab w:val="left" w:pos="493"/>
          <w:tab w:val="right" w:leader="dot" w:pos="12649"/>
        </w:tabs>
        <w:spacing w:before="399" w:after="0" w:line="240" w:lineRule="auto"/>
        <w:ind w:left="492" w:right="0" w:hanging="293"/>
        <w:jc w:val="left"/>
        <w:rPr>
          <w:rFonts w:ascii="Arial" w:eastAsia="Arial"/>
          <w:sz w:val="42"/>
        </w:rPr>
      </w:pPr>
      <w:r>
        <w:rPr>
          <w:sz w:val="42"/>
        </w:rPr>
        <w:t>混凝土缺陷修补措施</w:t>
        <w:tab/>
      </w:r>
      <w:r>
        <w:rPr>
          <w:rFonts w:ascii="Arial" w:eastAsia="Arial"/>
          <w:sz w:val="42"/>
        </w:rPr>
        <w:t>23</w:t>
      </w:r>
    </w:p>
    <w:p>
      <w:pPr>
        <w:pStyle w:val="ListParagraph"/>
        <w:numPr>
          <w:ilvl w:val="0"/>
          <w:numId w:val="27"/>
        </w:numPr>
        <w:tabs>
          <w:tab w:val="left" w:pos="493"/>
          <w:tab w:val="right" w:leader="dot" w:pos="12649"/>
        </w:tabs>
        <w:spacing w:before="398" w:after="0" w:line="240" w:lineRule="auto"/>
        <w:ind w:left="492" w:right="0" w:hanging="293"/>
        <w:jc w:val="left"/>
        <w:rPr>
          <w:rFonts w:ascii="Arial" w:eastAsia="Arial"/>
          <w:sz w:val="42"/>
        </w:rPr>
      </w:pPr>
      <w:r>
        <w:rPr>
          <w:sz w:val="42"/>
        </w:rPr>
        <w:t>安全注意事项</w:t>
        <w:tab/>
      </w:r>
      <w:r>
        <w:rPr>
          <w:rFonts w:ascii="Arial" w:eastAsia="Arial"/>
          <w:sz w:val="42"/>
        </w:rPr>
        <w:t>30</w:t>
      </w:r>
    </w:p>
    <w:p>
      <w:pPr>
        <w:pStyle w:val="ListParagraph"/>
        <w:numPr>
          <w:ilvl w:val="0"/>
          <w:numId w:val="27"/>
        </w:numPr>
        <w:tabs>
          <w:tab w:val="left" w:pos="705"/>
          <w:tab w:val="right" w:leader="dot" w:pos="12649"/>
        </w:tabs>
        <w:spacing w:before="398" w:after="0" w:line="240" w:lineRule="auto"/>
        <w:ind w:left="704" w:right="0" w:hanging="505"/>
        <w:jc w:val="left"/>
        <w:rPr>
          <w:rFonts w:ascii="Arial" w:eastAsia="Arial"/>
          <w:sz w:val="42"/>
        </w:rPr>
      </w:pPr>
      <w:r>
        <w:rPr>
          <w:sz w:val="42"/>
        </w:rPr>
        <w:t>文明施工注意事项</w:t>
        <w:tab/>
      </w:r>
      <w:r>
        <w:rPr>
          <w:rFonts w:ascii="Arial" w:eastAsia="Arial"/>
          <w:sz w:val="42"/>
        </w:rPr>
        <w:t>30</w:t>
      </w:r>
    </w:p>
    <w:p>
      <w:pPr>
        <w:spacing w:after="0" w:line="240" w:lineRule="auto"/>
        <w:jc w:val="left"/>
        <w:rPr>
          <w:rFonts w:ascii="Arial" w:eastAsia="Arial"/>
          <w:sz w:val="42"/>
        </w:rPr>
        <w:sectPr>
          <w:headerReference w:type="default" r:id="rId6"/>
          <w:footerReference w:type="default" r:id="rId7"/>
          <w:pgSz w:w="17860" w:h="25260"/>
          <w:pgMar w:top="1400" w:right="2140" w:bottom="2020" w:left="2500" w:header="1088" w:footer="1831"/>
          <w:pgNumType w:start="2"/>
          <w:cols w:space="708"/>
        </w:sectPr>
      </w:pPr>
    </w:p>
    <w:p>
      <w:pPr>
        <w:spacing w:before="598"/>
        <w:ind w:left="0" w:right="358" w:firstLine="0"/>
        <w:jc w:val="center"/>
        <w:rPr>
          <w:b/>
          <w:sz w:val="42"/>
        </w:rPr>
      </w:pPr>
      <w:r>
        <w:rPr>
          <w:b/>
          <w:sz w:val="42"/>
        </w:rPr>
        <w:t>混凝土工程作业指导书</w:t>
      </w:r>
    </w:p>
    <w:p>
      <w:pPr>
        <w:pStyle w:val="Heading1"/>
        <w:spacing w:before="819"/>
        <w:ind w:left="200" w:firstLine="0"/>
      </w:pPr>
      <w:bookmarkStart w:id="0" w:name="_TOC_250019"/>
      <w:r>
        <w:rPr>
          <w:rFonts w:ascii="Arial" w:eastAsia="Arial"/>
        </w:rPr>
        <w:t>1</w:t>
      </w:r>
      <w:bookmarkEnd w:id="0"/>
      <w:r>
        <w:t>、编制依据</w:t>
      </w:r>
    </w:p>
    <w:p>
      <w:pPr>
        <w:pStyle w:val="Heading1"/>
        <w:numPr>
          <w:ilvl w:val="1"/>
          <w:numId w:val="26"/>
        </w:numPr>
        <w:tabs>
          <w:tab w:val="left" w:pos="817"/>
        </w:tabs>
        <w:spacing w:before="797" w:after="0" w:line="240" w:lineRule="auto"/>
        <w:ind w:left="816" w:right="0" w:hanging="617"/>
        <w:jc w:val="left"/>
      </w:pPr>
      <w:bookmarkStart w:id="1" w:name="_TOC_250018"/>
      <w:bookmarkEnd w:id="1"/>
      <w:r>
        <w:t>主要规范、规程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6"/>
        </w:rPr>
      </w:pPr>
      <w:r>
        <w:pict>
          <v:group id="_x0000_s1025" style="width:574pt;height:258pt;margin-top:12.77pt;margin-left:160pt;mso-position-horizontal-relative:page;mso-wrap-distance-left:0;mso-wrap-distance-right:0;position:absolute;z-index:-251658240" coordorigin="3200,255" coordsize="11480,5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480;height:5160;left:3200;position:absolute;top:255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422;left:3427;position:absolute;top:4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2969;height:422;left:6445;position:absolute;top:4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规范、规程名称</w:t>
                    </w:r>
                  </w:p>
                </w:txbxContent>
              </v:textbox>
            </v:shape>
            <v:shape id="_x0000_s1029" type="#_x0000_t202" style="width:2969;height:422;left:11533;position:absolute;top:4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规范、规程编号</w:t>
                    </w:r>
                  </w:p>
                </w:txbxContent>
              </v:textbox>
            </v:shape>
            <v:shape id="_x0000_s1030" type="#_x0000_t202" style="width:231;height:422;left:3741;position:absolute;top:1277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31" type="#_x0000_t202" style="width:6338;height:422;left:4630;position:absolute;top:13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混凝土结构工程施工质量验收规范</w:t>
                    </w:r>
                  </w:p>
                </w:txbxContent>
              </v:textbox>
            </v:shape>
            <v:shape id="_x0000_s1032" type="#_x0000_t202" style="width:2641;height:422;left:11533;position:absolute;top:1277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sz w:val="42"/>
                      </w:rPr>
                      <w:t>GB50204-2002</w:t>
                    </w:r>
                  </w:p>
                </w:txbxContent>
              </v:textbox>
            </v:shape>
            <v:shape id="_x0000_s1033" type="#_x0000_t202" style="width:231;height:422;left:3741;position:absolute;top:2128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34" type="#_x0000_t202" style="width:5075;height:422;left:4630;position:absolute;top:21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普通混凝土配合比设计规程</w:t>
                    </w:r>
                  </w:p>
                </w:txbxContent>
              </v:textbox>
            </v:shape>
            <v:shape id="_x0000_s1035" type="#_x0000_t202" style="width:2056;height:422;left:11533;position:absolute;top:2128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sz w:val="42"/>
                      </w:rPr>
                      <w:t>JGJ55-2000</w:t>
                    </w:r>
                  </w:p>
                </w:txbxContent>
              </v:textbox>
            </v:shape>
            <v:shape id="_x0000_s1036" type="#_x0000_t202" style="width:231;height:422;left:3741;position:absolute;top:2977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37" type="#_x0000_t202" style="width:3811;height:422;left:4630;position:absolute;top:30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混凝土质量控制标准</w:t>
                    </w:r>
                  </w:p>
                </w:txbxContent>
              </v:textbox>
            </v:shape>
            <v:shape id="_x0000_s1038" type="#_x0000_t202" style="width:2220;height:422;left:11533;position:absolute;top:2977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sz w:val="42"/>
                      </w:rPr>
                      <w:t>GB50164-92</w:t>
                    </w:r>
                  </w:p>
                </w:txbxContent>
              </v:textbox>
            </v:shape>
            <v:shape id="_x0000_s1039" type="#_x0000_t202" style="width:231;height:422;left:3741;position:absolute;top:3831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40" type="#_x0000_t202" style="width:4654;height:422;left:4630;position:absolute;top:38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混凝土强度检验评定标准</w:t>
                    </w:r>
                  </w:p>
                </w:txbxContent>
              </v:textbox>
            </v:shape>
            <v:shape id="_x0000_s1041" type="#_x0000_t202" style="width:2641;height:422;left:11533;position:absolute;top:3831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sz w:val="42"/>
                      </w:rPr>
                      <w:t>GB50300-2001</w:t>
                    </w:r>
                  </w:p>
                </w:txbxContent>
              </v:textbox>
            </v:shape>
            <v:shape id="_x0000_s1042" type="#_x0000_t202" style="width:231;height:422;left:3741;position:absolute;top:4680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043" type="#_x0000_t202" style="width:5917;height:422;left:4630;position:absolute;top:47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建筑工程施工质量验收统一标准</w:t>
                    </w:r>
                  </w:p>
                </w:txbxContent>
              </v:textbox>
            </v:shape>
            <v:shape id="_x0000_s1044" type="#_x0000_t202" style="width:2641;height:422;left:11533;position:absolute;top:4680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sz w:val="42"/>
                      </w:rPr>
                      <w:t>GB50300-2001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b/>
          <w:sz w:val="37"/>
        </w:rPr>
      </w:pPr>
    </w:p>
    <w:p>
      <w:pPr>
        <w:pStyle w:val="Heading1"/>
        <w:numPr>
          <w:ilvl w:val="1"/>
          <w:numId w:val="26"/>
        </w:numPr>
        <w:tabs>
          <w:tab w:val="left" w:pos="817"/>
        </w:tabs>
        <w:spacing w:before="0" w:after="0" w:line="240" w:lineRule="auto"/>
        <w:ind w:left="816" w:right="0" w:hanging="617"/>
        <w:jc w:val="left"/>
      </w:pPr>
      <w:bookmarkStart w:id="2" w:name="_TOC_250017"/>
      <w:bookmarkEnd w:id="2"/>
      <w:r>
        <w:t>有关法规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  <w:r>
        <w:pict>
          <v:group id="_x0000_s1045" style="width:602pt;height:3in;margin-top:11.83pt;margin-left:146pt;mso-position-horizontal-relative:page;mso-wrap-distance-left:0;mso-wrap-distance-right:0;position:absolute;z-index:-251657216" coordorigin="2920,237" coordsize="12040,4320">
            <v:shape id="_x0000_s1046" type="#_x0000_t75" style="width:12040;height:4320;left:2920;position:absolute;top:236" stroked="f">
              <v:imagedata r:id="rId9" o:title=""/>
            </v:shape>
            <v:shape id="_x0000_s1047" type="#_x0000_t202" style="width:863;height:422;left:3103;position:absolute;top: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48" type="#_x0000_t202" style="width:863;height:422;left:4828;position:absolute;top: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类别</w:t>
                    </w:r>
                  </w:p>
                </w:txbxContent>
              </v:textbox>
            </v:shape>
            <v:shape id="_x0000_s1049" type="#_x0000_t202" style="width:863;height:422;left:8220;position:absolute;top: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  <v:shape id="_x0000_s1050" type="#_x0000_t202" style="width:863;height:422;left:12710;position:absolute;top: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编号</w:t>
                    </w:r>
                  </w:p>
                </w:txbxContent>
              </v:textbox>
            </v:shape>
            <v:shape id="_x0000_s1051" type="#_x0000_t202" style="width:231;height:422;left:3643;position:absolute;top:1274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52" type="#_x0000_t202" style="width:4232;height:422;left:6103;position:absolute;top:13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中华人民共和国建筑法</w:t>
                    </w:r>
                  </w:p>
                </w:txbxContent>
              </v:textbox>
            </v:shape>
            <v:shape id="_x0000_s1053" type="#_x0000_t202" style="width:231;height:422;left:3643;position:absolute;top:2127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54" type="#_x0000_t202" style="width:863;height:422;left:4720;position:absolute;top:21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国家</w:t>
                    </w:r>
                  </w:p>
                </w:txbxContent>
              </v:textbox>
            </v:shape>
            <v:shape id="_x0000_s1055" type="#_x0000_t202" style="width:4232;height:422;left:6103;position:absolute;top:21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中华人民共和国劳动法</w:t>
                    </w:r>
                  </w:p>
                </w:txbxContent>
              </v:textbox>
            </v:shape>
            <v:shape id="_x0000_s1056" type="#_x0000_t202" style="width:231;height:422;left:3643;position:absolute;top:2977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57" type="#_x0000_t202" style="width:4232;height:422;left:6103;position:absolute;top:30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建设工程质量管理条例</w:t>
                    </w:r>
                  </w:p>
                </w:txbxContent>
              </v:textbox>
            </v:shape>
            <v:shape id="_x0000_s1058" type="#_x0000_t202" style="width:231;height:422;left:3643;position:absolute;top:3826" filled="f" stroked="f">
              <v:textbox inset="0,0,0,0">
                <w:txbxContent>
                  <w:p>
                    <w:pPr>
                      <w:spacing w:before="19" w:line="402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59" type="#_x0000_t202" style="width:863;height:422;left:4720;position:absolute;top:38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行业</w:t>
                    </w:r>
                  </w:p>
                </w:txbxContent>
              </v:textbox>
            </v:shape>
            <v:shape id="_x0000_s1060" type="#_x0000_t202" style="width:8676;height:471;left:6103;position:absolute;top:3826" filled="f" stroked="f">
              <v:textbox inset="0,0,0,0">
                <w:txbxContent>
                  <w:p>
                    <w:pPr>
                      <w:tabs>
                        <w:tab w:val="left" w:pos="5400"/>
                      </w:tabs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建设工程施工现场管理规定</w:t>
                      <w:tab/>
                      <w:t>建设部令</w:t>
                    </w:r>
                    <w:r>
                      <w:rPr>
                        <w:spacing w:val="-29"/>
                        <w:sz w:val="42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42"/>
                      </w:rPr>
                      <w:t>1991</w:t>
                    </w:r>
                    <w:r>
                      <w:rPr>
                        <w:rFonts w:ascii="Times New Roman" w:eastAsia="Times New Roman"/>
                        <w:spacing w:val="27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Heading1"/>
        <w:spacing w:before="247"/>
        <w:ind w:left="200" w:firstLine="0"/>
      </w:pPr>
      <w:bookmarkStart w:id="3" w:name="_TOC_250016"/>
      <w:r>
        <w:rPr>
          <w:rFonts w:ascii="Arial" w:eastAsia="Arial"/>
        </w:rPr>
        <w:t>2</w:t>
      </w:r>
      <w:bookmarkEnd w:id="3"/>
      <w:r>
        <w:t>、工程概况</w:t>
      </w:r>
    </w:p>
    <w:p>
      <w:pPr>
        <w:pStyle w:val="BodyText"/>
        <w:rPr>
          <w:b/>
          <w:sz w:val="64"/>
        </w:rPr>
      </w:pPr>
    </w:p>
    <w:p>
      <w:pPr>
        <w:pStyle w:val="BodyText"/>
        <w:ind w:left="1039"/>
      </w:pPr>
      <w:r>
        <w:t>菏泽站站房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00" w:right="346" w:firstLine="838"/>
        <w:jc w:val="both"/>
      </w:pPr>
      <w:r>
        <w:t>站房主要包括进出站大厅、候车室、售票厅、行包房等客运服务</w:t>
      </w:r>
      <w:r>
        <w:rPr>
          <w:spacing w:val="-3"/>
        </w:rPr>
        <w:t xml:space="preserve">用房、设备用房和管理办公用房。站房建筑基底轴线尺寸长 </w:t>
      </w:r>
      <w:r>
        <w:rPr>
          <w:rFonts w:ascii="Times New Roman" w:eastAsia="Times New Roman"/>
        </w:rPr>
        <w:t xml:space="preserve">164 </w:t>
      </w:r>
      <w:r>
        <w:rPr>
          <w:spacing w:val="-8"/>
        </w:rPr>
        <w:t xml:space="preserve">米， </w:t>
      </w:r>
      <w:r>
        <w:rPr>
          <w:spacing w:val="-50"/>
        </w:rPr>
        <w:t xml:space="preserve">宽 </w:t>
      </w:r>
      <w:r>
        <w:rPr>
          <w:rFonts w:ascii="Times New Roman" w:eastAsia="Times New Roman"/>
        </w:rPr>
        <w:t xml:space="preserve">37.5 </w:t>
      </w:r>
      <w:r>
        <w:rPr>
          <w:spacing w:val="-17"/>
        </w:rPr>
        <w:t xml:space="preserve">米。建筑面积 </w:t>
      </w:r>
      <w:r>
        <w:rPr>
          <w:rFonts w:ascii="Times New Roman" w:eastAsia="Times New Roman"/>
        </w:rPr>
        <w:t>14913.7m</w:t>
      </w:r>
      <w:r>
        <w:rPr>
          <w:rFonts w:ascii="Times New Roman" w:eastAsia="Times New Roman"/>
          <w:position w:val="2"/>
          <w:sz w:val="27"/>
        </w:rPr>
        <w:t>2</w:t>
      </w:r>
      <w:r>
        <w:t>，共三层，分为地下层、一层和二层</w:t>
      </w:r>
    </w:p>
    <w:p>
      <w:pPr>
        <w:spacing w:after="0" w:line="417" w:lineRule="auto"/>
        <w:jc w:val="both"/>
        <w:sectPr>
          <w:headerReference w:type="default" r:id="rId10"/>
          <w:footerReference w:type="default" r:id="rId11"/>
          <w:pgSz w:w="17860" w:h="25260"/>
          <w:pgMar w:top="1400" w:right="2140" w:bottom="2020" w:left="2500" w:header="1088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00" w:right="380"/>
      </w:pPr>
      <w:r>
        <w:rPr>
          <w:spacing w:val="-13"/>
        </w:rPr>
        <w:t>并局部设夹层。地下层为出站大厅和设备用房。一层为基本站台候车</w:t>
      </w:r>
      <w:r>
        <w:rPr>
          <w:spacing w:val="-14"/>
        </w:rPr>
        <w:t>厅、消防控制室及行包、售票、贵宾室等，二层为候车大厅、旅客服</w:t>
      </w:r>
      <w:r>
        <w:rPr>
          <w:spacing w:val="-16"/>
        </w:rPr>
        <w:t xml:space="preserve">务及车站办公等。设备和管理用房主要设在夹层。站房屋面为 </w:t>
      </w:r>
      <w:r>
        <w:rPr>
          <w:rFonts w:ascii="Arial" w:eastAsia="Arial"/>
        </w:rPr>
        <w:t xml:space="preserve">360 </w:t>
      </w:r>
      <w:r>
        <w:t>度</w:t>
      </w:r>
      <w:r>
        <w:rPr>
          <w:spacing w:val="-1"/>
        </w:rPr>
        <w:t>直立锁边铝镁锰合金屋面板，外墙为浅灰色背栓式花岗岩板材幕墙、</w:t>
      </w:r>
      <w:r>
        <w:t>深灰色铝板幕墙及深灰色玻璃幕墙。</w:t>
      </w:r>
    </w:p>
    <w:p>
      <w:pPr>
        <w:pStyle w:val="BodyText"/>
        <w:spacing w:line="417" w:lineRule="auto"/>
        <w:ind w:left="1039" w:right="4271"/>
      </w:pPr>
      <w:r>
        <w:t>抗震设防烈度：</w:t>
      </w:r>
      <w:r>
        <w:rPr>
          <w:rFonts w:ascii="Arial" w:eastAsia="Arial"/>
        </w:rPr>
        <w:t xml:space="preserve">7 </w:t>
      </w:r>
      <w:r>
        <w:t>度。屋面防水等级</w:t>
      </w:r>
      <w:r>
        <w:rPr>
          <w:rFonts w:ascii="Arial" w:eastAsia="Arial"/>
        </w:rPr>
        <w:t xml:space="preserve">II </w:t>
      </w:r>
      <w:r>
        <w:t>级。耐火等级：二级。</w:t>
      </w:r>
    </w:p>
    <w:p>
      <w:pPr>
        <w:pStyle w:val="BodyText"/>
        <w:spacing w:line="417" w:lineRule="auto"/>
        <w:ind w:left="200" w:right="441" w:firstLine="838"/>
        <w:jc w:val="both"/>
      </w:pPr>
      <w:r>
        <w:t>基础及地下层：基础采用</w:t>
      </w:r>
      <w:r>
        <w:rPr>
          <w:spacing w:val="-5"/>
        </w:rPr>
        <w:t>φ</w:t>
      </w:r>
      <w:r>
        <w:rPr>
          <w:rFonts w:ascii="Arial" w:eastAsia="Arial" w:hAnsi="Arial"/>
          <w:spacing w:val="-5"/>
        </w:rPr>
        <w:t>600</w:t>
      </w:r>
      <w:r>
        <w:rPr>
          <w:rFonts w:ascii="Arial" w:eastAsia="Arial" w:hAnsi="Arial"/>
          <w:spacing w:val="-56"/>
        </w:rPr>
        <w:t xml:space="preserve"> </w:t>
      </w:r>
      <w:r>
        <w:t>钢筋砼钻孔灌注桩，桩端持力层</w:t>
      </w:r>
      <w:r>
        <w:rPr>
          <w:spacing w:val="5"/>
          <w:w w:val="95"/>
        </w:rPr>
        <w:t xml:space="preserve">为粉质黏土层，设计桩长 </w:t>
      </w:r>
      <w:r>
        <w:rPr>
          <w:rFonts w:ascii="Arial" w:eastAsia="Arial" w:hAnsi="Arial"/>
          <w:spacing w:val="-2"/>
          <w:w w:val="95"/>
        </w:rPr>
        <w:t>27</w:t>
      </w:r>
      <w:r>
        <w:rPr>
          <w:spacing w:val="-2"/>
          <w:w w:val="95"/>
        </w:rPr>
        <w:t>～</w:t>
      </w:r>
      <w:r>
        <w:rPr>
          <w:rFonts w:ascii="Arial" w:eastAsia="Arial" w:hAnsi="Arial"/>
          <w:spacing w:val="-2"/>
          <w:w w:val="95"/>
        </w:rPr>
        <w:t>30m</w:t>
      </w:r>
      <w:r>
        <w:rPr>
          <w:spacing w:val="-1"/>
          <w:w w:val="95"/>
        </w:rPr>
        <w:t>。地下层结构采用防水砼。钢筋砼</w:t>
      </w:r>
      <w:r>
        <w:rPr>
          <w:spacing w:val="4"/>
        </w:rPr>
        <w:t>外墙兼作挡土墙。地下防水等级一级，抗渗等级</w:t>
      </w:r>
      <w:r>
        <w:rPr>
          <w:rFonts w:ascii="Arial" w:eastAsia="Arial" w:hAnsi="Arial"/>
          <w:spacing w:val="-3"/>
        </w:rPr>
        <w:t>P6</w:t>
      </w:r>
      <w:r>
        <w:t>。</w:t>
      </w:r>
    </w:p>
    <w:p>
      <w:pPr>
        <w:pStyle w:val="BodyText"/>
        <w:spacing w:line="417" w:lineRule="auto"/>
        <w:ind w:left="200" w:right="505" w:firstLine="838"/>
        <w:jc w:val="both"/>
      </w:pPr>
      <w:r>
        <w:rPr>
          <w:spacing w:val="10"/>
          <w:w w:val="95"/>
        </w:rPr>
        <w:t>砼强度等级：桩基</w:t>
      </w:r>
      <w:r>
        <w:rPr>
          <w:rFonts w:ascii="Arial" w:eastAsia="Arial"/>
          <w:w w:val="95"/>
        </w:rPr>
        <w:t>C30</w:t>
      </w:r>
      <w:r>
        <w:rPr>
          <w:spacing w:val="29"/>
          <w:w w:val="95"/>
        </w:rPr>
        <w:t>，垫层</w:t>
      </w:r>
      <w:r>
        <w:rPr>
          <w:rFonts w:ascii="Arial" w:eastAsia="Arial"/>
          <w:w w:val="95"/>
        </w:rPr>
        <w:t>C15</w:t>
      </w:r>
      <w:r>
        <w:rPr>
          <w:spacing w:val="-2"/>
          <w:w w:val="95"/>
        </w:rPr>
        <w:t xml:space="preserve">，构造柱、圈梁等非结构构件 </w:t>
      </w:r>
      <w:r>
        <w:rPr>
          <w:spacing w:val="-41"/>
        </w:rPr>
        <w:t xml:space="preserve">采用 </w:t>
      </w:r>
      <w:r>
        <w:rPr>
          <w:rFonts w:ascii="Arial" w:eastAsia="Arial"/>
        </w:rPr>
        <w:t>C20</w:t>
      </w:r>
      <w:r>
        <w:rPr>
          <w:spacing w:val="-14"/>
        </w:rPr>
        <w:t xml:space="preserve">，预应力筋封端为 </w:t>
      </w:r>
      <w:r>
        <w:rPr>
          <w:rFonts w:ascii="Arial" w:eastAsia="Arial"/>
        </w:rPr>
        <w:t>C40</w:t>
      </w:r>
      <w:r>
        <w:rPr>
          <w:rFonts w:ascii="Arial" w:eastAsia="Arial"/>
          <w:spacing w:val="-58"/>
        </w:rPr>
        <w:t xml:space="preserve"> </w:t>
      </w:r>
      <w:r>
        <w:rPr>
          <w:spacing w:val="-1"/>
        </w:rPr>
        <w:t>微膨胀细石混凝土，</w:t>
      </w:r>
      <w:r>
        <w:rPr>
          <w:rFonts w:ascii="Arial" w:eastAsia="Arial"/>
          <w:spacing w:val="-7"/>
        </w:rPr>
        <w:t>A</w:t>
      </w:r>
      <w:r>
        <w:t>、</w:t>
      </w:r>
      <w:r>
        <w:rPr>
          <w:rFonts w:ascii="Arial" w:eastAsia="Arial"/>
        </w:rPr>
        <w:t>C</w:t>
      </w:r>
      <w:r>
        <w:rPr>
          <w:rFonts w:ascii="Arial" w:eastAsia="Arial"/>
          <w:spacing w:val="-55"/>
        </w:rPr>
        <w:t xml:space="preserve"> </w:t>
      </w:r>
      <w:r>
        <w:t>区一层梁</w:t>
      </w:r>
      <w:r>
        <w:rPr>
          <w:spacing w:val="34"/>
        </w:rPr>
        <w:t>柱采用</w:t>
      </w:r>
      <w:r>
        <w:rPr>
          <w:rFonts w:ascii="Arial" w:eastAsia="Arial"/>
        </w:rPr>
        <w:t>C50</w:t>
      </w:r>
      <w:r>
        <w:rPr>
          <w:rFonts w:ascii="Arial" w:eastAsia="Arial"/>
          <w:spacing w:val="-40"/>
        </w:rPr>
        <w:t xml:space="preserve"> </w:t>
      </w:r>
      <w:r>
        <w:rPr>
          <w:spacing w:val="14"/>
        </w:rPr>
        <w:t>砼，其他结构为</w:t>
      </w:r>
      <w:r>
        <w:rPr>
          <w:rFonts w:ascii="Arial" w:eastAsia="Arial"/>
          <w:spacing w:val="-3"/>
        </w:rPr>
        <w:t>C40</w:t>
      </w:r>
      <w:r>
        <w:t>。</w:t>
      </w:r>
    </w:p>
    <w:p>
      <w:pPr>
        <w:pStyle w:val="BodyText"/>
        <w:spacing w:line="417" w:lineRule="auto"/>
        <w:ind w:left="200" w:right="628" w:firstLine="838"/>
      </w:pPr>
      <w:r>
        <w:t>上部结构：上部结构采用钢筋混凝土框架结构，柱网主要尺寸</w:t>
      </w:r>
      <w:r>
        <w:rPr>
          <w:rFonts w:ascii="Arial" w:eastAsia="Arial" w:hAnsi="Arial"/>
          <w:w w:val="95"/>
        </w:rPr>
        <w:t>7.5~15m,</w:t>
      </w:r>
      <w:r>
        <w:rPr>
          <w:w w:val="95"/>
        </w:rPr>
        <w:t xml:space="preserve">最大尺寸 </w:t>
      </w:r>
      <w:r>
        <w:rPr>
          <w:rFonts w:ascii="Arial" w:eastAsia="Arial" w:hAnsi="Arial"/>
          <w:w w:val="95"/>
        </w:rPr>
        <w:t>13</w:t>
      </w:r>
      <w:r>
        <w:rPr>
          <w:w w:val="95"/>
        </w:rPr>
        <w:t>×</w:t>
      </w:r>
      <w:r>
        <w:rPr>
          <w:rFonts w:ascii="Arial" w:eastAsia="Arial" w:hAnsi="Arial"/>
          <w:w w:val="95"/>
        </w:rPr>
        <w:t>15m,</w:t>
      </w:r>
      <w:r>
        <w:rPr>
          <w:w w:val="95"/>
        </w:rPr>
        <w:t>局部较大跨度楼面梁采用预应力钢筋混</w:t>
      </w:r>
      <w:r>
        <w:t>凝土框架梁。</w:t>
      </w:r>
    </w:p>
    <w:p>
      <w:pPr>
        <w:pStyle w:val="BodyText"/>
        <w:spacing w:line="417" w:lineRule="auto"/>
        <w:ind w:left="200" w:right="561" w:firstLine="838"/>
      </w:pPr>
      <w:r>
        <w:t>屋面钢结构采用双层网架结构（局部为钢筋砼结构</w:t>
      </w:r>
      <w:r>
        <w:rPr>
          <w:spacing w:val="-177"/>
        </w:rPr>
        <w:t>）</w:t>
      </w:r>
      <w:r>
        <w:rPr>
          <w:spacing w:val="-4"/>
        </w:rPr>
        <w:t>。与下部砼</w:t>
      </w:r>
      <w:r>
        <w:t>结构采用盆式减震球形钢支座连接。外挑部分采用钢梁悬挑。</w:t>
      </w:r>
    </w:p>
    <w:p>
      <w:pPr>
        <w:pStyle w:val="BodyText"/>
        <w:spacing w:before="7"/>
        <w:rPr>
          <w:sz w:val="32"/>
        </w:rPr>
      </w:pPr>
    </w:p>
    <w:p>
      <w:pPr>
        <w:pStyle w:val="Heading1"/>
        <w:ind w:left="200" w:firstLine="0"/>
      </w:pPr>
      <w:bookmarkStart w:id="4" w:name="_TOC_250015"/>
      <w:r>
        <w:rPr>
          <w:rFonts w:ascii="Arial" w:eastAsia="Arial"/>
        </w:rPr>
        <w:t>3</w:t>
      </w:r>
      <w:bookmarkEnd w:id="4"/>
      <w:r>
        <w:t>、施工总体部署</w:t>
      </w:r>
    </w:p>
    <w:p>
      <w:pPr>
        <w:pStyle w:val="BodyText"/>
        <w:spacing w:before="3"/>
        <w:rPr>
          <w:b/>
          <w:sz w:val="62"/>
        </w:rPr>
      </w:pPr>
    </w:p>
    <w:p>
      <w:pPr>
        <w:pStyle w:val="Heading1"/>
        <w:numPr>
          <w:ilvl w:val="1"/>
          <w:numId w:val="25"/>
        </w:numPr>
        <w:tabs>
          <w:tab w:val="left" w:pos="817"/>
        </w:tabs>
        <w:spacing w:before="0" w:after="0" w:line="240" w:lineRule="auto"/>
        <w:ind w:left="816" w:right="0" w:hanging="617"/>
        <w:jc w:val="left"/>
        <w:rPr>
          <w:rFonts w:ascii="Arial" w:eastAsia="Arial"/>
        </w:rPr>
      </w:pPr>
      <w:bookmarkStart w:id="5" w:name="_TOC_250014"/>
      <w:bookmarkEnd w:id="5"/>
      <w:r>
        <w:t>组织机构建立</w:t>
      </w:r>
    </w:p>
    <w:p>
      <w:pPr>
        <w:pStyle w:val="BodyText"/>
        <w:spacing w:before="9"/>
        <w:rPr>
          <w:b/>
          <w:sz w:val="50"/>
        </w:rPr>
      </w:pPr>
    </w:p>
    <w:p>
      <w:pPr>
        <w:pStyle w:val="BodyText"/>
        <w:ind w:left="1039"/>
      </w:pPr>
      <w:r>
        <w:t>为确保混凝土施工质量和工期要求，项目部组织精干力量组建混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400" w:right="2140" w:bottom="2020" w:left="2500" w:header="1088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00" w:right="107"/>
      </w:pPr>
      <w:r>
        <w:rPr>
          <w:spacing w:val="-14"/>
        </w:rPr>
        <w:t xml:space="preserve">凝土综合班组，由具有丰富施工经验的项目部职工刘永章担任班组长， </w:t>
      </w:r>
      <w:r>
        <w:t>混凝土综合班组纳入土建综合架子队管理。</w:t>
      </w:r>
    </w:p>
    <w:p>
      <w:pPr>
        <w:pStyle w:val="BodyText"/>
        <w:spacing w:before="5"/>
        <w:rPr>
          <w:sz w:val="31"/>
        </w:rPr>
      </w:pPr>
    </w:p>
    <w:p>
      <w:pPr>
        <w:pStyle w:val="Heading1"/>
        <w:numPr>
          <w:ilvl w:val="1"/>
          <w:numId w:val="25"/>
        </w:numPr>
        <w:tabs>
          <w:tab w:val="left" w:pos="817"/>
        </w:tabs>
        <w:spacing w:before="0" w:after="0" w:line="240" w:lineRule="auto"/>
        <w:ind w:left="816" w:right="0" w:hanging="617"/>
        <w:jc w:val="left"/>
        <w:rPr>
          <w:rFonts w:ascii="Arial" w:eastAsia="Arial"/>
        </w:rPr>
      </w:pPr>
      <w:bookmarkStart w:id="6" w:name="_TOC_250013"/>
      <w:bookmarkEnd w:id="6"/>
      <w:r>
        <w:t>管理目标</w:t>
      </w:r>
    </w:p>
    <w:p>
      <w:pPr>
        <w:pStyle w:val="BodyText"/>
        <w:spacing w:before="9"/>
        <w:rPr>
          <w:b/>
          <w:sz w:val="50"/>
        </w:rPr>
      </w:pPr>
    </w:p>
    <w:p>
      <w:pPr>
        <w:pStyle w:val="ListParagraph"/>
        <w:numPr>
          <w:ilvl w:val="2"/>
          <w:numId w:val="25"/>
        </w:numPr>
        <w:tabs>
          <w:tab w:val="left" w:pos="1965"/>
        </w:tabs>
        <w:spacing w:before="0" w:after="0" w:line="240" w:lineRule="auto"/>
        <w:ind w:left="1964" w:right="0" w:hanging="926"/>
        <w:jc w:val="left"/>
        <w:rPr>
          <w:sz w:val="42"/>
        </w:rPr>
      </w:pPr>
      <w:r>
        <w:rPr>
          <w:sz w:val="42"/>
        </w:rPr>
        <w:t>工期目标</w:t>
      </w:r>
    </w:p>
    <w:p>
      <w:pPr>
        <w:pStyle w:val="BodyText"/>
        <w:spacing w:before="398" w:line="417" w:lineRule="auto"/>
        <w:ind w:left="200" w:right="541" w:firstLine="838"/>
      </w:pPr>
      <w:r>
        <w:rPr>
          <w:spacing w:val="-15"/>
        </w:rPr>
        <w:t>组织精干力量，进行突击施工，确保钢筋加工不影响总体施工进</w:t>
      </w:r>
      <w:r>
        <w:t>度。</w:t>
      </w:r>
    </w:p>
    <w:p>
      <w:pPr>
        <w:pStyle w:val="ListParagraph"/>
        <w:numPr>
          <w:ilvl w:val="2"/>
          <w:numId w:val="25"/>
        </w:numPr>
        <w:tabs>
          <w:tab w:val="left" w:pos="1965"/>
        </w:tabs>
        <w:spacing w:before="0" w:after="0" w:line="240" w:lineRule="auto"/>
        <w:ind w:left="1964" w:right="0" w:hanging="926"/>
        <w:jc w:val="left"/>
        <w:rPr>
          <w:sz w:val="42"/>
        </w:rPr>
      </w:pPr>
      <w:r>
        <w:rPr>
          <w:sz w:val="42"/>
        </w:rPr>
        <w:t>质量目标</w:t>
      </w:r>
    </w:p>
    <w:p>
      <w:pPr>
        <w:pStyle w:val="BodyText"/>
        <w:spacing w:before="398" w:line="417" w:lineRule="auto"/>
        <w:ind w:left="200" w:right="384" w:firstLine="838"/>
      </w:pPr>
      <w:r>
        <w:rPr>
          <w:spacing w:val="-1"/>
        </w:rPr>
        <w:t>工程质量符合国家和铁道部有关标准、规范及设计文件的要求。</w:t>
      </w:r>
      <w:r>
        <w:rPr>
          <w:spacing w:val="-22"/>
        </w:rPr>
        <w:t xml:space="preserve">检验批、分项、分部工程施工质量检验合格率 </w:t>
      </w:r>
      <w:r>
        <w:rPr>
          <w:rFonts w:ascii="Arial" w:eastAsia="Arial"/>
          <w:spacing w:val="-21"/>
        </w:rPr>
        <w:t>100%</w:t>
      </w:r>
      <w:r>
        <w:rPr>
          <w:spacing w:val="-40"/>
        </w:rPr>
        <w:t>，单位</w:t>
      </w:r>
      <w:r>
        <w:t xml:space="preserve">（子单位） </w:t>
      </w:r>
      <w:r>
        <w:rPr>
          <w:spacing w:val="-9"/>
        </w:rPr>
        <w:t xml:space="preserve">工程施工质量一次验收合格率 </w:t>
      </w:r>
      <w:r>
        <w:rPr>
          <w:rFonts w:ascii="Arial" w:eastAsia="Arial"/>
        </w:rPr>
        <w:t>100%</w:t>
      </w:r>
      <w:r>
        <w:t>。</w:t>
      </w:r>
    </w:p>
    <w:p>
      <w:pPr>
        <w:pStyle w:val="ListParagraph"/>
        <w:numPr>
          <w:ilvl w:val="2"/>
          <w:numId w:val="25"/>
        </w:numPr>
        <w:tabs>
          <w:tab w:val="left" w:pos="1965"/>
        </w:tabs>
        <w:spacing w:before="0" w:after="0" w:line="537" w:lineRule="exact"/>
        <w:ind w:left="1964" w:right="0" w:hanging="926"/>
        <w:jc w:val="left"/>
        <w:rPr>
          <w:sz w:val="42"/>
        </w:rPr>
      </w:pPr>
      <w:r>
        <w:rPr>
          <w:sz w:val="42"/>
        </w:rPr>
        <w:t>安全目标</w:t>
      </w:r>
    </w:p>
    <w:p>
      <w:pPr>
        <w:pStyle w:val="BodyText"/>
        <w:spacing w:before="399" w:line="417" w:lineRule="auto"/>
        <w:ind w:left="200" w:right="380" w:firstLine="838"/>
        <w:jc w:val="both"/>
      </w:pPr>
      <w:r>
        <w:t>杜绝较大（及以上）施工安全事故；杜绝较大（及以上）道路交通责任事故；杜绝较大（及以上）火灾事故；控制和减少一般责任事故。</w:t>
      </w:r>
    </w:p>
    <w:p>
      <w:pPr>
        <w:pStyle w:val="ListParagraph"/>
        <w:numPr>
          <w:ilvl w:val="2"/>
          <w:numId w:val="25"/>
        </w:numPr>
        <w:tabs>
          <w:tab w:val="left" w:pos="1965"/>
        </w:tabs>
        <w:spacing w:before="0" w:after="0" w:line="537" w:lineRule="exact"/>
        <w:ind w:left="1964" w:right="0" w:hanging="926"/>
        <w:jc w:val="left"/>
        <w:rPr>
          <w:sz w:val="42"/>
        </w:rPr>
      </w:pPr>
      <w:r>
        <w:rPr>
          <w:sz w:val="42"/>
        </w:rPr>
        <w:t>文明施工及环境保护目标</w:t>
      </w:r>
    </w:p>
    <w:p>
      <w:pPr>
        <w:pStyle w:val="BodyText"/>
        <w:spacing w:before="398" w:line="417" w:lineRule="auto"/>
        <w:ind w:left="200" w:right="339" w:firstLine="838"/>
      </w:pPr>
      <w:r>
        <w:rPr>
          <w:spacing w:val="-22"/>
        </w:rPr>
        <w:t>在施工过程中，积极创建文明标准工地工作，积极改善职工生活、</w:t>
      </w:r>
      <w:r>
        <w:t>生产环境，做到驻地规范化、住宿公寓化、食堂餐馆化、文体活动群</w:t>
      </w:r>
      <w:r>
        <w:rPr>
          <w:spacing w:val="-13"/>
        </w:rPr>
        <w:t>众化。严格按招标文件规定及业主有关文明施工要求组织落实，争创文明施工样板工地。</w:t>
      </w:r>
    </w:p>
    <w:p>
      <w:pPr>
        <w:pStyle w:val="BodyText"/>
        <w:spacing w:line="417" w:lineRule="auto"/>
        <w:ind w:left="200" w:right="384" w:firstLine="838"/>
      </w:pPr>
      <w:r>
        <w:t>环境保护、水土保持设施与主体工程“同时设计、同时施工、同时投入使用”。</w:t>
      </w:r>
    </w:p>
    <w:p>
      <w:pPr>
        <w:spacing w:after="0" w:line="417" w:lineRule="auto"/>
        <w:sectPr>
          <w:headerReference w:type="default" r:id="rId14"/>
          <w:footerReference w:type="default" r:id="rId15"/>
          <w:pgSz w:w="17860" w:h="25260"/>
          <w:pgMar w:top="1400" w:right="2140" w:bottom="2020" w:left="2500" w:header="1088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00" w:right="384" w:firstLine="838"/>
      </w:pPr>
      <w:r>
        <w:rPr>
          <w:spacing w:val="-1"/>
        </w:rPr>
        <w:t>严格按照国家《环境保护法》和《水土保持法》和地方政府有关</w:t>
      </w:r>
      <w:r>
        <w:rPr>
          <w:spacing w:val="-14"/>
          <w:w w:val="100"/>
        </w:rPr>
        <w:t>规定落实环保“三同时”，采取各种工程防护措施，减少工程建设对</w:t>
      </w:r>
      <w:r>
        <w:rPr>
          <w:spacing w:val="-19"/>
        </w:rPr>
        <w:t>沿线生态环境的破坏和污染，确保铁路沿线景观不受破坏，江河水质不受污染，植被得到有效保护，将本工程建成绿色环保工程。</w:t>
      </w:r>
    </w:p>
    <w:p>
      <w:pPr>
        <w:pStyle w:val="ListParagraph"/>
        <w:numPr>
          <w:ilvl w:val="2"/>
          <w:numId w:val="25"/>
        </w:numPr>
        <w:tabs>
          <w:tab w:val="left" w:pos="1965"/>
        </w:tabs>
        <w:spacing w:before="0" w:after="0" w:line="537" w:lineRule="exact"/>
        <w:ind w:left="1964" w:right="0" w:hanging="926"/>
        <w:jc w:val="left"/>
        <w:rPr>
          <w:sz w:val="42"/>
        </w:rPr>
      </w:pPr>
      <w:r>
        <w:rPr>
          <w:sz w:val="42"/>
        </w:rPr>
        <w:t>职业健康安全目标</w:t>
      </w:r>
    </w:p>
    <w:p>
      <w:pPr>
        <w:pStyle w:val="BodyText"/>
        <w:spacing w:before="398" w:line="417" w:lineRule="auto"/>
        <w:ind w:left="200" w:right="380" w:firstLine="838"/>
        <w:jc w:val="both"/>
      </w:pPr>
      <w:r>
        <w:rPr>
          <w:spacing w:val="-5"/>
        </w:rPr>
        <w:t xml:space="preserve">岗前职业健康安全培训到位率 </w:t>
      </w:r>
      <w:r>
        <w:rPr>
          <w:rFonts w:ascii="Arial" w:eastAsia="Arial"/>
        </w:rPr>
        <w:t>100%</w:t>
      </w:r>
      <w:r>
        <w:rPr>
          <w:spacing w:val="-8"/>
        </w:rPr>
        <w:t xml:space="preserve">，防护措施到位率 </w:t>
      </w:r>
      <w:r>
        <w:rPr>
          <w:rFonts w:ascii="Arial" w:eastAsia="Arial"/>
        </w:rPr>
        <w:t>100%</w:t>
      </w:r>
      <w:r>
        <w:t>。</w:t>
      </w:r>
      <w:r>
        <w:rPr>
          <w:spacing w:val="-10"/>
        </w:rPr>
        <w:t>积极开展职业病、地方病、传染病的防范工作，最大限度地消除职业</w:t>
      </w:r>
      <w:r>
        <w:rPr>
          <w:spacing w:val="-11"/>
        </w:rPr>
        <w:t>危害，防止或减少职业病、地方病、传染病的发生，保障劳动者的身</w:t>
      </w:r>
      <w:r>
        <w:rPr>
          <w:spacing w:val="-1"/>
        </w:rPr>
        <w:t>体健康。确保不发生食物中毒，不发生传染病，不发生重大疫情，职</w:t>
      </w:r>
      <w:r>
        <w:t>工因工职业病发生率为零。</w:t>
      </w:r>
    </w:p>
    <w:p>
      <w:pPr>
        <w:pStyle w:val="BodyText"/>
        <w:spacing w:before="10"/>
        <w:rPr>
          <w:sz w:val="32"/>
        </w:rPr>
      </w:pPr>
    </w:p>
    <w:p>
      <w:pPr>
        <w:pStyle w:val="Heading1"/>
        <w:ind w:left="200" w:firstLine="0"/>
      </w:pPr>
      <w:bookmarkStart w:id="7" w:name="_TOC_250012"/>
      <w:r>
        <w:rPr>
          <w:rFonts w:ascii="Arial" w:eastAsia="Arial"/>
        </w:rPr>
        <w:t>4</w:t>
      </w:r>
      <w:bookmarkEnd w:id="7"/>
      <w:r>
        <w:t>、施工准备</w:t>
      </w:r>
    </w:p>
    <w:p>
      <w:pPr>
        <w:pStyle w:val="BodyText"/>
        <w:spacing w:before="3"/>
        <w:rPr>
          <w:b/>
          <w:sz w:val="62"/>
        </w:rPr>
      </w:pPr>
    </w:p>
    <w:p>
      <w:pPr>
        <w:pStyle w:val="Heading1"/>
        <w:numPr>
          <w:ilvl w:val="1"/>
          <w:numId w:val="24"/>
        </w:numPr>
        <w:tabs>
          <w:tab w:val="left" w:pos="817"/>
        </w:tabs>
        <w:spacing w:before="1" w:after="0" w:line="240" w:lineRule="auto"/>
        <w:ind w:left="816" w:right="0" w:hanging="617"/>
        <w:jc w:val="left"/>
      </w:pPr>
      <w:bookmarkStart w:id="8" w:name="_TOC_250011"/>
      <w:bookmarkEnd w:id="8"/>
      <w:r>
        <w:t>技术准备</w:t>
      </w:r>
    </w:p>
    <w:p>
      <w:pPr>
        <w:pStyle w:val="BodyText"/>
        <w:spacing w:before="9"/>
        <w:rPr>
          <w:b/>
          <w:sz w:val="50"/>
        </w:rPr>
      </w:pPr>
    </w:p>
    <w:p>
      <w:pPr>
        <w:pStyle w:val="ListParagraph"/>
        <w:numPr>
          <w:ilvl w:val="2"/>
          <w:numId w:val="24"/>
        </w:numPr>
        <w:tabs>
          <w:tab w:val="left" w:pos="2099"/>
        </w:tabs>
        <w:spacing w:before="0" w:after="0" w:line="417" w:lineRule="auto"/>
        <w:ind w:left="200" w:right="553" w:firstLine="838"/>
        <w:jc w:val="both"/>
        <w:rPr>
          <w:sz w:val="42"/>
        </w:rPr>
      </w:pPr>
      <w:r>
        <w:rPr>
          <w:sz w:val="42"/>
        </w:rPr>
        <w:t>熟悉施工图纸，学习有关规范、规程，按规范要求编制混</w:t>
      </w:r>
      <w:r>
        <w:rPr>
          <w:spacing w:val="-27"/>
          <w:sz w:val="42"/>
        </w:rPr>
        <w:t>凝土施工方案，包括基础底板、基础反梁、剪力墙、框架柱、框架梁、</w:t>
      </w:r>
      <w:r>
        <w:rPr>
          <w:sz w:val="42"/>
        </w:rPr>
        <w:t>板等施工内容。</w:t>
      </w:r>
    </w:p>
    <w:p>
      <w:pPr>
        <w:pStyle w:val="ListParagraph"/>
        <w:numPr>
          <w:ilvl w:val="2"/>
          <w:numId w:val="24"/>
        </w:numPr>
        <w:tabs>
          <w:tab w:val="left" w:pos="2092"/>
        </w:tabs>
        <w:spacing w:before="0" w:after="0" w:line="537" w:lineRule="exact"/>
        <w:ind w:left="2091" w:right="0" w:hanging="1053"/>
        <w:jc w:val="left"/>
        <w:rPr>
          <w:sz w:val="42"/>
        </w:rPr>
      </w:pPr>
      <w:r>
        <w:rPr>
          <w:sz w:val="42"/>
        </w:rPr>
        <w:t>组织工人学习混凝土施工、养护等施工工艺标准。</w:t>
      </w:r>
    </w:p>
    <w:p>
      <w:pPr>
        <w:pStyle w:val="ListParagraph"/>
        <w:numPr>
          <w:ilvl w:val="2"/>
          <w:numId w:val="24"/>
        </w:numPr>
        <w:tabs>
          <w:tab w:val="left" w:pos="2092"/>
        </w:tabs>
        <w:spacing w:before="399" w:after="0" w:line="240" w:lineRule="auto"/>
        <w:ind w:left="2091" w:right="0" w:hanging="1053"/>
        <w:jc w:val="left"/>
        <w:rPr>
          <w:sz w:val="42"/>
        </w:rPr>
      </w:pPr>
      <w:r>
        <w:rPr>
          <w:sz w:val="42"/>
        </w:rPr>
        <w:t>了解混凝土施工质量通病及预防措施。</w:t>
      </w:r>
    </w:p>
    <w:p>
      <w:pPr>
        <w:pStyle w:val="ListParagraph"/>
        <w:numPr>
          <w:ilvl w:val="2"/>
          <w:numId w:val="24"/>
        </w:numPr>
        <w:tabs>
          <w:tab w:val="left" w:pos="2092"/>
        </w:tabs>
        <w:spacing w:before="398" w:after="0" w:line="240" w:lineRule="auto"/>
        <w:ind w:left="2091" w:right="0" w:hanging="1053"/>
        <w:jc w:val="left"/>
        <w:rPr>
          <w:sz w:val="42"/>
        </w:rPr>
      </w:pPr>
      <w:r>
        <w:rPr>
          <w:sz w:val="42"/>
        </w:rPr>
        <w:t>组织工人学习混凝土强度和施工工艺之间的关系。</w:t>
      </w:r>
    </w:p>
    <w:p>
      <w:pPr>
        <w:pStyle w:val="ListParagraph"/>
        <w:numPr>
          <w:ilvl w:val="2"/>
          <w:numId w:val="24"/>
        </w:numPr>
        <w:tabs>
          <w:tab w:val="left" w:pos="2092"/>
        </w:tabs>
        <w:spacing w:before="398" w:after="0" w:line="240" w:lineRule="auto"/>
        <w:ind w:left="2091" w:right="0" w:hanging="1053"/>
        <w:jc w:val="left"/>
        <w:rPr>
          <w:sz w:val="42"/>
        </w:rPr>
      </w:pPr>
      <w:r>
        <w:rPr>
          <w:spacing w:val="-19"/>
          <w:sz w:val="42"/>
        </w:rPr>
        <w:t>做好抄平放线工作，弹好水平标高线，柱、墙外皮尺寸线。</w:t>
      </w:r>
    </w:p>
    <w:p>
      <w:pPr>
        <w:pStyle w:val="BodyText"/>
        <w:spacing w:before="6"/>
        <w:rPr>
          <w:sz w:val="62"/>
        </w:rPr>
      </w:pPr>
    </w:p>
    <w:p>
      <w:pPr>
        <w:pStyle w:val="Heading1"/>
        <w:numPr>
          <w:ilvl w:val="1"/>
          <w:numId w:val="24"/>
        </w:numPr>
        <w:tabs>
          <w:tab w:val="left" w:pos="817"/>
        </w:tabs>
        <w:spacing w:before="0" w:after="0" w:line="240" w:lineRule="auto"/>
        <w:ind w:left="816" w:right="0" w:hanging="617"/>
        <w:jc w:val="left"/>
      </w:pPr>
      <w:bookmarkStart w:id="9" w:name="_TOC_250010"/>
      <w:bookmarkEnd w:id="9"/>
      <w:r>
        <w:t>机具准备</w:t>
      </w:r>
    </w:p>
    <w:p>
      <w:pPr>
        <w:spacing w:after="0" w:line="240" w:lineRule="auto"/>
        <w:jc w:val="left"/>
        <w:sectPr>
          <w:headerReference w:type="default" r:id="rId16"/>
          <w:footerReference w:type="default" r:id="rId17"/>
          <w:pgSz w:w="17860" w:h="25260"/>
          <w:pgMar w:top="1400" w:right="2140" w:bottom="2020" w:left="2500" w:header="1088" w:footer="1831"/>
          <w:pgNumType w:start="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spacing w:before="42"/>
        <w:ind w:right="345"/>
        <w:jc w:val="center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586739</wp:posOffset>
            </wp:positionV>
            <wp:extent cx="7144892" cy="317973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892" cy="3179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混凝土施工机具准备一览表</w:t>
      </w: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24"/>
        </w:rPr>
      </w:pPr>
    </w:p>
    <w:tbl>
      <w:tblPr>
        <w:tblStyle w:val="TableNormal0"/>
        <w:tblW w:w="0" w:type="auto"/>
        <w:jc w:val="left"/>
        <w:tblInd w:w="2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2"/>
        <w:gridCol w:w="3140"/>
        <w:gridCol w:w="2949"/>
        <w:gridCol w:w="2025"/>
      </w:tblGrid>
      <w:tr>
        <w:tblPrEx>
          <w:tblW w:w="0" w:type="auto"/>
          <w:jc w:val="left"/>
          <w:tblInd w:w="2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822" w:type="dxa"/>
          </w:tcPr>
          <w:p>
            <w:pPr>
              <w:pStyle w:val="TableParagraph"/>
              <w:spacing w:line="480" w:lineRule="exact"/>
              <w:ind w:left="50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w w:val="100"/>
                <w:sz w:val="42"/>
              </w:rPr>
              <w:t>序</w:t>
            </w:r>
          </w:p>
        </w:tc>
        <w:tc>
          <w:tcPr>
            <w:tcW w:w="3140" w:type="dxa"/>
          </w:tcPr>
          <w:p>
            <w:pPr>
              <w:pStyle w:val="TableParagraph"/>
              <w:spacing w:line="480" w:lineRule="exact"/>
              <w:ind w:left="35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机械设备名称</w:t>
            </w:r>
          </w:p>
        </w:tc>
        <w:tc>
          <w:tcPr>
            <w:tcW w:w="2949" w:type="dxa"/>
          </w:tcPr>
          <w:p>
            <w:pPr>
              <w:pStyle w:val="TableParagraph"/>
              <w:spacing w:line="480" w:lineRule="exact"/>
              <w:ind w:left="26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型号</w:t>
            </w:r>
          </w:p>
        </w:tc>
        <w:tc>
          <w:tcPr>
            <w:tcW w:w="2025" w:type="dxa"/>
          </w:tcPr>
          <w:p>
            <w:pPr>
              <w:pStyle w:val="TableParagraph"/>
              <w:spacing w:line="480" w:lineRule="exact"/>
              <w:ind w:left="1132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数量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822" w:type="dxa"/>
          </w:tcPr>
          <w:p>
            <w:pPr>
              <w:pStyle w:val="TableParagraph"/>
              <w:spacing w:before="142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</w:t>
            </w:r>
          </w:p>
        </w:tc>
        <w:tc>
          <w:tcPr>
            <w:tcW w:w="3140" w:type="dxa"/>
          </w:tcPr>
          <w:p>
            <w:pPr>
              <w:pStyle w:val="TableParagraph"/>
              <w:spacing w:before="116"/>
              <w:ind w:left="35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集中拌合</w:t>
            </w:r>
          </w:p>
        </w:tc>
        <w:tc>
          <w:tcPr>
            <w:tcW w:w="294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spacing w:before="116"/>
              <w:ind w:left="1132"/>
              <w:rPr>
                <w:rFonts w:ascii="隶书" w:eastAsia="隶书" w:hint="eastAsia"/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1 </w:t>
            </w:r>
            <w:r>
              <w:rPr>
                <w:rFonts w:ascii="隶书" w:eastAsia="隶书" w:hint="eastAsia"/>
                <w:sz w:val="42"/>
              </w:rPr>
              <w:t>套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822" w:type="dxa"/>
          </w:tcPr>
          <w:p>
            <w:pPr>
              <w:pStyle w:val="TableParagraph"/>
              <w:spacing w:before="136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3140" w:type="dxa"/>
          </w:tcPr>
          <w:p>
            <w:pPr>
              <w:pStyle w:val="TableParagraph"/>
              <w:spacing w:before="110"/>
              <w:ind w:left="35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混凝土振捣棒</w:t>
            </w:r>
          </w:p>
        </w:tc>
        <w:tc>
          <w:tcPr>
            <w:tcW w:w="294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spacing w:before="110"/>
              <w:ind w:left="1132"/>
              <w:rPr>
                <w:rFonts w:ascii="隶书" w:eastAsia="隶书" w:hint="eastAsia"/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8 </w:t>
            </w:r>
            <w:r>
              <w:rPr>
                <w:rFonts w:ascii="隶书" w:eastAsia="隶书" w:hint="eastAsia"/>
                <w:sz w:val="42"/>
              </w:rPr>
              <w:t>个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822" w:type="dxa"/>
          </w:tcPr>
          <w:p>
            <w:pPr>
              <w:pStyle w:val="TableParagraph"/>
              <w:spacing w:before="140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</w:t>
            </w:r>
          </w:p>
        </w:tc>
        <w:tc>
          <w:tcPr>
            <w:tcW w:w="3140" w:type="dxa"/>
          </w:tcPr>
          <w:p>
            <w:pPr>
              <w:pStyle w:val="TableParagraph"/>
              <w:spacing w:before="114"/>
              <w:ind w:left="35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吊车</w:t>
            </w:r>
          </w:p>
        </w:tc>
        <w:tc>
          <w:tcPr>
            <w:tcW w:w="294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spacing w:before="114"/>
              <w:ind w:left="1132"/>
              <w:rPr>
                <w:rFonts w:ascii="隶书" w:eastAsia="隶书" w:hint="eastAsia"/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1 </w:t>
            </w:r>
            <w:r>
              <w:rPr>
                <w:rFonts w:ascii="隶书" w:eastAsia="隶书" w:hint="eastAsia"/>
                <w:sz w:val="42"/>
              </w:rPr>
              <w:t>台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822" w:type="dxa"/>
          </w:tcPr>
          <w:p>
            <w:pPr>
              <w:pStyle w:val="TableParagraph"/>
              <w:spacing w:before="124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  <w:tc>
          <w:tcPr>
            <w:tcW w:w="3140" w:type="dxa"/>
          </w:tcPr>
          <w:p>
            <w:pPr>
              <w:pStyle w:val="TableParagraph"/>
              <w:spacing w:before="98"/>
              <w:ind w:left="35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砼运输车</w:t>
            </w:r>
          </w:p>
        </w:tc>
        <w:tc>
          <w:tcPr>
            <w:tcW w:w="294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spacing w:before="98"/>
              <w:ind w:left="1132"/>
              <w:rPr>
                <w:rFonts w:ascii="隶书" w:eastAsia="隶书" w:hint="eastAsia"/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6 </w:t>
            </w:r>
            <w:r>
              <w:rPr>
                <w:rFonts w:ascii="隶书" w:eastAsia="隶书" w:hint="eastAsia"/>
                <w:sz w:val="42"/>
              </w:rPr>
              <w:t>辆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822" w:type="dxa"/>
          </w:tcPr>
          <w:p>
            <w:pPr>
              <w:pStyle w:val="TableParagraph"/>
              <w:spacing w:before="138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5</w:t>
            </w:r>
          </w:p>
        </w:tc>
        <w:tc>
          <w:tcPr>
            <w:tcW w:w="3140" w:type="dxa"/>
          </w:tcPr>
          <w:p>
            <w:pPr>
              <w:pStyle w:val="TableParagraph"/>
              <w:spacing w:before="112"/>
              <w:ind w:left="35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地泵</w:t>
            </w:r>
          </w:p>
        </w:tc>
        <w:tc>
          <w:tcPr>
            <w:tcW w:w="294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spacing w:before="138"/>
              <w:ind w:left="1132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</w:tr>
      <w:tr>
        <w:tblPrEx>
          <w:tblW w:w="0" w:type="auto"/>
          <w:jc w:val="left"/>
          <w:tblInd w:w="2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1"/>
          <w:jc w:val="left"/>
        </w:trPr>
        <w:tc>
          <w:tcPr>
            <w:tcW w:w="822" w:type="dxa"/>
          </w:tcPr>
          <w:p>
            <w:pPr>
              <w:pStyle w:val="TableParagraph"/>
              <w:spacing w:before="138" w:line="433" w:lineRule="exact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6</w:t>
            </w:r>
          </w:p>
        </w:tc>
        <w:tc>
          <w:tcPr>
            <w:tcW w:w="3140" w:type="dxa"/>
          </w:tcPr>
          <w:p>
            <w:pPr>
              <w:pStyle w:val="TableParagraph"/>
              <w:spacing w:before="112" w:line="459" w:lineRule="exact"/>
              <w:ind w:left="351"/>
              <w:rPr>
                <w:rFonts w:ascii="隶书" w:eastAsia="隶书" w:hint="eastAsia"/>
                <w:sz w:val="42"/>
              </w:rPr>
            </w:pPr>
            <w:r>
              <w:rPr>
                <w:rFonts w:ascii="隶书" w:eastAsia="隶书" w:hint="eastAsia"/>
                <w:sz w:val="42"/>
              </w:rPr>
              <w:t>漏斗</w:t>
            </w:r>
          </w:p>
        </w:tc>
        <w:tc>
          <w:tcPr>
            <w:tcW w:w="2949" w:type="dxa"/>
          </w:tcPr>
          <w:p>
            <w:pPr>
              <w:pStyle w:val="TableParagraph"/>
              <w:spacing w:before="112" w:line="459" w:lineRule="exact"/>
              <w:ind w:left="261"/>
              <w:rPr>
                <w:rFonts w:ascii="隶书" w:eastAsia="隶书" w:hint="eastAsia"/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1*1*1 </w:t>
            </w:r>
            <w:r>
              <w:rPr>
                <w:rFonts w:ascii="隶书" w:eastAsia="隶书" w:hint="eastAsia"/>
                <w:sz w:val="42"/>
              </w:rPr>
              <w:t>米</w:t>
            </w:r>
          </w:p>
        </w:tc>
        <w:tc>
          <w:tcPr>
            <w:tcW w:w="2025" w:type="dxa"/>
          </w:tcPr>
          <w:p>
            <w:pPr>
              <w:pStyle w:val="TableParagraph"/>
              <w:spacing w:before="138" w:line="433" w:lineRule="exact"/>
              <w:ind w:left="1132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Heading1"/>
        <w:numPr>
          <w:ilvl w:val="1"/>
          <w:numId w:val="31"/>
        </w:numPr>
        <w:tabs>
          <w:tab w:val="left" w:pos="817"/>
        </w:tabs>
        <w:spacing w:before="95" w:after="0" w:line="240" w:lineRule="auto"/>
        <w:ind w:left="816" w:right="0" w:hanging="617"/>
        <w:jc w:val="left"/>
      </w:pPr>
      <w:bookmarkStart w:id="10" w:name="_TOC_250009"/>
      <w:bookmarkEnd w:id="10"/>
      <w:r>
        <w:rPr>
          <w:w w:val="95"/>
        </w:rPr>
        <w:t>人员准备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5"/>
        </w:rPr>
      </w:pPr>
      <w:r>
        <w:pict>
          <v:group id="_x0000_s1061" style="width:632pt;height:195pt;margin-top:11.94pt;margin-left:126pt;mso-position-horizontal-relative:page;mso-wrap-distance-left:0;mso-wrap-distance-right:0;position:absolute;z-index:-251655168" coordorigin="2520,239" coordsize="12640,3900">
            <v:shape id="_x0000_s1062" type="#_x0000_t75" style="width:12640;height:3900;left:2520;position:absolute;top:238" stroked="f">
              <v:imagedata r:id="rId19" o:title=""/>
            </v:shape>
            <v:shape id="_x0000_s1063" type="#_x0000_t202" style="width:442;height:3264;left:2700;position:absolute;top:46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序</w:t>
                    </w:r>
                  </w:p>
                  <w:p>
                    <w:pPr>
                      <w:spacing w:before="287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1</w:t>
                    </w:r>
                  </w:p>
                  <w:p>
                    <w:pPr>
                      <w:spacing w:before="219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2</w:t>
                    </w:r>
                  </w:p>
                  <w:p>
                    <w:pPr>
                      <w:spacing w:before="205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3</w:t>
                    </w:r>
                  </w:p>
                  <w:p>
                    <w:pPr>
                      <w:spacing w:before="219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64" type="#_x0000_t202" style="width:442;height:422;left:3809;position:absolute;top:4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工</w:t>
                    </w:r>
                  </w:p>
                </w:txbxContent>
              </v:textbox>
            </v:shape>
            <v:shape id="_x0000_s1065" type="#_x0000_t202" style="width:442;height:422;left:4651;position:absolute;top:4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种</w:t>
                    </w:r>
                  </w:p>
                </w:txbxContent>
              </v:textbox>
            </v:shape>
            <v:shape id="_x0000_s1066" type="#_x0000_t202" style="width:1198;height:422;left:6528;position:absolute;top:465" filled="f" stroked="f">
              <v:textbox inset="0,0,0,0">
                <w:txbxContent>
                  <w:p>
                    <w:pPr>
                      <w:tabs>
                        <w:tab w:val="left" w:pos="755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人</w:t>
                      <w:tab/>
                      <w:t>数</w:t>
                    </w:r>
                  </w:p>
                </w:txbxContent>
              </v:textbox>
            </v:shape>
            <v:shape id="_x0000_s1067" type="#_x0000_t202" style="width:442;height:422;left:8691;position:absolute;top:4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68" type="#_x0000_t202" style="width:442;height:422;left:9534;position:absolute;top:4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069" type="#_x0000_t202" style="width:442;height:422;left:3809;position:absolute;top:12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力</w:t>
                    </w:r>
                  </w:p>
                </w:txbxContent>
              </v:textbox>
            </v:shape>
            <v:shape id="_x0000_s1070" type="#_x0000_t202" style="width:442;height:422;left:4565;position:absolute;top:12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工</w:t>
                    </w:r>
                  </w:p>
                </w:txbxContent>
              </v:textbox>
            </v:shape>
            <v:shape id="_x0000_s1071" type="#_x0000_t202" style="width:1284;height:1812;left:3809;position:absolute;top:196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石匠</w:t>
                    </w:r>
                  </w:p>
                  <w:p>
                    <w:pPr>
                      <w:spacing w:before="8" w:line="702" w:lineRule="exac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司 机 起重工</w:t>
                    </w:r>
                  </w:p>
                </w:txbxContent>
              </v:textbox>
            </v:shape>
            <v:shape id="_x0000_s1072" type="#_x0000_t202" style="width:1154;height:2563;left:6528;position:absolute;top:1216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100</w:t>
                    </w:r>
                    <w:r>
                      <w:rPr>
                        <w:rFonts w:ascii="Arial" w:eastAsia="Arial"/>
                        <w:spacing w:val="-40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w w:val="95"/>
                        <w:sz w:val="42"/>
                      </w:rPr>
                      <w:t>人</w:t>
                    </w:r>
                  </w:p>
                  <w:p>
                    <w:pPr>
                      <w:spacing w:before="164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 xml:space="preserve">10 </w:t>
                    </w:r>
                    <w:r>
                      <w:rPr>
                        <w:sz w:val="42"/>
                      </w:rPr>
                      <w:t>人</w:t>
                    </w:r>
                  </w:p>
                  <w:p>
                    <w:pPr>
                      <w:spacing w:before="149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6</w:t>
                    </w:r>
                    <w:r>
                      <w:rPr>
                        <w:rFonts w:ascii="Arial" w:eastAsia="Arial"/>
                        <w:spacing w:val="-5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人</w:t>
                    </w:r>
                  </w:p>
                  <w:p>
                    <w:pPr>
                      <w:spacing w:before="16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4</w:t>
                    </w:r>
                    <w:r>
                      <w:rPr>
                        <w:rFonts w:ascii="Arial" w:eastAsia="Arial"/>
                        <w:spacing w:val="-5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人</w:t>
                    </w:r>
                  </w:p>
                </w:txbxContent>
              </v:textbox>
            </v:shape>
            <v:shape id="_x0000_s1073" type="#_x0000_t202" style="width:6338;height:422;left:8691;position:absolute;top:18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根据工程施工进度和实际情况，各</w:t>
                    </w:r>
                  </w:p>
                </w:txbxContent>
              </v:textbox>
            </v:shape>
            <v:shape id="_x0000_s1074" type="#_x0000_t202" style="width:4232;height:422;left:8691;position:absolute;top:27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工种人数会有所变化。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b/>
          <w:sz w:val="29"/>
        </w:rPr>
      </w:pPr>
    </w:p>
    <w:p>
      <w:pPr>
        <w:pStyle w:val="Heading1"/>
        <w:numPr>
          <w:ilvl w:val="1"/>
          <w:numId w:val="31"/>
        </w:numPr>
        <w:tabs>
          <w:tab w:val="left" w:pos="817"/>
        </w:tabs>
        <w:spacing w:before="95" w:after="0" w:line="240" w:lineRule="auto"/>
        <w:ind w:left="816" w:right="0" w:hanging="617"/>
        <w:jc w:val="left"/>
      </w:pPr>
      <w:bookmarkStart w:id="11" w:name="_TOC_250008"/>
      <w:bookmarkEnd w:id="11"/>
      <w:r>
        <w:rPr>
          <w:w w:val="95"/>
        </w:rPr>
        <w:t>材料准备</w:t>
      </w:r>
    </w:p>
    <w:p>
      <w:pPr>
        <w:pStyle w:val="BodyText"/>
        <w:spacing w:before="9"/>
        <w:rPr>
          <w:b/>
          <w:sz w:val="50"/>
        </w:rPr>
      </w:pPr>
    </w:p>
    <w:p>
      <w:pPr>
        <w:pStyle w:val="ListParagraph"/>
        <w:numPr>
          <w:ilvl w:val="2"/>
          <w:numId w:val="23"/>
        </w:numPr>
        <w:tabs>
          <w:tab w:val="left" w:pos="1965"/>
        </w:tabs>
        <w:spacing w:before="0" w:after="0" w:line="240" w:lineRule="auto"/>
        <w:ind w:left="1964" w:right="0" w:hanging="926"/>
        <w:jc w:val="left"/>
        <w:rPr>
          <w:sz w:val="42"/>
        </w:rPr>
      </w:pPr>
      <w:r>
        <w:rPr>
          <w:sz w:val="42"/>
        </w:rPr>
        <w:t>原材料场地准备</w:t>
      </w:r>
    </w:p>
    <w:p>
      <w:pPr>
        <w:pStyle w:val="BodyText"/>
        <w:spacing w:before="398" w:line="417" w:lineRule="auto"/>
        <w:ind w:left="200" w:right="339" w:firstLine="838"/>
      </w:pPr>
      <w:r>
        <w:rPr>
          <w:spacing w:val="-22"/>
        </w:rPr>
        <w:t>为控制砂石料含水率，搅拌站搭设材料堆放棚，集中存放原材料。</w:t>
      </w:r>
      <w:r>
        <w:t>材料堆放棚采用混凝土硬化面硬化。</w:t>
      </w:r>
    </w:p>
    <w:p>
      <w:pPr>
        <w:pStyle w:val="ListParagraph"/>
        <w:numPr>
          <w:ilvl w:val="2"/>
          <w:numId w:val="23"/>
        </w:numPr>
        <w:tabs>
          <w:tab w:val="left" w:pos="1965"/>
        </w:tabs>
        <w:spacing w:before="1" w:after="0" w:line="240" w:lineRule="auto"/>
        <w:ind w:left="1964" w:right="0" w:hanging="926"/>
        <w:jc w:val="left"/>
        <w:rPr>
          <w:sz w:val="42"/>
        </w:rPr>
      </w:pPr>
      <w:r>
        <w:rPr>
          <w:sz w:val="42"/>
        </w:rPr>
        <w:t>堆放要求</w:t>
      </w:r>
    </w:p>
    <w:p>
      <w:pPr>
        <w:pStyle w:val="BodyText"/>
        <w:spacing w:before="397" w:line="417" w:lineRule="auto"/>
        <w:ind w:left="200" w:right="384" w:firstLine="838"/>
      </w:pPr>
      <w:r>
        <w:t xml:space="preserve">进场原材料按待检材料、检测合格材料、不合格材料分别堆放。并挂标识牌，标识牌规格尺寸 </w:t>
      </w:r>
      <w:r>
        <w:rPr>
          <w:rFonts w:ascii="Arial" w:eastAsia="Arial" w:hAnsi="Arial"/>
        </w:rPr>
        <w:t>297</w:t>
      </w:r>
      <w:r>
        <w:t>×</w:t>
      </w:r>
      <w:r>
        <w:rPr>
          <w:rFonts w:ascii="Arial" w:eastAsia="Arial" w:hAnsi="Arial"/>
        </w:rPr>
        <w:t>210mm</w:t>
      </w:r>
      <w:r>
        <w:t>。标识牌如下：</w:t>
      </w:r>
    </w:p>
    <w:p>
      <w:pPr>
        <w:spacing w:after="0" w:line="417" w:lineRule="auto"/>
        <w:sectPr>
          <w:headerReference w:type="default" r:id="rId20"/>
          <w:footerReference w:type="default" r:id="rId21"/>
          <w:pgSz w:w="17860" w:h="25260"/>
          <w:pgMar w:top="1400" w:right="2140" w:bottom="2020" w:left="2500" w:header="1088" w:footer="1831"/>
          <w:pgNumType w:start="7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75" style="width:630pt;height:122pt;mso-position-horizontal-relative:char;mso-position-vertical-relative:line" coordorigin="0,0" coordsize="12600,2440">
            <v:shape id="_x0000_s1076" type="#_x0000_t75" style="width:12600;height:2440;position:absolute" stroked="f">
              <v:imagedata r:id="rId22" o:title=""/>
            </v:shape>
            <v:shape id="_x0000_s1077" type="#_x0000_t202" style="width:2852;height:923;left:4197;position:absolute;top:87" filled="f" stroked="f">
              <v:textbox inset="0,0,0,0">
                <w:txbxContent>
                  <w:p>
                    <w:pPr>
                      <w:spacing w:before="0" w:line="327" w:lineRule="exact"/>
                      <w:ind w:left="585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材料标识牌</w:t>
                    </w:r>
                  </w:p>
                  <w:p>
                    <w:pPr>
                      <w:spacing w:before="0" w:line="342" w:lineRule="exact"/>
                      <w:ind w:left="1552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标准文案</w:t>
                    </w:r>
                  </w:p>
                  <w:p>
                    <w:pPr>
                      <w:tabs>
                        <w:tab w:val="left" w:pos="2012"/>
                      </w:tabs>
                      <w:spacing w:before="70" w:line="1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sz w:val="16"/>
                      </w:rPr>
                      <w:t>材料名称：</w:t>
                      <w:tab/>
                      <w:t>材料产地：</w:t>
                    </w:r>
                  </w:p>
                </w:txbxContent>
              </v:textbox>
            </v:shape>
            <v:shape id="_x0000_s1078" type="#_x0000_t202" style="width:839;height:164;left:4189;position:absolute;top:1175" filled="f" stroked="f">
              <v:textbox inset="0,0,0,0">
                <w:txbxContent>
                  <w:p>
                    <w:pPr>
                      <w:spacing w:before="0" w:line="16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sz w:val="16"/>
                      </w:rPr>
                      <w:t>规格型号：</w:t>
                    </w:r>
                  </w:p>
                </w:txbxContent>
              </v:textbox>
            </v:shape>
            <v:shape id="_x0000_s1079" type="#_x0000_t202" style="width:839;height:164;left:6192;position:absolute;top:1191" filled="f" stroked="f">
              <v:textbox inset="0,0,0,0">
                <w:txbxContent>
                  <w:p>
                    <w:pPr>
                      <w:spacing w:before="0" w:line="16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sz w:val="16"/>
                      </w:rPr>
                      <w:t>进货批量：</w:t>
                    </w:r>
                  </w:p>
                </w:txbxContent>
              </v:textbox>
            </v:shape>
            <v:shape id="_x0000_s1080" type="#_x0000_t202" style="width:839;height:164;left:4180;position:absolute;top:1511" filled="f" stroked="f">
              <v:textbox inset="0,0,0,0">
                <w:txbxContent>
                  <w:p>
                    <w:pPr>
                      <w:spacing w:before="0" w:line="16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sz w:val="16"/>
                      </w:rPr>
                      <w:t>检验状态：</w:t>
                    </w:r>
                  </w:p>
                </w:txbxContent>
              </v:textbox>
            </v:shape>
            <v:shape id="_x0000_s1081" type="#_x0000_t202" style="width:839;height:164;left:6184;position:absolute;top:1563" filled="f" stroked="f">
              <v:textbox inset="0,0,0,0">
                <w:txbxContent>
                  <w:p>
                    <w:pPr>
                      <w:spacing w:before="0" w:line="16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sz w:val="16"/>
                      </w:rPr>
                      <w:t>进场日期：</w:t>
                    </w:r>
                  </w:p>
                </w:txbxContent>
              </v:textbox>
            </v:shape>
            <v:shape id="_x0000_s1082" type="#_x0000_t202" style="width:1986;height:164;left:5238;position:absolute;top:2224" filled="f" stroked="f">
              <v:textbox inset="0,0,0,0">
                <w:txbxContent>
                  <w:p>
                    <w:pPr>
                      <w:spacing w:before="0" w:line="16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sz w:val="16"/>
                      </w:rPr>
                      <w:t>天润建设银帆西雅图项目部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Heading1"/>
        <w:numPr>
          <w:ilvl w:val="1"/>
          <w:numId w:val="32"/>
        </w:numPr>
        <w:tabs>
          <w:tab w:val="left" w:pos="817"/>
        </w:tabs>
        <w:spacing w:before="95" w:after="0" w:line="240" w:lineRule="auto"/>
        <w:ind w:left="816" w:right="0" w:hanging="617"/>
        <w:jc w:val="left"/>
      </w:pPr>
      <w:r>
        <w:pict>
          <v:line id="_x0000_s1083" style="mso-position-horizontal-relative:page;position:absolute;z-index:251662336" from="540pt,31.85pt" to="540pt,0.9pt" stroked="t" strokecolor="black" strokeweight="2.21pt">
            <v:stroke dashstyle="solid"/>
          </v:line>
        </w:pict>
      </w:r>
      <w:bookmarkStart w:id="12" w:name="_TOC_250007"/>
      <w:bookmarkEnd w:id="12"/>
      <w:r>
        <w:t>原材料要求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7"/>
        </w:rPr>
      </w:pPr>
    </w:p>
    <w:p>
      <w:pPr>
        <w:pStyle w:val="BodyText"/>
        <w:spacing w:before="42" w:line="417" w:lineRule="auto"/>
        <w:ind w:left="1039" w:right="1051"/>
      </w:pPr>
      <w:r>
        <w:t>水泥：根据结构部位混凝土强度等级优选水泥品种及标号。</w:t>
      </w:r>
      <w:r>
        <w:rPr>
          <w:spacing w:val="15"/>
          <w:w w:val="95"/>
        </w:rPr>
        <w:t xml:space="preserve">粗骨料：粒径 </w:t>
      </w:r>
      <w:r>
        <w:rPr>
          <w:rFonts w:ascii="Arial" w:eastAsia="Arial"/>
          <w:w w:val="95"/>
        </w:rPr>
        <w:t>5-31.5mm</w:t>
      </w:r>
      <w:r>
        <w:rPr>
          <w:rFonts w:ascii="Arial" w:eastAsia="Arial"/>
          <w:spacing w:val="91"/>
          <w:w w:val="95"/>
        </w:rPr>
        <w:t xml:space="preserve"> </w:t>
      </w:r>
      <w:r>
        <w:rPr>
          <w:w w:val="95"/>
        </w:rPr>
        <w:t>碎石洁净、级配良好、含泥量</w:t>
      </w:r>
      <w:r>
        <w:rPr>
          <w:rFonts w:ascii="Arial" w:eastAsia="Arial"/>
          <w:spacing w:val="-3"/>
          <w:w w:val="95"/>
        </w:rPr>
        <w:t>&lt;1%</w:t>
      </w:r>
      <w:r>
        <w:rPr>
          <w:spacing w:val="-15"/>
          <w:w w:val="95"/>
        </w:rPr>
        <w:t>。</w:t>
      </w:r>
      <w:r>
        <w:rPr>
          <w:spacing w:val="-11"/>
        </w:rPr>
        <w:t xml:space="preserve">细骨料：河砂。细度模数 </w:t>
      </w:r>
      <w:r>
        <w:rPr>
          <w:rFonts w:ascii="Arial" w:eastAsia="Arial"/>
        </w:rPr>
        <w:t>2.4-2.9</w:t>
      </w:r>
      <w:r>
        <w:rPr>
          <w:spacing w:val="-2"/>
        </w:rPr>
        <w:t>，洁净，含泥量</w:t>
      </w:r>
      <w:r>
        <w:rPr>
          <w:rFonts w:ascii="Arial" w:eastAsia="Arial"/>
        </w:rPr>
        <w:t>&lt;2%</w:t>
      </w:r>
      <w:r>
        <w:t>。</w:t>
      </w:r>
    </w:p>
    <w:p>
      <w:pPr>
        <w:pStyle w:val="BodyText"/>
        <w:spacing w:line="417" w:lineRule="auto"/>
        <w:ind w:left="200" w:right="380" w:firstLine="838"/>
        <w:jc w:val="both"/>
      </w:pPr>
      <w:r>
        <w:t>外加剂：高效减水剂，大面积底板、楼板混凝土采用膨胀剂。水泥、砂、石、粉煤灰、高效减水剂、膨胀剂质量必须符合国家相关技术质量标准，必须有出厂合格证，施工前应现场抽样试验。</w:t>
      </w:r>
    </w:p>
    <w:p>
      <w:pPr>
        <w:pStyle w:val="BodyText"/>
        <w:spacing w:before="4"/>
        <w:rPr>
          <w:sz w:val="31"/>
        </w:rPr>
      </w:pPr>
    </w:p>
    <w:p>
      <w:pPr>
        <w:pStyle w:val="Heading1"/>
        <w:numPr>
          <w:ilvl w:val="1"/>
          <w:numId w:val="32"/>
        </w:numPr>
        <w:tabs>
          <w:tab w:val="left" w:pos="817"/>
        </w:tabs>
        <w:spacing w:before="1" w:after="0" w:line="240" w:lineRule="auto"/>
        <w:ind w:left="816" w:right="0" w:hanging="617"/>
        <w:jc w:val="left"/>
      </w:pPr>
      <w:bookmarkStart w:id="13" w:name="_TOC_250006"/>
      <w:bookmarkEnd w:id="13"/>
      <w:r>
        <w:t>配合比选定</w:t>
      </w:r>
    </w:p>
    <w:p>
      <w:pPr>
        <w:pStyle w:val="BodyText"/>
        <w:spacing w:before="5"/>
        <w:rPr>
          <w:b/>
          <w:sz w:val="50"/>
        </w:rPr>
      </w:pPr>
    </w:p>
    <w:p>
      <w:pPr>
        <w:pStyle w:val="BodyText"/>
        <w:spacing w:line="417" w:lineRule="auto"/>
        <w:ind w:left="200" w:right="503" w:firstLine="719"/>
        <w:jc w:val="both"/>
      </w:pPr>
      <w:r>
        <w:rPr>
          <w:spacing w:val="-1"/>
        </w:rPr>
        <w:t>配合比必须经现场取样，由试验室试配确定。作好高性能混凝土</w:t>
      </w:r>
      <w:r>
        <w:rPr>
          <w:spacing w:val="-13"/>
        </w:rPr>
        <w:t>的试配工作，如在混凝土中掺入优质掺合料及高性能外加剂，选择级配良好的粗细骨料，满足施工需要。</w:t>
      </w:r>
    </w:p>
    <w:p>
      <w:pPr>
        <w:pStyle w:val="BodyText"/>
        <w:spacing w:line="417" w:lineRule="auto"/>
        <w:ind w:left="200" w:right="503" w:firstLine="719"/>
      </w:pPr>
      <w:r>
        <w:t>混凝土立方最小水泥用量、最大水灰比、水泥中最大氯离子及最大碱含量均应符合设计要求。</w:t>
      </w:r>
    </w:p>
    <w:p>
      <w:pPr>
        <w:pStyle w:val="BodyText"/>
        <w:spacing w:before="5"/>
        <w:rPr>
          <w:sz w:val="31"/>
        </w:rPr>
      </w:pPr>
    </w:p>
    <w:p>
      <w:pPr>
        <w:pStyle w:val="Heading1"/>
        <w:numPr>
          <w:ilvl w:val="1"/>
          <w:numId w:val="32"/>
        </w:numPr>
        <w:tabs>
          <w:tab w:val="left" w:pos="817"/>
        </w:tabs>
        <w:spacing w:before="0" w:after="0" w:line="240" w:lineRule="auto"/>
        <w:ind w:left="816" w:right="0" w:hanging="617"/>
        <w:jc w:val="left"/>
      </w:pPr>
      <w:bookmarkStart w:id="14" w:name="_TOC_250005"/>
      <w:bookmarkEnd w:id="14"/>
      <w:r>
        <w:t>施工道路准备</w:t>
      </w:r>
    </w:p>
    <w:p>
      <w:pPr>
        <w:pStyle w:val="BodyText"/>
        <w:spacing w:before="10"/>
        <w:rPr>
          <w:b/>
          <w:sz w:val="50"/>
        </w:rPr>
      </w:pPr>
    </w:p>
    <w:p>
      <w:pPr>
        <w:pStyle w:val="BodyText"/>
        <w:spacing w:line="417" w:lineRule="auto"/>
        <w:ind w:left="200" w:right="503" w:firstLine="719"/>
        <w:jc w:val="both"/>
      </w:pPr>
      <w:r>
        <w:rPr>
          <w:spacing w:val="-1"/>
        </w:rPr>
        <w:t>主要交通利用大金庄金星路既有混凝土道路、物流大道及小金庄</w:t>
      </w:r>
      <w:r>
        <w:rPr>
          <w:spacing w:val="-13"/>
        </w:rPr>
        <w:t>内的道路，进出场道路利用站前单位修建的施工便道，项目部依据现</w:t>
      </w:r>
      <w:r>
        <w:rPr>
          <w:spacing w:val="-17"/>
        </w:rPr>
        <w:t>场实际情况，采用永临相结合的原则修建站内临时交通网，确保混凝土能运送到施工现场，临时道路采用混凝土硬化面。</w:t>
      </w:r>
    </w:p>
    <w:p>
      <w:pPr>
        <w:pStyle w:val="BodyText"/>
        <w:spacing w:before="10"/>
        <w:rPr>
          <w:sz w:val="32"/>
        </w:rPr>
      </w:pPr>
    </w:p>
    <w:p>
      <w:pPr>
        <w:pStyle w:val="Heading1"/>
        <w:numPr>
          <w:ilvl w:val="0"/>
          <w:numId w:val="22"/>
        </w:numPr>
        <w:tabs>
          <w:tab w:val="left" w:pos="500"/>
        </w:tabs>
        <w:spacing w:before="0" w:after="0" w:line="240" w:lineRule="auto"/>
        <w:ind w:left="499" w:right="0" w:hanging="300"/>
        <w:jc w:val="left"/>
      </w:pPr>
      <w:bookmarkStart w:id="15" w:name="_TOC_250004"/>
      <w:bookmarkEnd w:id="15"/>
      <w:r>
        <w:t>主要施工方法</w:t>
      </w:r>
    </w:p>
    <w:p>
      <w:pPr>
        <w:spacing w:after="0" w:line="240" w:lineRule="auto"/>
        <w:jc w:val="left"/>
        <w:sectPr>
          <w:headerReference w:type="default" r:id="rId23"/>
          <w:footerReference w:type="default" r:id="rId24"/>
          <w:pgSz w:w="17860" w:h="25260"/>
          <w:pgMar w:top="620" w:right="2140" w:bottom="2020" w:left="2500" w:header="0" w:footer="1831"/>
          <w:pgNumType w:start="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Heading1"/>
        <w:numPr>
          <w:ilvl w:val="1"/>
          <w:numId w:val="22"/>
        </w:numPr>
        <w:tabs>
          <w:tab w:val="left" w:pos="817"/>
        </w:tabs>
        <w:spacing w:before="96" w:after="0" w:line="240" w:lineRule="auto"/>
        <w:ind w:left="816" w:right="0" w:hanging="617"/>
        <w:jc w:val="left"/>
      </w:pPr>
      <w:bookmarkStart w:id="16" w:name="_TOC_250003"/>
      <w:bookmarkEnd w:id="16"/>
      <w:r>
        <w:t>混凝土拌制</w:t>
      </w:r>
    </w:p>
    <w:p>
      <w:pPr>
        <w:pStyle w:val="BodyText"/>
        <w:spacing w:before="9"/>
        <w:rPr>
          <w:b/>
          <w:sz w:val="50"/>
        </w:rPr>
      </w:pPr>
    </w:p>
    <w:p>
      <w:pPr>
        <w:pStyle w:val="BodyText"/>
        <w:spacing w:line="417" w:lineRule="auto"/>
        <w:ind w:left="200" w:right="558" w:firstLine="838"/>
      </w:pPr>
      <w:r>
        <w:rPr>
          <w:spacing w:val="-12"/>
        </w:rPr>
        <w:t>混凝土采用现场搅拌混凝土，由现场搅拌站采用自动计量、自动</w:t>
      </w:r>
      <w:r>
        <w:t>配料集中拌制，混凝土搅拌车运至施工现场。</w:t>
      </w:r>
    </w:p>
    <w:p>
      <w:pPr>
        <w:pStyle w:val="BodyText"/>
        <w:spacing w:line="417" w:lineRule="auto"/>
        <w:ind w:left="200" w:right="118" w:firstLine="838"/>
      </w:pPr>
      <w:r>
        <w:rPr>
          <w:spacing w:val="-13"/>
        </w:rPr>
        <w:t>当有少量混凝土需现场拌制时，严格控制配合以确保混凝土质量。</w:t>
      </w:r>
      <w:r>
        <w:rPr>
          <w:spacing w:val="-27"/>
        </w:rPr>
        <w:t>水泥、砂、石、粉煤灰、外加剂、水必须经过计量后才能投入搅拌机， 计量偏差应符合：及时测定砂、石的含水量，以便及时调整拌合用水</w:t>
      </w:r>
      <w:r>
        <w:rPr>
          <w:spacing w:val="-28"/>
        </w:rPr>
        <w:t>量，投料必须按正确程序进行，投料顺序为：碎石→水泥</w:t>
      </w:r>
      <w:r>
        <w:rPr>
          <w:rFonts w:ascii="Arial" w:eastAsia="Arial" w:hAnsi="Arial"/>
          <w:spacing w:val="-3"/>
        </w:rPr>
        <w:t>(</w:t>
      </w:r>
      <w:r>
        <w:t>外掺剂</w:t>
      </w:r>
      <w:r>
        <w:rPr>
          <w:rFonts w:ascii="Arial" w:eastAsia="Arial" w:hAnsi="Arial"/>
        </w:rPr>
        <w:t>)</w:t>
      </w:r>
      <w:r>
        <w:t xml:space="preserve">→ </w:t>
      </w:r>
      <w:r>
        <w:rPr>
          <w:spacing w:val="-9"/>
        </w:rPr>
        <w:t xml:space="preserve">砂。混凝土搅拌时间不少于 </w:t>
      </w:r>
      <w:r>
        <w:rPr>
          <w:rFonts w:ascii="Arial" w:eastAsia="Arial" w:hAnsi="Arial"/>
        </w:rPr>
        <w:t xml:space="preserve">120 </w:t>
      </w:r>
      <w:r>
        <w:t>秒。</w:t>
      </w:r>
    </w:p>
    <w:p>
      <w:pPr>
        <w:pStyle w:val="BodyText"/>
        <w:spacing w:line="417" w:lineRule="auto"/>
        <w:ind w:left="200" w:right="336" w:firstLine="838"/>
      </w:pPr>
      <w:r>
        <w:rPr>
          <w:spacing w:val="-13"/>
        </w:rPr>
        <w:t>严格控制搅拌时间，确保混凝土拌合物搅拌均匀。水灰比严格按</w:t>
      </w:r>
      <w:r>
        <w:rPr>
          <w:spacing w:val="-24"/>
        </w:rPr>
        <w:t xml:space="preserve">混凝土配合比进行。混凝土坍落度应随时检查，每个台班不少于两次， </w:t>
      </w:r>
      <w:r>
        <w:t>并按规定留设试块。</w:t>
      </w:r>
    </w:p>
    <w:p>
      <w:pPr>
        <w:pStyle w:val="BodyText"/>
        <w:spacing w:line="417" w:lineRule="auto"/>
        <w:ind w:left="200" w:right="380" w:firstLine="838"/>
      </w:pPr>
      <w:r>
        <w:t>冬期在混凝土中掺入适量早强型减水剂，夏期在混凝土中掺入适量缓凝早强型减水剂。试块采用标准养护，现场设一标准养护室。混凝土试块每台班留置一组，另留置一组与结构同等条件下养护的拆模试块，以检验结构实际强度，确定拆模时间。</w:t>
      </w:r>
    </w:p>
    <w:p>
      <w:pPr>
        <w:pStyle w:val="BodyText"/>
        <w:spacing w:before="2"/>
        <w:rPr>
          <w:sz w:val="31"/>
        </w:rPr>
      </w:pPr>
    </w:p>
    <w:p>
      <w:pPr>
        <w:pStyle w:val="Heading1"/>
        <w:numPr>
          <w:ilvl w:val="1"/>
          <w:numId w:val="22"/>
        </w:numPr>
        <w:tabs>
          <w:tab w:val="left" w:pos="817"/>
        </w:tabs>
        <w:spacing w:before="1" w:after="0" w:line="240" w:lineRule="auto"/>
        <w:ind w:left="816" w:right="0" w:hanging="617"/>
        <w:jc w:val="left"/>
      </w:pPr>
      <w:bookmarkStart w:id="17" w:name="_TOC_250002"/>
      <w:bookmarkEnd w:id="17"/>
      <w:r>
        <w:t>混凝土输送</w:t>
      </w:r>
    </w:p>
    <w:p>
      <w:pPr>
        <w:pStyle w:val="BodyText"/>
        <w:spacing w:before="9"/>
        <w:rPr>
          <w:b/>
          <w:sz w:val="50"/>
        </w:rPr>
      </w:pPr>
    </w:p>
    <w:p>
      <w:pPr>
        <w:pStyle w:val="BodyText"/>
        <w:spacing w:line="417" w:lineRule="auto"/>
        <w:ind w:left="200" w:right="536" w:firstLine="838"/>
      </w:pPr>
      <w:r>
        <w:rPr>
          <w:spacing w:val="-14"/>
        </w:rPr>
        <w:t>配置混凝土输送泵，利用敷设泵管的方法将混凝土输送到所需浇</w:t>
      </w:r>
      <w:r>
        <w:t>灌点。零星用量采用塔吊运送。</w:t>
      </w:r>
    </w:p>
    <w:p>
      <w:pPr>
        <w:pStyle w:val="BodyText"/>
        <w:spacing w:line="417" w:lineRule="auto"/>
        <w:ind w:left="200" w:right="384" w:firstLine="838"/>
      </w:pPr>
      <w:r>
        <w:rPr>
          <w:spacing w:val="-1"/>
        </w:rPr>
        <w:t>泵管敷设：水平管采取“就近”的原则布置，按需要分别将泵管</w:t>
      </w:r>
      <w:r>
        <w:rPr>
          <w:spacing w:val="-13"/>
        </w:rPr>
        <w:t>接至浇灌点，混凝土送泵可视实际情况移动位置；竖管分别依附已成型之框架或设置钢管支承架逐层引管向上，满足施工需要。</w:t>
      </w:r>
    </w:p>
    <w:p>
      <w:pPr>
        <w:spacing w:after="0" w:line="417" w:lineRule="auto"/>
        <w:sectPr>
          <w:headerReference w:type="default" r:id="rId25"/>
          <w:footerReference w:type="default" r:id="rId26"/>
          <w:pgSz w:w="17860" w:h="25260"/>
          <w:pgMar w:top="1400" w:right="2140" w:bottom="2020" w:left="2500" w:header="1088" w:footer="182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91" w:line="417" w:lineRule="auto"/>
        <w:ind w:left="200" w:right="548" w:firstLine="838"/>
      </w:pPr>
      <w:r>
        <w:rPr>
          <w:spacing w:val="-17"/>
        </w:rPr>
        <w:t xml:space="preserve">管道敷设注意事项：地面水平管道上距泵机 </w:t>
      </w:r>
      <w:r>
        <w:rPr>
          <w:rFonts w:ascii="Arial" w:eastAsia="Arial"/>
        </w:rPr>
        <w:t xml:space="preserve">5 </w:t>
      </w:r>
      <w:r>
        <w:rPr>
          <w:spacing w:val="-2"/>
        </w:rPr>
        <w:t>米左右装一个截止</w:t>
      </w:r>
      <w:r>
        <w:t>阀。地面水平管用可拆卸钢管支架固定，以方便拆卸。</w:t>
      </w:r>
    </w:p>
    <w:p>
      <w:pPr>
        <w:pStyle w:val="BodyText"/>
        <w:spacing w:line="417" w:lineRule="auto"/>
        <w:ind w:left="200" w:right="548" w:firstLine="838"/>
        <w:jc w:val="both"/>
      </w:pPr>
      <w:r>
        <w:rPr>
          <w:spacing w:val="-7"/>
        </w:rPr>
        <w:t xml:space="preserve">转向垂直走向的 </w:t>
      </w:r>
      <w:r>
        <w:rPr>
          <w:rFonts w:ascii="Arial" w:eastAsia="Arial" w:hAnsi="Arial"/>
        </w:rPr>
        <w:t>90</w:t>
      </w:r>
      <w:r>
        <w:rPr>
          <w:spacing w:val="-5"/>
        </w:rPr>
        <w:t xml:space="preserve">°弯头，必须用曲率半径为 </w:t>
      </w:r>
      <w:r>
        <w:rPr>
          <w:rFonts w:ascii="Arial" w:eastAsia="Arial" w:hAnsi="Arial"/>
        </w:rPr>
        <w:t xml:space="preserve">1 </w:t>
      </w:r>
      <w:r>
        <w:rPr>
          <w:spacing w:val="-3"/>
        </w:rPr>
        <w:t>米以上的大弯</w:t>
      </w:r>
      <w:r>
        <w:rPr>
          <w:spacing w:val="-14"/>
        </w:rPr>
        <w:t>头，并用螺栓牢固地固定在混凝土结构的预留位置上，以抵抗泵送时</w:t>
      </w:r>
      <w:r>
        <w:t>的动压力。</w:t>
      </w:r>
    </w:p>
    <w:p>
      <w:pPr>
        <w:pStyle w:val="BodyText"/>
        <w:spacing w:line="417" w:lineRule="auto"/>
        <w:ind w:left="1039" w:right="3334"/>
      </w:pPr>
      <w:r>
        <w:t>基本要求：弯道少，接头严密，管道固定牢固。混凝土泵送施工要点：</w:t>
      </w:r>
    </w:p>
    <w:p>
      <w:pPr>
        <w:pStyle w:val="ListParagraph"/>
        <w:numPr>
          <w:ilvl w:val="2"/>
          <w:numId w:val="22"/>
        </w:numPr>
        <w:tabs>
          <w:tab w:val="left" w:pos="2092"/>
        </w:tabs>
        <w:spacing w:before="0" w:after="0" w:line="417" w:lineRule="auto"/>
        <w:ind w:left="200" w:right="540" w:firstLine="838"/>
        <w:jc w:val="both"/>
        <w:rPr>
          <w:sz w:val="42"/>
        </w:rPr>
      </w:pPr>
      <w:r>
        <w:rPr>
          <w:spacing w:val="-14"/>
          <w:sz w:val="42"/>
        </w:rPr>
        <w:t>输送泵操作人员必须培训，经考试取得合格证后方可上岗</w:t>
      </w:r>
      <w:r>
        <w:rPr>
          <w:spacing w:val="-12"/>
          <w:sz w:val="42"/>
        </w:rPr>
        <w:t>。泵送前应检查泵机的转向阀门是否密封良好，其间隙保持在允许范围内，使水泥浆的回流降低到最低限度。</w:t>
      </w:r>
    </w:p>
    <w:p>
      <w:pPr>
        <w:pStyle w:val="ListParagraph"/>
        <w:numPr>
          <w:ilvl w:val="2"/>
          <w:numId w:val="22"/>
        </w:numPr>
        <w:tabs>
          <w:tab w:val="left" w:pos="2099"/>
        </w:tabs>
        <w:spacing w:before="0" w:after="0" w:line="417" w:lineRule="auto"/>
        <w:ind w:left="200" w:right="338" w:firstLine="838"/>
        <w:jc w:val="left"/>
        <w:rPr>
          <w:sz w:val="42"/>
        </w:rPr>
      </w:pPr>
      <w:r>
        <w:rPr>
          <w:sz w:val="42"/>
        </w:rPr>
        <w:t>混凝土泵送前，先开机送水湿润整个管道，而后送入水泥砂浆，使输送管壁处于充分滑润状态，再开始泵送混凝土。混凝土泵</w:t>
      </w:r>
      <w:r>
        <w:rPr>
          <w:spacing w:val="-13"/>
          <w:sz w:val="42"/>
        </w:rPr>
        <w:t>送开始时，注意观察混凝土的液压表和各部位的工作状态。一般在泵的出口处，最易发生堵塞现象。如遇堵塞应将泵机反转运行。混凝土要保持连续供应，以确保连续进行，防止停歇。当发生供料脱节，泵</w:t>
      </w:r>
      <w:r>
        <w:rPr>
          <w:spacing w:val="-18"/>
          <w:sz w:val="42"/>
        </w:rPr>
        <w:t xml:space="preserve">机不能停止工作，每隔 </w:t>
      </w:r>
      <w:r>
        <w:rPr>
          <w:rFonts w:ascii="Arial" w:eastAsia="Arial"/>
          <w:sz w:val="42"/>
        </w:rPr>
        <w:t>45</w:t>
      </w:r>
      <w:r>
        <w:rPr>
          <w:rFonts w:ascii="Arial" w:eastAsia="Arial"/>
          <w:spacing w:val="-6"/>
          <w:sz w:val="42"/>
        </w:rPr>
        <w:t xml:space="preserve"> </w:t>
      </w:r>
      <w:r>
        <w:rPr>
          <w:sz w:val="42"/>
        </w:rPr>
        <w:t>分钟使泵机正、反转两个冲程。混凝土应连续供应，确保泵送混凝土连续进行，泵送时，每隔两小时换一次水洗槽里的水，并检查泵缸的行程。泵送过程中，料斗内混凝土面应保</w:t>
      </w:r>
      <w:r>
        <w:rPr>
          <w:spacing w:val="-6"/>
          <w:sz w:val="42"/>
        </w:rPr>
        <w:t xml:space="preserve">持在上口 </w:t>
      </w:r>
      <w:r>
        <w:rPr>
          <w:rFonts w:ascii="Arial" w:eastAsia="Arial"/>
          <w:sz w:val="42"/>
        </w:rPr>
        <w:t>20cm</w:t>
      </w:r>
      <w:r>
        <w:rPr>
          <w:rFonts w:ascii="Arial" w:eastAsia="Arial"/>
          <w:spacing w:val="18"/>
          <w:sz w:val="42"/>
        </w:rPr>
        <w:t xml:space="preserve"> </w:t>
      </w:r>
      <w:r>
        <w:rPr>
          <w:spacing w:val="-1"/>
          <w:sz w:val="42"/>
        </w:rPr>
        <w:t>以内，以防止混凝土供应不及时，吸入空气而堵泵。</w:t>
      </w:r>
      <w:r>
        <w:rPr>
          <w:sz w:val="42"/>
        </w:rPr>
        <w:t>泵送结束后，及时进行管道清洗。</w:t>
      </w:r>
    </w:p>
    <w:p>
      <w:pPr>
        <w:pStyle w:val="BodyText"/>
        <w:spacing w:line="536" w:lineRule="exact"/>
        <w:ind w:left="1039"/>
      </w:pPr>
      <w:r>
        <w:t>混凝土泵送安全与技术措施：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1039"/>
      </w:pPr>
      <w:r>
        <w:t>安全笼应安装在管道末端出口处，防止在清洗和回收橡胶海绵球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400" w:right="2140" w:bottom="2020" w:left="2500" w:header="1088" w:footer="1820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200"/>
      </w:pPr>
      <w:r>
        <w:t>时，砂石飞溅伤人。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00" w:right="380" w:firstLine="838"/>
        <w:jc w:val="both"/>
      </w:pPr>
      <w:r>
        <w:t xml:space="preserve">当司机接到停泵信息，立即停机，使料斗处于满料状态。如出现混凝土泵送困难、压力升高、管路振动等情况时，先放慢泵送速度， 敲击弯管等处或逆转输送泵，如效果不明显，应立即停机检查，遇特殊情况，需停泵时，停歇时间不得超过 </w:t>
      </w:r>
      <w:r>
        <w:rPr>
          <w:rFonts w:ascii="Arial" w:eastAsia="Arial"/>
        </w:rPr>
        <w:t xml:space="preserve">15 </w:t>
      </w:r>
      <w:r>
        <w:t>分钟，若确需超过时，每</w:t>
      </w:r>
    </w:p>
    <w:p>
      <w:pPr>
        <w:pStyle w:val="BodyText"/>
        <w:spacing w:line="537" w:lineRule="exact"/>
        <w:ind w:left="200"/>
        <w:jc w:val="both"/>
      </w:pPr>
      <w:r>
        <w:rPr>
          <w:rFonts w:ascii="Arial" w:eastAsia="Arial"/>
        </w:rPr>
        <w:t>15</w:t>
      </w:r>
      <w:r>
        <w:rPr>
          <w:rFonts w:ascii="Arial" w:eastAsia="Arial"/>
          <w:spacing w:val="52"/>
        </w:rPr>
        <w:t xml:space="preserve"> </w:t>
      </w:r>
      <w:r>
        <w:t>分钟打一个循环，同时，为防止料斗里的混凝土石子沉淀随时慢</w:t>
      </w:r>
    </w:p>
    <w:p>
      <w:pPr>
        <w:pStyle w:val="BodyText"/>
        <w:spacing w:before="399" w:line="417" w:lineRule="auto"/>
        <w:ind w:left="200" w:right="326"/>
        <w:jc w:val="both"/>
      </w:pPr>
      <w:r>
        <w:rPr>
          <w:spacing w:val="-5"/>
        </w:rPr>
        <w:t xml:space="preserve">速搅拌混凝土，如停歇超过 </w:t>
      </w:r>
      <w:r>
        <w:rPr>
          <w:rFonts w:ascii="Arial" w:eastAsia="Arial"/>
        </w:rPr>
        <w:t xml:space="preserve">1 </w:t>
      </w:r>
      <w:r>
        <w:rPr>
          <w:spacing w:val="-1"/>
        </w:rPr>
        <w:t xml:space="preserve">小时，应将管中混凝土全部压送出去， </w:t>
      </w:r>
      <w:r>
        <w:t>并清理管路。</w:t>
      </w:r>
    </w:p>
    <w:p>
      <w:pPr>
        <w:pStyle w:val="BodyText"/>
        <w:spacing w:line="417" w:lineRule="auto"/>
        <w:ind w:left="200" w:right="380" w:firstLine="838"/>
        <w:jc w:val="right"/>
      </w:pPr>
      <w:r>
        <w:t>混凝土由远往近布料时，即混凝土的浇筑方向与泵送方向相反。拆管时，先要拆除短输送管道，随浇随拆，拆下的管道应立即清洗。浇灌完毕，要冲洗泵和管。清洗时，应估算管内剩余混凝土量，</w:t>
      </w:r>
    </w:p>
    <w:p>
      <w:pPr>
        <w:pStyle w:val="BodyText"/>
        <w:spacing w:line="417" w:lineRule="auto"/>
        <w:ind w:left="200" w:right="543"/>
      </w:pPr>
      <w:r>
        <w:rPr>
          <w:spacing w:val="-15"/>
        </w:rPr>
        <w:t>备好灰槽，估计管内混凝土快送完时，可将少量余灰和水放入槽中倒</w:t>
      </w:r>
      <w:r>
        <w:t>掉，不得将水放到操作面上去。</w:t>
      </w:r>
    </w:p>
    <w:p>
      <w:pPr>
        <w:pStyle w:val="BodyText"/>
        <w:spacing w:before="4"/>
        <w:rPr>
          <w:sz w:val="31"/>
        </w:rPr>
      </w:pPr>
    </w:p>
    <w:p>
      <w:pPr>
        <w:pStyle w:val="Heading1"/>
        <w:numPr>
          <w:ilvl w:val="1"/>
          <w:numId w:val="22"/>
        </w:numPr>
        <w:tabs>
          <w:tab w:val="left" w:pos="817"/>
        </w:tabs>
        <w:spacing w:before="0" w:after="0" w:line="240" w:lineRule="auto"/>
        <w:ind w:left="816" w:right="0" w:hanging="617"/>
        <w:jc w:val="left"/>
      </w:pPr>
      <w:bookmarkStart w:id="18" w:name="_TOC_250001"/>
      <w:bookmarkEnd w:id="18"/>
      <w:r>
        <w:t>混凝土浇筑</w:t>
      </w:r>
    </w:p>
    <w:p>
      <w:pPr>
        <w:pStyle w:val="BodyText"/>
        <w:spacing w:before="9"/>
        <w:rPr>
          <w:b/>
          <w:sz w:val="50"/>
        </w:rPr>
      </w:pPr>
    </w:p>
    <w:p>
      <w:pPr>
        <w:pStyle w:val="ListParagraph"/>
        <w:numPr>
          <w:ilvl w:val="2"/>
          <w:numId w:val="21"/>
        </w:numPr>
        <w:tabs>
          <w:tab w:val="left" w:pos="1965"/>
        </w:tabs>
        <w:spacing w:before="1" w:after="0" w:line="240" w:lineRule="auto"/>
        <w:ind w:left="1964" w:right="0" w:hanging="926"/>
        <w:jc w:val="left"/>
        <w:rPr>
          <w:rFonts w:ascii="Arial" w:eastAsia="Arial"/>
          <w:sz w:val="42"/>
        </w:rPr>
      </w:pPr>
      <w:r>
        <w:rPr>
          <w:sz w:val="42"/>
        </w:rPr>
        <w:t>浇筑前准备工作：</w:t>
      </w:r>
    </w:p>
    <w:p>
      <w:pPr>
        <w:pStyle w:val="BodyText"/>
        <w:spacing w:before="397" w:line="417" w:lineRule="auto"/>
        <w:ind w:left="200" w:right="384" w:firstLine="838"/>
      </w:pPr>
      <w:r>
        <w:t>浇筑混凝土前对该部位的模板、钢筋、预埋管、预埋件、预留洞等进行全面细致的检查，并做好隐检验收记录，办理好土建与水电等其他专业的会签手续。</w:t>
      </w:r>
    </w:p>
    <w:p>
      <w:pPr>
        <w:pStyle w:val="BodyText"/>
        <w:spacing w:line="417" w:lineRule="auto"/>
        <w:ind w:left="200" w:right="122" w:firstLine="838"/>
      </w:pPr>
      <w:r>
        <w:t xml:space="preserve">墙、柱、板混凝土浇筑是混凝土工程中的重点，混凝土浇筑时， </w:t>
      </w:r>
      <w:r>
        <w:rPr>
          <w:spacing w:val="-10"/>
        </w:rPr>
        <w:t xml:space="preserve">根据混凝土浇筑平面布置图布设输送泵管，泵管要用铁马凳架设抬高， </w:t>
      </w:r>
      <w:r>
        <w:t>严禁直接架设在墙、板钢筋上，同时铺设混凝土浇筑时的操作面、操</w:t>
      </w:r>
    </w:p>
    <w:p>
      <w:pPr>
        <w:spacing w:after="0" w:line="417" w:lineRule="auto"/>
        <w:sectPr>
          <w:headerReference w:type="default" r:id="rId29"/>
          <w:footerReference w:type="default" r:id="rId30"/>
          <w:pgSz w:w="17860" w:h="25260"/>
          <w:pgMar w:top="1400" w:right="2140" w:bottom="2020" w:left="2500" w:header="1088" w:footer="1820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3314700</wp:posOffset>
            </wp:positionH>
            <wp:positionV relativeFrom="page">
              <wp:posOffset>11163300</wp:posOffset>
            </wp:positionV>
            <wp:extent cx="5118100" cy="41021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00" w:right="554"/>
      </w:pPr>
      <w:r>
        <w:rPr>
          <w:spacing w:val="-10"/>
        </w:rPr>
        <w:t>作面需用木脚手板搭在铁马凳铺设而成，浇筑混凝土时，严禁踩踏钢</w:t>
      </w:r>
      <w:r>
        <w:t>筋，操作面可随浇随拆随铺，能保证施工使用即可。</w:t>
      </w:r>
    </w:p>
    <w:p>
      <w:pPr>
        <w:pStyle w:val="BodyText"/>
        <w:spacing w:line="417" w:lineRule="auto"/>
        <w:ind w:left="200" w:right="330" w:firstLine="838"/>
      </w:pPr>
      <w:r>
        <w:rPr>
          <w:spacing w:val="-1"/>
        </w:rPr>
        <w:t xml:space="preserve">重点部位的混凝土施工，在开盘前 </w:t>
      </w:r>
      <w:r>
        <w:rPr>
          <w:rFonts w:ascii="Times New Roman" w:eastAsia="Times New Roman"/>
        </w:rPr>
        <w:t>0.5h</w:t>
      </w:r>
      <w:r>
        <w:rPr>
          <w:rFonts w:ascii="Times New Roman" w:eastAsia="Times New Roman"/>
          <w:spacing w:val="66"/>
        </w:rPr>
        <w:t xml:space="preserve"> </w:t>
      </w:r>
      <w:r>
        <w:t>需由项目总工对施工管</w:t>
      </w:r>
      <w:r>
        <w:rPr>
          <w:spacing w:val="-13"/>
        </w:rPr>
        <w:t>理人员、班组长及作业人员进行现场技术交底；一般部位的现场交底由工长主持。交底内容要包括主要施工方法、技术要点、过程控制、</w:t>
      </w:r>
      <w:r>
        <w:rPr>
          <w:spacing w:val="-23"/>
        </w:rPr>
        <w:t>质量标准、注意事项以及成品保护等。技术交底要全面且要有针对性、</w:t>
      </w:r>
      <w:r>
        <w:t>可操作性。</w:t>
      </w:r>
    </w:p>
    <w:p>
      <w:pPr>
        <w:pStyle w:val="BodyText"/>
        <w:spacing w:line="417" w:lineRule="auto"/>
        <w:ind w:left="200" w:right="380" w:firstLine="838"/>
      </w:pPr>
      <w:r>
        <w:t xml:space="preserve">层高 </w:t>
      </w:r>
      <w:r>
        <w:rPr>
          <w:rFonts w:ascii="Times New Roman" w:eastAsia="Times New Roman"/>
        </w:rPr>
        <w:t xml:space="preserve">4.2m </w:t>
      </w:r>
      <w:r>
        <w:t xml:space="preserve">以下时，每层主体柱、墙、梁、板混凝土分段采取一次浇筑，墙水平向施工缝留在楼板上皮。混凝土浇筑振捣时，采取二次振捣方法，即柱、墙混凝土完成 </w:t>
      </w:r>
      <w:r>
        <w:rPr>
          <w:rFonts w:ascii="Times New Roman" w:eastAsia="Times New Roman"/>
        </w:rPr>
        <w:t>1.0</w:t>
      </w:r>
      <w:r>
        <w:t>～</w:t>
      </w:r>
      <w:r>
        <w:rPr>
          <w:rFonts w:ascii="Times New Roman" w:eastAsia="Times New Roman"/>
        </w:rPr>
        <w:t xml:space="preserve">1.5h </w:t>
      </w:r>
      <w:r>
        <w:t xml:space="preserve">后，再浇筑梁、板混凝土，解决墙、梁、板一次浇筑易产生沉降裂缝的问题。层高 </w:t>
      </w:r>
      <w:r>
        <w:rPr>
          <w:rFonts w:ascii="Times New Roman" w:eastAsia="Times New Roman"/>
        </w:rPr>
        <w:t xml:space="preserve">4.2m </w:t>
      </w:r>
      <w:r>
        <w:t>以上时，主体柱、墙分段浇筑。</w:t>
      </w:r>
    </w:p>
    <w:p>
      <w:pPr>
        <w:pStyle w:val="ListParagraph"/>
        <w:numPr>
          <w:ilvl w:val="2"/>
          <w:numId w:val="21"/>
        </w:numPr>
        <w:tabs>
          <w:tab w:val="left" w:pos="1965"/>
        </w:tabs>
        <w:spacing w:before="0" w:after="0" w:line="537" w:lineRule="exact"/>
        <w:ind w:left="1964" w:right="0" w:hanging="926"/>
        <w:jc w:val="left"/>
        <w:rPr>
          <w:rFonts w:ascii="Times New Roman" w:eastAsia="Times New Roman"/>
          <w:sz w:val="42"/>
        </w:rPr>
      </w:pPr>
      <w:r>
        <w:rPr>
          <w:sz w:val="42"/>
        </w:rPr>
        <w:t>墙体、框架柱混凝土浇筑：</w:t>
      </w:r>
    </w:p>
    <w:p>
      <w:pPr>
        <w:pStyle w:val="BodyText"/>
        <w:spacing w:before="396" w:line="417" w:lineRule="auto"/>
        <w:ind w:left="200" w:right="459" w:firstLine="838"/>
        <w:jc w:val="both"/>
      </w:pPr>
      <w:r>
        <w:rPr>
          <w:spacing w:val="5"/>
        </w:rPr>
        <w:t>墙体、框架柱高度大于</w:t>
      </w:r>
      <w:r>
        <w:rPr>
          <w:rFonts w:ascii="Times New Roman" w:eastAsia="Times New Roman"/>
        </w:rPr>
        <w:t xml:space="preserve">2 </w:t>
      </w:r>
      <w:r>
        <w:rPr>
          <w:spacing w:val="-1"/>
        </w:rPr>
        <w:t>米时用串筒。浇筑混凝土前，先在底部</w:t>
      </w:r>
      <w:r>
        <w:rPr>
          <w:spacing w:val="3"/>
        </w:rPr>
        <w:t xml:space="preserve">均匀浇筑 </w:t>
      </w:r>
      <w:r>
        <w:rPr>
          <w:rFonts w:ascii="Times New Roman" w:eastAsia="Times New Roman"/>
        </w:rPr>
        <w:t>5cm</w:t>
      </w:r>
      <w:r>
        <w:rPr>
          <w:rFonts w:ascii="Times New Roman" w:eastAsia="Times New Roman"/>
          <w:spacing w:val="67"/>
        </w:rPr>
        <w:t xml:space="preserve"> </w:t>
      </w:r>
      <w:r>
        <w:t>厚与墙体混凝土成分相同的减石子砂浆，并用铁锹入模，不应用料斗直接灌入模内。</w:t>
      </w:r>
    </w:p>
    <w:p>
      <w:pPr>
        <w:pStyle w:val="BodyText"/>
        <w:spacing w:line="526" w:lineRule="exact"/>
        <w:ind w:left="1039"/>
      </w:pPr>
      <w:r>
        <w:t>墙体穿墙预埋钢套管示意如下图：</w:t>
      </w:r>
    </w:p>
    <w:p>
      <w:pPr>
        <w:spacing w:before="2" w:line="230" w:lineRule="auto"/>
        <w:ind w:left="7479" w:right="1624" w:firstLine="0"/>
        <w:jc w:val="left"/>
        <w:rPr>
          <w:rFonts w:ascii="宋体" w:eastAsia="宋体" w:hint="eastAsia"/>
          <w:sz w:val="34"/>
        </w:rPr>
      </w:pPr>
      <w:r>
        <w:rPr>
          <w:rFonts w:ascii="宋体" w:eastAsia="宋体" w:hint="eastAsia"/>
          <w:sz w:val="34"/>
        </w:rPr>
        <w:t>钢套管外钢板止水环，与钢套管周边满焊，共三道</w:t>
      </w:r>
    </w:p>
    <w:p>
      <w:pPr>
        <w:pStyle w:val="BodyText"/>
        <w:spacing w:before="8"/>
        <w:rPr>
          <w:rFonts w:ascii="宋体"/>
          <w:sz w:val="18"/>
        </w:rPr>
      </w:pPr>
    </w:p>
    <w:p>
      <w:pPr>
        <w:tabs>
          <w:tab w:val="left" w:pos="5397"/>
        </w:tabs>
        <w:spacing w:before="55"/>
        <w:ind w:left="863" w:right="0" w:firstLine="0"/>
        <w:jc w:val="center"/>
        <w:rPr>
          <w:rFonts w:ascii="宋体" w:eastAsia="宋体" w:hint="eastAsia"/>
          <w:sz w:val="34"/>
        </w:rPr>
      </w:pPr>
      <w:r>
        <w:rPr>
          <w:rFonts w:ascii="宋体" w:eastAsia="宋体" w:hint="eastAsia"/>
          <w:position w:val="-8"/>
          <w:sz w:val="34"/>
        </w:rPr>
        <w:t>密封填料填严</w:t>
        <w:tab/>
      </w:r>
      <w:r>
        <w:rPr>
          <w:rFonts w:ascii="宋体" w:eastAsia="宋体" w:hint="eastAsia"/>
          <w:sz w:val="34"/>
        </w:rPr>
        <w:t>钢筋砼结构内预埋钢套管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3"/>
        </w:rPr>
      </w:pPr>
    </w:p>
    <w:p>
      <w:pPr>
        <w:tabs>
          <w:tab w:val="left" w:pos="3165"/>
        </w:tabs>
        <w:spacing w:before="57"/>
        <w:ind w:left="2391" w:right="0" w:firstLine="0"/>
        <w:jc w:val="center"/>
        <w:rPr>
          <w:rFonts w:ascii="新宋体"/>
          <w:sz w:val="33"/>
        </w:rPr>
      </w:pPr>
      <w:r>
        <w:rPr>
          <w:rFonts w:ascii="新宋体"/>
          <w:spacing w:val="-167"/>
          <w:w w:val="101"/>
          <w:position w:val="-16"/>
          <w:sz w:val="33"/>
        </w:rPr>
        <w:t>2</w:t>
      </w:r>
      <w:r>
        <w:rPr>
          <w:rFonts w:ascii="新宋体"/>
          <w:w w:val="101"/>
          <w:sz w:val="33"/>
        </w:rPr>
        <w:t>0</w:t>
      </w:r>
      <w:r>
        <w:rPr>
          <w:rFonts w:ascii="新宋体"/>
          <w:sz w:val="33"/>
        </w:rPr>
        <w:tab/>
      </w:r>
      <w:r>
        <w:rPr>
          <w:rFonts w:ascii="新宋体"/>
          <w:spacing w:val="-167"/>
          <w:w w:val="101"/>
          <w:position w:val="-7"/>
          <w:sz w:val="33"/>
        </w:rPr>
        <w:t>0</w:t>
      </w:r>
      <w:r>
        <w:rPr>
          <w:rFonts w:ascii="新宋体"/>
          <w:w w:val="101"/>
          <w:position w:val="-23"/>
          <w:sz w:val="33"/>
        </w:rPr>
        <w:t>5</w:t>
      </w: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9"/>
        <w:rPr>
          <w:rFonts w:ascii="新宋体"/>
          <w:sz w:val="18"/>
        </w:rPr>
      </w:pPr>
    </w:p>
    <w:p>
      <w:pPr>
        <w:spacing w:before="57" w:line="380" w:lineRule="exact"/>
        <w:ind w:left="1750" w:right="0" w:firstLine="0"/>
        <w:jc w:val="center"/>
        <w:rPr>
          <w:rFonts w:ascii="新宋体"/>
          <w:b/>
          <w:sz w:val="33"/>
        </w:rPr>
      </w:pPr>
      <w:r>
        <w:rPr>
          <w:rFonts w:ascii="新宋体"/>
          <w:b/>
          <w:w w:val="100"/>
          <w:sz w:val="33"/>
        </w:rPr>
        <w:t>0</w:t>
      </w:r>
    </w:p>
    <w:p>
      <w:pPr>
        <w:tabs>
          <w:tab w:val="left" w:pos="7878"/>
        </w:tabs>
        <w:spacing w:before="0" w:line="603" w:lineRule="exact"/>
        <w:ind w:left="7401" w:right="0" w:firstLine="0"/>
        <w:jc w:val="left"/>
        <w:rPr>
          <w:rFonts w:ascii="宋体" w:eastAsia="宋体" w:hint="eastAsia"/>
          <w:sz w:val="34"/>
        </w:rPr>
      </w:pPr>
      <w:r>
        <w:rPr>
          <w:rFonts w:ascii="新宋体" w:eastAsia="新宋体" w:hint="eastAsia"/>
          <w:position w:val="22"/>
          <w:sz w:val="33"/>
        </w:rPr>
        <w:t>1</w:t>
        <w:tab/>
      </w:r>
      <w:r>
        <w:rPr>
          <w:rFonts w:ascii="宋体" w:eastAsia="宋体" w:hint="eastAsia"/>
          <w:sz w:val="34"/>
        </w:rPr>
        <w:t>管道挡板，与管道</w:t>
      </w:r>
    </w:p>
    <w:p>
      <w:pPr>
        <w:spacing w:before="5"/>
        <w:ind w:left="7878" w:right="0" w:firstLine="0"/>
        <w:jc w:val="left"/>
        <w:rPr>
          <w:rFonts w:ascii="宋体" w:eastAsia="宋体" w:hint="eastAsia"/>
          <w:sz w:val="34"/>
        </w:rPr>
      </w:pPr>
      <w:r>
        <w:rPr>
          <w:rFonts w:ascii="宋体" w:eastAsia="宋体" w:hint="eastAsia"/>
          <w:sz w:val="34"/>
        </w:rPr>
        <w:t>周边满焊</w:t>
      </w:r>
    </w:p>
    <w:p>
      <w:pPr>
        <w:spacing w:after="0"/>
        <w:jc w:val="left"/>
        <w:rPr>
          <w:rFonts w:ascii="宋体" w:eastAsia="宋体" w:hint="eastAsia"/>
          <w:sz w:val="34"/>
        </w:rPr>
        <w:sectPr>
          <w:headerReference w:type="default" r:id="rId32"/>
          <w:footerReference w:type="default" r:id="rId33"/>
          <w:pgSz w:w="17860" w:h="25260"/>
          <w:pgMar w:top="1400" w:right="2140" w:bottom="2020" w:left="2500" w:header="1088" w:footer="1820"/>
          <w:pgNumType w:start="1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9"/>
        </w:rPr>
      </w:pPr>
    </w:p>
    <w:p>
      <w:pPr>
        <w:pStyle w:val="BodyText"/>
        <w:spacing w:before="95" w:line="417" w:lineRule="auto"/>
        <w:ind w:left="200" w:right="528" w:firstLine="838"/>
        <w:jc w:val="both"/>
      </w:pPr>
      <w:r>
        <w:rPr>
          <w:spacing w:val="2"/>
        </w:rPr>
        <w:t xml:space="preserve">浇筑墙体混凝土应连续进行，间隔时间不应超过 </w:t>
      </w:r>
      <w:r>
        <w:rPr>
          <w:rFonts w:ascii="Times New Roman" w:eastAsia="Times New Roman"/>
        </w:rPr>
        <w:t>2h</w:t>
      </w:r>
      <w:r>
        <w:t>，每层厚度</w:t>
      </w:r>
      <w:r>
        <w:rPr>
          <w:spacing w:val="-22"/>
        </w:rPr>
        <w:t xml:space="preserve">控制在 </w:t>
      </w:r>
      <w:r>
        <w:rPr>
          <w:rFonts w:ascii="Times New Roman" w:eastAsia="Times New Roman"/>
        </w:rPr>
        <w:t>60cm</w:t>
      </w:r>
      <w:r>
        <w:rPr>
          <w:rFonts w:ascii="Times New Roman" w:eastAsia="Times New Roman"/>
          <w:spacing w:val="-17"/>
        </w:rPr>
        <w:t xml:space="preserve"> </w:t>
      </w:r>
      <w:r>
        <w:rPr>
          <w:spacing w:val="-1"/>
        </w:rPr>
        <w:t>左右，因此必须预先安排好混凝土料点位置和振捣器操</w:t>
      </w:r>
      <w:r>
        <w:t>作人员数量。</w:t>
      </w:r>
    </w:p>
    <w:p>
      <w:pPr>
        <w:pStyle w:val="BodyText"/>
        <w:spacing w:line="417" w:lineRule="auto"/>
        <w:ind w:left="200" w:right="543" w:firstLine="838"/>
        <w:jc w:val="both"/>
      </w:pPr>
      <w:r>
        <w:t xml:space="preserve">振捣棒移动间距应小于 </w:t>
      </w:r>
      <w:r>
        <w:rPr>
          <w:rFonts w:ascii="Times New Roman" w:eastAsia="Times New Roman"/>
          <w:spacing w:val="-3"/>
        </w:rPr>
        <w:t>50cm</w:t>
      </w:r>
      <w:r>
        <w:rPr>
          <w:spacing w:val="-3"/>
        </w:rPr>
        <w:t>，每一振点的延续时间以表面呈现</w:t>
      </w:r>
      <w:r>
        <w:rPr>
          <w:spacing w:val="-15"/>
        </w:rPr>
        <w:t>浮浆为度，为使上下层混凝土结合成整体，振捣器应插入下层混凝土</w:t>
      </w:r>
      <w:r>
        <w:rPr>
          <w:rFonts w:ascii="Times New Roman" w:eastAsia="Times New Roman"/>
        </w:rPr>
        <w:t>5cm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8"/>
        </w:rPr>
        <w:t>振捣时注意钢筋密集及洞口部位，为防止出现漏振，须在洞口两侧同时振捣。</w:t>
      </w:r>
    </w:p>
    <w:p>
      <w:pPr>
        <w:pStyle w:val="BodyText"/>
        <w:spacing w:line="417" w:lineRule="auto"/>
        <w:ind w:left="200" w:right="554" w:firstLine="838"/>
      </w:pPr>
      <w:r>
        <w:rPr>
          <w:spacing w:val="-13"/>
        </w:rPr>
        <w:t>混凝土墙体浇筑完毕后，将上口甩出的钢筋加以整理，用木抹子</w:t>
      </w:r>
      <w:r>
        <w:t>按标高线将墙上表面混凝土找平。</w:t>
      </w:r>
    </w:p>
    <w:p>
      <w:pPr>
        <w:pStyle w:val="ListParagraph"/>
        <w:numPr>
          <w:ilvl w:val="2"/>
          <w:numId w:val="21"/>
        </w:numPr>
        <w:tabs>
          <w:tab w:val="left" w:pos="1965"/>
        </w:tabs>
        <w:spacing w:before="0" w:after="0" w:line="537" w:lineRule="exact"/>
        <w:ind w:left="1964" w:right="0" w:hanging="926"/>
        <w:jc w:val="left"/>
        <w:rPr>
          <w:rFonts w:ascii="Times New Roman" w:eastAsia="Times New Roman"/>
          <w:sz w:val="42"/>
        </w:rPr>
      </w:pPr>
      <w:r>
        <w:rPr>
          <w:sz w:val="42"/>
        </w:rPr>
        <w:t>梁板混凝土浇筑：</w:t>
      </w:r>
    </w:p>
    <w:p>
      <w:pPr>
        <w:pStyle w:val="BodyText"/>
        <w:spacing w:before="396" w:line="417" w:lineRule="auto"/>
        <w:ind w:left="200" w:right="559" w:firstLine="838"/>
      </w:pPr>
      <w:r>
        <w:rPr>
          <w:spacing w:val="-8"/>
          <w:w w:val="100"/>
        </w:rPr>
        <w:t>梁、板应同时浇筑，浇筑方法应由一端开始，用“赶浆法”，即</w:t>
      </w:r>
      <w:r>
        <w:t>先浇筑梁，当达到板底位置时再与板的混凝土一起浇筑。</w:t>
      </w:r>
    </w:p>
    <w:p>
      <w:pPr>
        <w:pStyle w:val="BodyText"/>
        <w:spacing w:line="417" w:lineRule="auto"/>
        <w:ind w:left="200" w:right="111" w:firstLine="838"/>
      </w:pPr>
      <w:r>
        <w:t>浇捣时，浇筑与振捣必须紧密配合，第一层下料慢些，梁底振实</w:t>
      </w:r>
      <w:r>
        <w:rPr>
          <w:spacing w:val="-13"/>
        </w:rPr>
        <w:t xml:space="preserve">后再下二层料，用赶浆法保持水泥浆沿梁底包裹石子向前推进，每层 </w:t>
      </w:r>
      <w:r>
        <w:rPr>
          <w:spacing w:val="-18"/>
        </w:rPr>
        <w:t xml:space="preserve">均应振实后再下料，梁底及梁帮部位要注意振实，振捣时不得触动钢 筋及预埋件。浇筑板混凝土的虚铺厚度应略大于板厚，用平板振捣器 </w:t>
      </w:r>
      <w:r>
        <w:rPr>
          <w:spacing w:val="-20"/>
        </w:rPr>
        <w:t xml:space="preserve">垂直浇筑方向来回振捣，厚板可用插入式振捣器顺浇筑方向托拉振捣， </w:t>
      </w:r>
      <w:r>
        <w:rPr>
          <w:spacing w:val="2"/>
        </w:rPr>
        <w:t>并用铁插尺检查混凝土厚度，混凝土振捣完毕，先用</w:t>
      </w:r>
      <w:r>
        <w:rPr>
          <w:rFonts w:ascii="Times New Roman" w:eastAsia="Times New Roman"/>
        </w:rPr>
        <w:t xml:space="preserve">2m </w:t>
      </w:r>
      <w:r>
        <w:t>长刮尺，按设计标高找平，待混凝土沉实后，用木抹子进步搓压提浆找平，搓抹两</w:t>
      </w:r>
      <w:r>
        <w:rPr>
          <w:spacing w:val="-24"/>
        </w:rPr>
        <w:t xml:space="preserve">遍，在混凝土初凝前再抹压遍，使其表面平整度控制在 </w:t>
      </w:r>
      <w:r>
        <w:rPr>
          <w:rFonts w:ascii="Times New Roman" w:eastAsia="Times New Roman"/>
        </w:rPr>
        <w:t xml:space="preserve">3mm </w:t>
      </w:r>
      <w:r>
        <w:t>之内。施工缝处或有预埋件及插筋处用木抹子找平。</w:t>
      </w:r>
    </w:p>
    <w:p>
      <w:pPr>
        <w:pStyle w:val="BodyText"/>
        <w:spacing w:line="536" w:lineRule="exact"/>
        <w:ind w:left="1039"/>
      </w:pPr>
      <w:r>
        <w:t>施工缝位置：施工缝留置在梁板跨度的中间</w:t>
      </w:r>
      <w:r>
        <w:rPr>
          <w:rFonts w:ascii="Times New Roman" w:eastAsia="Times New Roman"/>
        </w:rPr>
        <w:t xml:space="preserve">1/3 </w:t>
      </w:r>
      <w:r>
        <w:t>范围内。施工缝</w:t>
      </w:r>
    </w:p>
    <w:p>
      <w:pPr>
        <w:spacing w:after="0" w:line="536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https://d.book118.com/218125044061006041</w:t>
        </w:r>
      </w:hyperlink>
    </w:p>
    <w:p>
      <w:pPr>
        <w:spacing w:after="0" w:line="536" w:lineRule="exact"/>
      </w:pPr>
    </w:p>
    <w:sectPr>
      <w:headerReference w:type="default" r:id="rId35"/>
      <w:footerReference w:type="default" r:id="rId36"/>
      <w:pgSz w:w="17860" w:h="25260"/>
      <w:pgMar w:top="1400" w:right="2140" w:bottom="2020" w:left="2500" w:header="1088" w:footer="1820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9pt;height:15.5pt;margin-top:1160.8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9pt;height:15.5pt;margin-top:1160.8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9pt;height:15.5pt;margin-top:1160.8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9pt;height:15.5pt;margin-top:1160.8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9pt;height:15.5pt;margin-top:1160.8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38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689925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89925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38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573153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73153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38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296018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96018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38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831819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31819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38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734102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34102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38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443341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3341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38pt;margin-left:418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53.38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64110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4110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53.38pt;margin-left:418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580686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80686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53.38pt;margin-left:418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931357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31357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53.38pt;margin-left:418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44327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327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53.38pt;margin-left:418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568B"/>
    <w:multiLevelType w:val="hybridMultilevel"/>
    <w:tmpl w:val="00000000"/>
    <w:lvl w:ilvl="0">
      <w:start w:val="1"/>
      <w:numFmt w:val="decimal"/>
      <w:lvlText w:val="（%1）"/>
      <w:lvlJc w:val="left"/>
      <w:pPr>
        <w:ind w:left="200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5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1060"/>
      </w:pPr>
      <w:rPr>
        <w:rFonts w:hint="default"/>
      </w:rPr>
    </w:lvl>
  </w:abstractNum>
  <w:abstractNum w:abstractNumId="1">
    <w:nsid w:val="0D06953A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2">
    <w:nsid w:val="1B34D1E6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3">
    <w:nsid w:val="1C0E08CE"/>
    <w:multiLevelType w:val="hybridMultilevel"/>
    <w:tmpl w:val="00000000"/>
    <w:lvl w:ilvl="0">
      <w:start w:val="5"/>
      <w:numFmt w:val="decimal"/>
      <w:lvlText w:val="%1"/>
      <w:lvlJc w:val="left"/>
      <w:pPr>
        <w:ind w:left="1964" w:hanging="92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64" w:hanging="92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64" w:hanging="926"/>
        <w:jc w:val="left"/>
      </w:pPr>
      <w:rPr>
        <w:rFonts w:hint="default"/>
        <w:w w:val="90"/>
      </w:rPr>
    </w:lvl>
    <w:lvl w:ilvl="3">
      <w:start w:val="0"/>
      <w:numFmt w:val="bullet"/>
      <w:lvlText w:val="•"/>
      <w:lvlJc w:val="left"/>
      <w:pPr>
        <w:ind w:left="9066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9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3" w:hanging="926"/>
      </w:pPr>
      <w:rPr>
        <w:rFonts w:hint="default"/>
      </w:rPr>
    </w:lvl>
  </w:abstractNum>
  <w:abstractNum w:abstractNumId="4">
    <w:nsid w:val="1C38FBA2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5">
    <w:nsid w:val="1F0100A4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6">
    <w:nsid w:val="25C4D9D8"/>
    <w:multiLevelType w:val="hybridMultilevel"/>
    <w:tmpl w:val="00000000"/>
    <w:lvl w:ilvl="0">
      <w:start w:val="5"/>
      <w:numFmt w:val="decimal"/>
      <w:lvlText w:val="%1"/>
      <w:lvlJc w:val="left"/>
      <w:pPr>
        <w:ind w:left="492" w:hanging="292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1"/>
      <w:numFmt w:val="decimal"/>
      <w:lvlText w:val="%1.%2"/>
      <w:lvlJc w:val="left"/>
      <w:pPr>
        <w:ind w:left="1439" w:hanging="60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2748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7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5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4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1" w:hanging="609"/>
      </w:pPr>
      <w:rPr>
        <w:rFonts w:hint="default"/>
      </w:rPr>
    </w:lvl>
  </w:abstractNum>
  <w:abstractNum w:abstractNumId="7">
    <w:nsid w:val="2E4C7F59"/>
    <w:multiLevelType w:val="hybridMultilevel"/>
    <w:tmpl w:val="00000000"/>
    <w:lvl w:ilvl="0">
      <w:start w:val="5"/>
      <w:numFmt w:val="decimal"/>
      <w:lvlText w:val="%1"/>
      <w:lvlJc w:val="left"/>
      <w:pPr>
        <w:ind w:left="499" w:hanging="299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1">
      <w:start w:val="1"/>
      <w:numFmt w:val="decimal"/>
      <w:lvlText w:val="%1.%2"/>
      <w:lvlJc w:val="left"/>
      <w:pPr>
        <w:ind w:left="816" w:hanging="61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（%3）"/>
      <w:lvlJc w:val="left"/>
      <w:pPr>
        <w:ind w:left="200" w:hanging="1053"/>
        <w:jc w:val="left"/>
      </w:pPr>
      <w:rPr>
        <w:rFonts w:ascii="隶书" w:eastAsia="隶书" w:hAnsi="隶书" w:cs="隶书" w:hint="default"/>
        <w:spacing w:val="-177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236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1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6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19" w:hanging="1053"/>
      </w:pPr>
      <w:rPr>
        <w:rFonts w:hint="default"/>
      </w:rPr>
    </w:lvl>
  </w:abstractNum>
  <w:abstractNum w:abstractNumId="8">
    <w:nsid w:val="307D141E"/>
    <w:multiLevelType w:val="hybridMultilevel"/>
    <w:tmpl w:val="00000000"/>
    <w:lvl w:ilvl="0">
      <w:start w:val="6"/>
      <w:numFmt w:val="decimal"/>
      <w:lvlText w:val="%1"/>
      <w:lvlJc w:val="left"/>
      <w:pPr>
        <w:ind w:left="499" w:hanging="299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647" w:hanging="609"/>
        <w:jc w:val="left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964" w:hanging="60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3">
      <w:start w:val="0"/>
      <w:numFmt w:val="bullet"/>
      <w:lvlText w:val="•"/>
      <w:lvlJc w:val="left"/>
      <w:pPr>
        <w:ind w:left="1960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8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7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85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94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02" w:hanging="609"/>
      </w:pPr>
      <w:rPr>
        <w:rFonts w:hint="default"/>
      </w:rPr>
    </w:lvl>
  </w:abstractNum>
  <w:abstractNum w:abstractNumId="9">
    <w:nsid w:val="32A7332C"/>
    <w:multiLevelType w:val="hybridMultilevel"/>
    <w:tmpl w:val="00000000"/>
    <w:lvl w:ilvl="0">
      <w:start w:val="1"/>
      <w:numFmt w:val="decimal"/>
      <w:lvlText w:val="%1"/>
      <w:lvlJc w:val="left"/>
      <w:pPr>
        <w:ind w:left="1439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9" w:hanging="60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3795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1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5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3" w:hanging="609"/>
      </w:pPr>
      <w:rPr>
        <w:rFonts w:hint="default"/>
      </w:rPr>
    </w:lvl>
  </w:abstractNum>
  <w:abstractNum w:abstractNumId="10">
    <w:nsid w:val="32B9AE31"/>
    <w:multiLevelType w:val="hybridMultilevel"/>
    <w:tmpl w:val="00000000"/>
    <w:lvl w:ilvl="0">
      <w:start w:val="1"/>
      <w:numFmt w:val="decimal"/>
      <w:lvlText w:val="（%1）"/>
      <w:lvlJc w:val="left"/>
      <w:pPr>
        <w:ind w:left="2098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60"/>
      </w:pPr>
      <w:rPr>
        <w:rFonts w:hint="default"/>
      </w:rPr>
    </w:lvl>
  </w:abstractNum>
  <w:abstractNum w:abstractNumId="11">
    <w:nsid w:val="32F07829"/>
    <w:multiLevelType w:val="hybridMultilevel"/>
    <w:tmpl w:val="00000000"/>
    <w:lvl w:ilvl="0">
      <w:start w:val="4"/>
      <w:numFmt w:val="decimal"/>
      <w:lvlText w:val="%1"/>
      <w:lvlJc w:val="left"/>
      <w:pPr>
        <w:ind w:left="816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61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（%3）"/>
      <w:lvlJc w:val="left"/>
      <w:pPr>
        <w:ind w:left="200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57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0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8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6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4" w:hanging="1060"/>
      </w:pPr>
      <w:rPr>
        <w:rFonts w:hint="default"/>
      </w:rPr>
    </w:lvl>
  </w:abstractNum>
  <w:abstractNum w:abstractNumId="12">
    <w:nsid w:val="3443DE72"/>
    <w:multiLevelType w:val="hybridMultilevel"/>
    <w:tmpl w:val="00000000"/>
    <w:lvl w:ilvl="0">
      <w:start w:val="1"/>
      <w:numFmt w:val="decimal"/>
      <w:lvlText w:val="（%1）"/>
      <w:lvlJc w:val="left"/>
      <w:pPr>
        <w:ind w:left="2119" w:hanging="1080"/>
        <w:jc w:val="left"/>
      </w:pPr>
      <w:rPr>
        <w:rFonts w:ascii="隶书" w:eastAsia="隶书" w:hAnsi="隶书" w:cs="隶书" w:hint="default"/>
        <w:spacing w:val="-2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22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9" w:hanging="1080"/>
      </w:pPr>
      <w:rPr>
        <w:rFonts w:hint="default"/>
      </w:rPr>
    </w:lvl>
  </w:abstractNum>
  <w:abstractNum w:abstractNumId="13">
    <w:nsid w:val="34FC63A9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14">
    <w:nsid w:val="3734D345"/>
    <w:multiLevelType w:val="hybridMultilevel"/>
    <w:tmpl w:val="00000000"/>
    <w:lvl w:ilvl="0">
      <w:start w:val="3"/>
      <w:numFmt w:val="decimal"/>
      <w:lvlText w:val="%1"/>
      <w:lvlJc w:val="left"/>
      <w:pPr>
        <w:ind w:left="816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616"/>
        <w:jc w:val="left"/>
      </w:pPr>
      <w:rPr>
        <w:rFonts w:hint="default"/>
        <w:b/>
        <w:bCs/>
        <w:w w:val="90"/>
      </w:rPr>
    </w:lvl>
    <w:lvl w:ilvl="2">
      <w:start w:val="1"/>
      <w:numFmt w:val="decimal"/>
      <w:lvlText w:val="%1.%2.%3"/>
      <w:lvlJc w:val="left"/>
      <w:pPr>
        <w:ind w:left="1964" w:hanging="926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3">
      <w:start w:val="0"/>
      <w:numFmt w:val="bullet"/>
      <w:lvlText w:val="•"/>
      <w:lvlJc w:val="left"/>
      <w:pPr>
        <w:ind w:left="4462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3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4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6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7" w:hanging="926"/>
      </w:pPr>
      <w:rPr>
        <w:rFonts w:hint="default"/>
      </w:rPr>
    </w:lvl>
  </w:abstractNum>
  <w:abstractNum w:abstractNumId="15">
    <w:nsid w:val="380828A0"/>
    <w:multiLevelType w:val="hybridMultilevel"/>
    <w:tmpl w:val="00000000"/>
    <w:lvl w:ilvl="0">
      <w:start w:val="1"/>
      <w:numFmt w:val="decimal"/>
      <w:lvlText w:val="（%1）"/>
      <w:lvlJc w:val="left"/>
      <w:pPr>
        <w:ind w:left="200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5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1060"/>
      </w:pPr>
      <w:rPr>
        <w:rFonts w:hint="default"/>
      </w:rPr>
    </w:lvl>
  </w:abstractNum>
  <w:abstractNum w:abstractNumId="16">
    <w:nsid w:val="3E2FE70B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17">
    <w:nsid w:val="4927D0EB"/>
    <w:multiLevelType w:val="hybridMultilevel"/>
    <w:tmpl w:val="00000000"/>
    <w:lvl w:ilvl="0">
      <w:start w:val="1"/>
      <w:numFmt w:val="decimal"/>
      <w:lvlText w:val="（%1）"/>
      <w:lvlJc w:val="left"/>
      <w:pPr>
        <w:ind w:left="200" w:hanging="1053"/>
        <w:jc w:val="left"/>
      </w:pPr>
      <w:rPr>
        <w:rFonts w:ascii="隶书" w:eastAsia="隶书" w:hAnsi="隶书" w:cs="隶书" w:hint="default"/>
        <w:spacing w:val="-119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50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0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1053"/>
      </w:pPr>
      <w:rPr>
        <w:rFonts w:hint="default"/>
      </w:rPr>
    </w:lvl>
  </w:abstractNum>
  <w:abstractNum w:abstractNumId="18">
    <w:nsid w:val="4A36336B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8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19">
    <w:nsid w:val="52F63DBC"/>
    <w:multiLevelType w:val="hybridMultilevel"/>
    <w:tmpl w:val="00000000"/>
    <w:lvl w:ilvl="0">
      <w:start w:val="7"/>
      <w:numFmt w:val="decimal"/>
      <w:lvlText w:val="（%1）"/>
      <w:lvlJc w:val="left"/>
      <w:pPr>
        <w:ind w:left="200" w:hanging="1060"/>
        <w:jc w:val="left"/>
      </w:pPr>
      <w:rPr>
        <w:rFonts w:ascii="隶书" w:eastAsia="隶书" w:hAnsi="隶书" w:cs="隶书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1060"/>
      </w:pPr>
      <w:rPr>
        <w:rFonts w:hint="default"/>
      </w:rPr>
    </w:lvl>
  </w:abstractNum>
  <w:abstractNum w:abstractNumId="20">
    <w:nsid w:val="58E58CBC"/>
    <w:multiLevelType w:val="hybridMultilevel"/>
    <w:tmpl w:val="00000000"/>
    <w:lvl w:ilvl="0">
      <w:start w:val="4"/>
      <w:numFmt w:val="decimal"/>
      <w:lvlText w:val="%1"/>
      <w:lvlJc w:val="left"/>
      <w:pPr>
        <w:ind w:left="1964" w:hanging="92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964" w:hanging="92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64" w:hanging="926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3">
      <w:start w:val="0"/>
      <w:numFmt w:val="bullet"/>
      <w:lvlText w:val="•"/>
      <w:lvlJc w:val="left"/>
      <w:pPr>
        <w:ind w:left="5337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5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1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7" w:hanging="926"/>
      </w:pPr>
      <w:rPr>
        <w:rFonts w:hint="default"/>
      </w:rPr>
    </w:lvl>
  </w:abstractNum>
  <w:abstractNum w:abstractNumId="21">
    <w:nsid w:val="5CBEC8F0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22">
    <w:nsid w:val="62B365C1"/>
    <w:multiLevelType w:val="hybridMultilevel"/>
    <w:tmpl w:val="00000000"/>
    <w:lvl w:ilvl="0">
      <w:start w:val="4"/>
      <w:numFmt w:val="decimal"/>
      <w:lvlText w:val="%1"/>
      <w:lvlJc w:val="left"/>
      <w:pPr>
        <w:ind w:left="1439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9" w:hanging="60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3795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1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5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3" w:hanging="609"/>
      </w:pPr>
      <w:rPr>
        <w:rFonts w:hint="default"/>
      </w:rPr>
    </w:lvl>
  </w:abstractNum>
  <w:abstractNum w:abstractNumId="23">
    <w:nsid w:val="64CDBB16"/>
    <w:multiLevelType w:val="hybridMultilevel"/>
    <w:tmpl w:val="00000000"/>
    <w:lvl w:ilvl="0">
      <w:start w:val="1"/>
      <w:numFmt w:val="decimal"/>
      <w:lvlText w:val="（%1）"/>
      <w:lvlJc w:val="left"/>
      <w:pPr>
        <w:ind w:left="2098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60"/>
      </w:pPr>
      <w:rPr>
        <w:rFonts w:hint="default"/>
      </w:rPr>
    </w:lvl>
  </w:abstractNum>
  <w:abstractNum w:abstractNumId="24">
    <w:nsid w:val="6D60170E"/>
    <w:multiLevelType w:val="hybridMultilevel"/>
    <w:tmpl w:val="00000000"/>
    <w:lvl w:ilvl="0">
      <w:start w:val="4"/>
      <w:numFmt w:val="decimal"/>
      <w:lvlText w:val="%1"/>
      <w:lvlJc w:val="left"/>
      <w:pPr>
        <w:ind w:left="816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61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（%3）"/>
      <w:lvlJc w:val="left"/>
      <w:pPr>
        <w:ind w:left="200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57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0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8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6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4" w:hanging="1060"/>
      </w:pPr>
      <w:rPr>
        <w:rFonts w:hint="default"/>
      </w:rPr>
    </w:lvl>
  </w:abstractNum>
  <w:abstractNum w:abstractNumId="25">
    <w:nsid w:val="6DCAFEEB"/>
    <w:multiLevelType w:val="hybridMultilevel"/>
    <w:tmpl w:val="00000000"/>
    <w:lvl w:ilvl="0">
      <w:start w:val="3"/>
      <w:numFmt w:val="decimal"/>
      <w:lvlText w:val="%1"/>
      <w:lvlJc w:val="left"/>
      <w:pPr>
        <w:ind w:left="1439" w:hanging="6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9" w:hanging="60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3795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1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5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3" w:hanging="609"/>
      </w:pPr>
      <w:rPr>
        <w:rFonts w:hint="default"/>
      </w:rPr>
    </w:lvl>
  </w:abstractNum>
  <w:abstractNum w:abstractNumId="26">
    <w:nsid w:val="716D4C3F"/>
    <w:multiLevelType w:val="hybridMultilevel"/>
    <w:tmpl w:val="00000000"/>
    <w:lvl w:ilvl="0">
      <w:start w:val="1"/>
      <w:numFmt w:val="decimal"/>
      <w:lvlText w:val="（%1）"/>
      <w:lvlJc w:val="left"/>
      <w:pPr>
        <w:ind w:left="2119" w:hanging="1080"/>
        <w:jc w:val="left"/>
      </w:pPr>
      <w:rPr>
        <w:rFonts w:ascii="隶书" w:eastAsia="隶书" w:hAnsi="隶书" w:cs="隶书" w:hint="default"/>
        <w:spacing w:val="-2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22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9" w:hanging="1080"/>
      </w:pPr>
      <w:rPr>
        <w:rFonts w:hint="default"/>
      </w:rPr>
    </w:lvl>
  </w:abstractNum>
  <w:abstractNum w:abstractNumId="27">
    <w:nsid w:val="72E8B527"/>
    <w:multiLevelType w:val="hybridMultilevel"/>
    <w:tmpl w:val="00000000"/>
    <w:lvl w:ilvl="0">
      <w:start w:val="4"/>
      <w:numFmt w:val="decimal"/>
      <w:lvlText w:val="%1"/>
      <w:lvlJc w:val="left"/>
      <w:pPr>
        <w:ind w:left="816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61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（%3）"/>
      <w:lvlJc w:val="left"/>
      <w:pPr>
        <w:ind w:left="200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57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0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8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6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4" w:hanging="1060"/>
      </w:pPr>
      <w:rPr>
        <w:rFonts w:hint="default"/>
      </w:rPr>
    </w:lvl>
  </w:abstractNum>
  <w:abstractNum w:abstractNumId="28">
    <w:nsid w:val="78DE6351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29">
    <w:nsid w:val="78E71AA2"/>
    <w:multiLevelType w:val="hybridMultilevel"/>
    <w:tmpl w:val="00000000"/>
    <w:lvl w:ilvl="0">
      <w:start w:val="1"/>
      <w:numFmt w:val="decimal"/>
      <w:lvlText w:val="%1"/>
      <w:lvlJc w:val="left"/>
      <w:pPr>
        <w:ind w:left="816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61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3299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9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9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616"/>
      </w:pPr>
      <w:rPr>
        <w:rFonts w:hint="default"/>
      </w:rPr>
    </w:lvl>
  </w:abstractNum>
  <w:abstractNum w:abstractNumId="30">
    <w:nsid w:val="7AD79192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53"/>
        <w:jc w:val="left"/>
      </w:pPr>
      <w:rPr>
        <w:rFonts w:ascii="隶书" w:eastAsia="隶书" w:hAnsi="隶书" w:cs="隶书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53"/>
      </w:pPr>
      <w:rPr>
        <w:rFonts w:hint="default"/>
      </w:rPr>
    </w:lvl>
  </w:abstractNum>
  <w:abstractNum w:abstractNumId="31">
    <w:nsid w:val="7D6D8CFB"/>
    <w:multiLevelType w:val="hybridMultilevel"/>
    <w:tmpl w:val="00000000"/>
    <w:lvl w:ilvl="0">
      <w:start w:val="1"/>
      <w:numFmt w:val="decimal"/>
      <w:lvlText w:val="（%1）"/>
      <w:lvlJc w:val="left"/>
      <w:pPr>
        <w:ind w:left="2098" w:hanging="1060"/>
        <w:jc w:val="left"/>
      </w:pPr>
      <w:rPr>
        <w:rFonts w:ascii="隶书" w:eastAsia="隶书" w:hAnsi="隶书" w:cs="隶书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1060"/>
      </w:pPr>
      <w:rPr>
        <w:rFonts w:hint="default"/>
      </w:rPr>
    </w:lvl>
  </w:abstractNum>
  <w:num w:numId="1">
    <w:abstractNumId w:val="12"/>
  </w:num>
  <w:num w:numId="2">
    <w:abstractNumId w:val="26"/>
  </w:num>
  <w:num w:numId="3">
    <w:abstractNumId w:val="1"/>
  </w:num>
  <w:num w:numId="4">
    <w:abstractNumId w:val="15"/>
  </w:num>
  <w:num w:numId="5">
    <w:abstractNumId w:val="23"/>
  </w:num>
  <w:num w:numId="6">
    <w:abstractNumId w:val="21"/>
  </w:num>
  <w:num w:numId="7">
    <w:abstractNumId w:val="2"/>
  </w:num>
  <w:num w:numId="8">
    <w:abstractNumId w:val="13"/>
  </w:num>
  <w:num w:numId="9">
    <w:abstractNumId w:val="28"/>
  </w:num>
  <w:num w:numId="10">
    <w:abstractNumId w:val="5"/>
  </w:num>
  <w:num w:numId="11">
    <w:abstractNumId w:val="16"/>
  </w:num>
  <w:num w:numId="12">
    <w:abstractNumId w:val="4"/>
  </w:num>
  <w:num w:numId="13">
    <w:abstractNumId w:val="17"/>
  </w:num>
  <w:num w:numId="14">
    <w:abstractNumId w:val="31"/>
  </w:num>
  <w:num w:numId="15">
    <w:abstractNumId w:val="0"/>
  </w:num>
  <w:num w:numId="16">
    <w:abstractNumId w:val="30"/>
  </w:num>
  <w:num w:numId="17">
    <w:abstractNumId w:val="18"/>
  </w:num>
  <w:num w:numId="18">
    <w:abstractNumId w:val="19"/>
  </w:num>
  <w:num w:numId="19">
    <w:abstractNumId w:val="10"/>
  </w:num>
  <w:num w:numId="20">
    <w:abstractNumId w:val="8"/>
  </w:num>
  <w:num w:numId="21">
    <w:abstractNumId w:val="3"/>
  </w:num>
  <w:num w:numId="22">
    <w:abstractNumId w:val="7"/>
  </w:num>
  <w:num w:numId="23">
    <w:abstractNumId w:val="20"/>
  </w:num>
  <w:num w:numId="24">
    <w:abstractNumId w:val="11"/>
  </w:num>
  <w:num w:numId="25">
    <w:abstractNumId w:val="14"/>
  </w:num>
  <w:num w:numId="26">
    <w:abstractNumId w:val="29"/>
  </w:num>
  <w:num w:numId="27">
    <w:abstractNumId w:val="6"/>
  </w:num>
  <w:num w:numId="28">
    <w:abstractNumId w:val="22"/>
  </w:num>
  <w:num w:numId="29">
    <w:abstractNumId w:val="25"/>
  </w:num>
  <w:num w:numId="30">
    <w:abstractNumId w:val="9"/>
  </w:num>
  <w:num w:numId="31">
    <w:abstractNumId w:val="27"/>
  </w:num>
  <w:num w:numId="32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隶书" w:eastAsia="隶书" w:hAnsi="隶书" w:cs="隶书"/>
    </w:rPr>
  </w:style>
  <w:style w:type="paragraph" w:styleId="Heading1">
    <w:name w:val="heading 1"/>
    <w:basedOn w:val="Normal"/>
    <w:uiPriority w:val="1"/>
    <w:qFormat/>
    <w:pPr>
      <w:ind w:left="816" w:hanging="617"/>
      <w:outlineLvl w:val="0"/>
    </w:pPr>
    <w:rPr>
      <w:rFonts w:ascii="隶书" w:eastAsia="隶书" w:hAnsi="隶书" w:cs="隶书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98"/>
      <w:ind w:right="366"/>
      <w:jc w:val="center"/>
    </w:pPr>
    <w:rPr>
      <w:rFonts w:ascii="隶书" w:eastAsia="隶书" w:hAnsi="隶书" w:cs="隶书"/>
      <w:sz w:val="42"/>
      <w:szCs w:val="42"/>
    </w:rPr>
  </w:style>
  <w:style w:type="paragraph" w:styleId="TOC2">
    <w:name w:val="toc 2"/>
    <w:basedOn w:val="Normal"/>
    <w:uiPriority w:val="1"/>
    <w:qFormat/>
    <w:pPr>
      <w:spacing w:before="398"/>
      <w:ind w:left="1439" w:hanging="609"/>
    </w:pPr>
    <w:rPr>
      <w:rFonts w:ascii="隶书" w:eastAsia="隶书" w:hAnsi="隶书" w:cs="隶书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隶书" w:eastAsia="隶书" w:hAnsi="隶书" w:cs="隶书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091" w:hanging="1053"/>
    </w:pPr>
    <w:rPr>
      <w:rFonts w:ascii="隶书" w:eastAsia="隶书" w:hAnsi="隶书" w:cs="隶书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png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6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7.png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yperlink" Target="https://d.book118.com/218125044061006041" TargetMode="External" /><Relationship Id="rId35" Type="http://schemas.openxmlformats.org/officeDocument/2006/relationships/header" Target="header13.xml" /><Relationship Id="rId36" Type="http://schemas.openxmlformats.org/officeDocument/2006/relationships/footer" Target="footer13.xm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2024-02-02T01:08:19Z</dcterms:created>
  <dcterms:modified xsi:type="dcterms:W3CDTF">2024-02-02T01:08:19Z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2024-02-02T00:00:00Z</vt:filetime>
  </property>
</Properties>
</file>