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autoSpaceDE/>
        <w:autoSpaceDN/>
        <w:bidi w:val="0"/>
        <w:adjustRightInd w:val="0"/>
        <w:snapToGrid w:val="0"/>
        <w:spacing w:before="156" w:beforeLines="50" w:after="157" w:afterLines="50" w:line="560" w:lineRule="exact"/>
        <w:jc w:val="center"/>
        <w:textAlignment w:val="auto"/>
        <w:outlineLvl w:val="1"/>
        <w:rPr>
          <w:rFonts w:ascii="楷体" w:eastAsia="楷体" w:hAnsi="楷体" w:hint="eastAsia"/>
          <w:b/>
          <w:bCs/>
          <w:snapToGrid w:val="0"/>
          <w:color w:val="auto"/>
          <w:kern w:val="0"/>
          <w:sz w:val="32"/>
          <w:szCs w:val="32"/>
          <w:highlight w:val="none"/>
          <w:lang w:val="zh-CN"/>
        </w:rPr>
      </w:pPr>
      <w:bookmarkStart w:id="0" w:name="_Toc421714851"/>
      <w:bookmarkStart w:id="1" w:name="_Toc15415"/>
      <w:bookmarkStart w:id="2" w:name="_Toc421697150"/>
      <w:bookmarkStart w:id="3" w:name="_Toc8207"/>
      <w:bookmarkStart w:id="4" w:name="_Toc12603"/>
      <w:bookmarkStart w:id="5" w:name="_Toc21469"/>
      <w:r>
        <w:rPr>
          <w:rFonts w:ascii="楷体" w:eastAsia="楷体" w:hAnsi="楷体" w:cs="Times New Roman" w:hint="eastAsia"/>
          <w:b/>
          <w:bCs/>
          <w:snapToGrid w:val="0"/>
          <w:color w:val="auto"/>
          <w:kern w:val="0"/>
          <w:sz w:val="32"/>
          <w:szCs w:val="32"/>
          <w:highlight w:val="none"/>
          <w:lang w:val="en-US" w:eastAsia="zh-CN"/>
        </w:rPr>
        <w:t>1</w:t>
      </w:r>
      <w:r>
        <w:rPr>
          <w:rFonts w:ascii="楷体" w:eastAsia="楷体" w:hAnsi="楷体" w:cs="Times New Roman" w:hint="eastAsia"/>
          <w:b/>
          <w:bCs/>
          <w:snapToGrid w:val="0"/>
          <w:color w:val="auto"/>
          <w:kern w:val="0"/>
          <w:sz w:val="32"/>
          <w:szCs w:val="32"/>
          <w:highlight w:val="none"/>
          <w:lang w:val="zh-CN" w:eastAsia="zh-CN"/>
        </w:rPr>
        <w:t>.1</w:t>
      </w:r>
      <w:r>
        <w:rPr>
          <w:rFonts w:ascii="楷体" w:eastAsia="楷体" w:hAnsi="楷体" w:cs="Times New Roman" w:hint="eastAsia"/>
          <w:b/>
          <w:bCs/>
          <w:snapToGrid w:val="0"/>
          <w:color w:val="auto"/>
          <w:kern w:val="0"/>
          <w:sz w:val="32"/>
          <w:szCs w:val="32"/>
          <w:highlight w:val="none"/>
          <w:lang w:val="en-US" w:eastAsia="zh-CN"/>
        </w:rPr>
        <w:t xml:space="preserve">  </w:t>
      </w:r>
      <w:r>
        <w:rPr>
          <w:rFonts w:ascii="楷体" w:eastAsia="楷体" w:hAnsi="楷体" w:cs="Times New Roman" w:hint="eastAsia"/>
          <w:b/>
          <w:bCs/>
          <w:snapToGrid w:val="0"/>
          <w:color w:val="auto"/>
          <w:kern w:val="0"/>
          <w:sz w:val="32"/>
          <w:szCs w:val="32"/>
          <w:highlight w:val="none"/>
          <w:lang w:val="zh-CN" w:eastAsia="zh-CN"/>
        </w:rPr>
        <w:t>法律、法规</w:t>
      </w:r>
      <w:bookmarkEnd w:id="0"/>
      <w:bookmarkEnd w:id="1"/>
      <w:bookmarkEnd w:id="2"/>
      <w:bookmarkEnd w:id="3"/>
      <w:bookmarkEnd w:id="4"/>
      <w:bookmarkEnd w:id="5"/>
    </w:p>
    <w:p>
      <w:pPr>
        <w:spacing w:line="560" w:lineRule="exact"/>
        <w:jc w:val="center"/>
        <w:rPr>
          <w:rFonts w:hint="eastAsia"/>
          <w:b/>
          <w:bCs w:val="0"/>
          <w:color w:val="auto"/>
          <w:sz w:val="24"/>
          <w:szCs w:val="24"/>
          <w:highlight w:val="none"/>
        </w:rPr>
      </w:pPr>
      <w:r>
        <w:rPr>
          <w:rFonts w:ascii="Times New Roman" w:hAnsi="Times New Roman" w:cs="Times New Roman" w:hint="default"/>
          <w:b/>
          <w:bCs w:val="0"/>
          <w:color w:val="auto"/>
          <w:sz w:val="24"/>
          <w:szCs w:val="24"/>
          <w:highlight w:val="none"/>
        </w:rPr>
        <w:t>法律、法规</w:t>
      </w:r>
      <w:r>
        <w:rPr>
          <w:rFonts w:cs="Times New Roman" w:hint="eastAsia"/>
          <w:b/>
          <w:bCs w:val="0"/>
          <w:color w:val="auto"/>
          <w:sz w:val="24"/>
          <w:szCs w:val="24"/>
          <w:highlight w:val="none"/>
          <w:lang w:eastAsia="zh-CN"/>
        </w:rPr>
        <w:t>检查表</w:t>
      </w:r>
    </w:p>
    <w:tbl>
      <w:tblPr>
        <w:tblStyle w:val="TableNormal"/>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2868"/>
        <w:gridCol w:w="1950"/>
        <w:gridCol w:w="2055"/>
        <w:gridCol w:w="675"/>
        <w:gridCol w:w="900"/>
        <w:gridCol w:w="640"/>
      </w:tblGrid>
      <w:tr>
        <w:tblPrEx>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300"/>
          <w:jc w:val="center"/>
        </w:trPr>
        <w:tc>
          <w:tcPr>
            <w:tcW w:w="682" w:type="dxa"/>
            <w:vMerge w:val="restart"/>
            <w:tcBorders>
              <w:tl2br w:val="nil"/>
              <w:tr2bl w:val="nil"/>
            </w:tcBorders>
            <w:vAlign w:val="center"/>
          </w:tcPr>
          <w:p>
            <w:pPr>
              <w:spacing w:line="400" w:lineRule="exact"/>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rPr>
              <w:t>序号</w:t>
            </w:r>
          </w:p>
        </w:tc>
        <w:tc>
          <w:tcPr>
            <w:tcW w:w="2868" w:type="dxa"/>
            <w:vMerge w:val="restart"/>
            <w:tcBorders>
              <w:tl2br w:val="nil"/>
              <w:tr2bl w:val="nil"/>
            </w:tcBorders>
            <w:vAlign w:val="center"/>
          </w:tcPr>
          <w:p>
            <w:pPr>
              <w:spacing w:line="400" w:lineRule="exact"/>
              <w:jc w:val="center"/>
              <w:rPr>
                <w:rFonts w:ascii="宋体" w:hAnsi="宋体" w:cs="宋体" w:hint="default"/>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项目和内容</w:t>
            </w:r>
          </w:p>
        </w:tc>
        <w:tc>
          <w:tcPr>
            <w:tcW w:w="1950" w:type="dxa"/>
            <w:vMerge w:val="restart"/>
            <w:tcBorders>
              <w:tl2br w:val="nil"/>
              <w:tr2bl w:val="nil"/>
            </w:tcBorders>
            <w:vAlign w:val="center"/>
          </w:tcPr>
          <w:p>
            <w:pPr>
              <w:spacing w:line="400" w:lineRule="exact"/>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标准</w:t>
            </w:r>
            <w:r>
              <w:rPr>
                <w:rFonts w:ascii="宋体" w:eastAsia="宋体" w:hAnsi="宋体" w:cs="宋体" w:hint="eastAsia"/>
                <w:b/>
                <w:bCs/>
                <w:color w:val="auto"/>
                <w:szCs w:val="21"/>
                <w:highlight w:val="none"/>
              </w:rPr>
              <w:t>依据</w:t>
            </w:r>
          </w:p>
        </w:tc>
        <w:tc>
          <w:tcPr>
            <w:tcW w:w="2055" w:type="dxa"/>
            <w:vMerge w:val="restart"/>
            <w:tcBorders>
              <w:tl2br w:val="nil"/>
              <w:tr2bl w:val="nil"/>
            </w:tcBorders>
            <w:vAlign w:val="center"/>
          </w:tcPr>
          <w:p>
            <w:pPr>
              <w:spacing w:line="400" w:lineRule="exact"/>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记录</w:t>
            </w:r>
          </w:p>
        </w:tc>
        <w:tc>
          <w:tcPr>
            <w:tcW w:w="1575" w:type="dxa"/>
            <w:gridSpan w:val="2"/>
            <w:tcBorders>
              <w:tl2br w:val="nil"/>
              <w:tr2bl w:val="nil"/>
            </w:tcBorders>
            <w:vAlign w:val="center"/>
          </w:tcPr>
          <w:p>
            <w:pPr>
              <w:spacing w:line="400" w:lineRule="exact"/>
              <w:jc w:val="center"/>
              <w:rPr>
                <w:rFonts w:ascii="宋体" w:hAnsi="宋体" w:cs="宋体" w:hint="default"/>
                <w:b/>
                <w:bCs/>
                <w:color w:val="auto"/>
                <w:szCs w:val="21"/>
                <w:highlight w:val="none"/>
              </w:rPr>
            </w:pPr>
            <w:r>
              <w:rPr>
                <w:rFonts w:ascii="宋体" w:eastAsia="宋体" w:hAnsi="宋体" w:cs="宋体" w:hint="eastAsia"/>
                <w:b/>
                <w:bCs/>
                <w:color w:val="auto"/>
                <w:szCs w:val="21"/>
                <w:highlight w:val="none"/>
                <w:lang w:val="en-US" w:eastAsia="zh-CN"/>
              </w:rPr>
              <w:t>检查结果</w:t>
            </w:r>
          </w:p>
        </w:tc>
        <w:tc>
          <w:tcPr>
            <w:tcW w:w="640" w:type="dxa"/>
            <w:vMerge w:val="restart"/>
            <w:tcBorders>
              <w:tl2br w:val="nil"/>
              <w:tr2bl w:val="nil"/>
            </w:tcBorders>
            <w:vAlign w:val="center"/>
          </w:tcPr>
          <w:p>
            <w:pPr>
              <w:spacing w:line="400" w:lineRule="exact"/>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改进</w:t>
            </w:r>
          </w:p>
          <w:p>
            <w:pPr>
              <w:spacing w:line="400" w:lineRule="exact"/>
              <w:jc w:val="center"/>
              <w:rPr>
                <w:rFonts w:ascii="宋体" w:hAnsi="宋体" w:cs="宋体" w:hint="default"/>
                <w:b/>
                <w:bCs/>
                <w:color w:val="auto"/>
                <w:szCs w:val="21"/>
                <w:highlight w:val="none"/>
              </w:rPr>
            </w:pPr>
            <w:r>
              <w:rPr>
                <w:rFonts w:ascii="宋体" w:eastAsia="宋体" w:hAnsi="宋体" w:cs="宋体" w:hint="eastAsia"/>
                <w:b/>
                <w:bCs/>
                <w:color w:val="auto"/>
                <w:szCs w:val="21"/>
                <w:highlight w:val="none"/>
                <w:lang w:val="en-US" w:eastAsia="zh-CN"/>
              </w:rPr>
              <w:t>措施</w:t>
            </w:r>
          </w:p>
        </w:tc>
      </w:tr>
      <w:tr>
        <w:tblPrEx>
          <w:tblW w:w="9770" w:type="dxa"/>
          <w:jc w:val="center"/>
          <w:tblLayout w:type="fixed"/>
          <w:tblCellMar>
            <w:top w:w="0" w:type="dxa"/>
            <w:left w:w="108" w:type="dxa"/>
            <w:bottom w:w="0" w:type="dxa"/>
            <w:right w:w="108" w:type="dxa"/>
          </w:tblCellMar>
        </w:tblPrEx>
        <w:trPr>
          <w:trHeight w:val="300"/>
          <w:jc w:val="center"/>
        </w:trPr>
        <w:tc>
          <w:tcPr>
            <w:tcW w:w="682" w:type="dxa"/>
            <w:vMerge/>
            <w:tcBorders>
              <w:tl2br w:val="nil"/>
              <w:tr2bl w:val="nil"/>
            </w:tcBorders>
            <w:vAlign w:val="center"/>
          </w:tcPr>
          <w:p>
            <w:pPr>
              <w:spacing w:line="400" w:lineRule="exact"/>
              <w:jc w:val="center"/>
              <w:rPr>
                <w:rFonts w:ascii="宋体" w:hAnsi="宋体" w:cs="宋体" w:hint="eastAsia"/>
                <w:b/>
                <w:bCs/>
                <w:color w:val="auto"/>
                <w:szCs w:val="21"/>
                <w:highlight w:val="none"/>
              </w:rPr>
            </w:pPr>
          </w:p>
        </w:tc>
        <w:tc>
          <w:tcPr>
            <w:tcW w:w="2868" w:type="dxa"/>
            <w:vMerge/>
            <w:tcBorders>
              <w:tl2br w:val="nil"/>
              <w:tr2bl w:val="nil"/>
            </w:tcBorders>
            <w:vAlign w:val="center"/>
          </w:tcPr>
          <w:p>
            <w:pPr>
              <w:spacing w:line="400" w:lineRule="exact"/>
              <w:jc w:val="center"/>
              <w:rPr>
                <w:rFonts w:ascii="宋体" w:hAnsi="宋体" w:cs="宋体" w:hint="eastAsia"/>
                <w:b/>
                <w:bCs/>
                <w:color w:val="auto"/>
                <w:szCs w:val="21"/>
                <w:highlight w:val="none"/>
              </w:rPr>
            </w:pPr>
          </w:p>
        </w:tc>
        <w:tc>
          <w:tcPr>
            <w:tcW w:w="1950" w:type="dxa"/>
            <w:vMerge/>
            <w:tcBorders>
              <w:tl2br w:val="nil"/>
              <w:tr2bl w:val="nil"/>
            </w:tcBorders>
            <w:vAlign w:val="center"/>
          </w:tcPr>
          <w:p>
            <w:pPr>
              <w:spacing w:line="400" w:lineRule="exact"/>
              <w:jc w:val="center"/>
              <w:rPr>
                <w:rFonts w:ascii="宋体" w:hAnsi="宋体" w:cs="宋体" w:hint="eastAsia"/>
                <w:b/>
                <w:bCs/>
                <w:color w:val="auto"/>
                <w:szCs w:val="21"/>
                <w:highlight w:val="none"/>
              </w:rPr>
            </w:pPr>
          </w:p>
        </w:tc>
        <w:tc>
          <w:tcPr>
            <w:tcW w:w="2055" w:type="dxa"/>
            <w:vMerge/>
            <w:tcBorders>
              <w:tl2br w:val="nil"/>
              <w:tr2bl w:val="nil"/>
            </w:tcBorders>
            <w:vAlign w:val="center"/>
          </w:tcPr>
          <w:p>
            <w:pPr>
              <w:spacing w:line="400" w:lineRule="exact"/>
              <w:jc w:val="center"/>
              <w:rPr>
                <w:rFonts w:ascii="宋体" w:hAnsi="宋体" w:cs="宋体" w:hint="eastAsia"/>
                <w:b/>
                <w:bCs/>
                <w:color w:val="auto"/>
                <w:szCs w:val="21"/>
                <w:highlight w:val="none"/>
              </w:rPr>
            </w:pPr>
          </w:p>
        </w:tc>
        <w:tc>
          <w:tcPr>
            <w:tcW w:w="675" w:type="dxa"/>
            <w:tcBorders>
              <w:tl2br w:val="nil"/>
              <w:tr2bl w:val="nil"/>
            </w:tcBorders>
            <w:vAlign w:val="center"/>
          </w:tcPr>
          <w:p>
            <w:pPr>
              <w:spacing w:line="400" w:lineRule="exact"/>
              <w:jc w:val="center"/>
              <w:rPr>
                <w:rFonts w:ascii="宋体" w:hAnsi="宋体" w:cs="宋体" w:hint="default"/>
                <w:b/>
                <w:bCs/>
                <w:color w:val="auto"/>
                <w:szCs w:val="21"/>
                <w:highlight w:val="none"/>
              </w:rPr>
            </w:pPr>
            <w:r>
              <w:rPr>
                <w:rFonts w:ascii="宋体" w:eastAsia="宋体" w:hAnsi="宋体" w:cs="宋体" w:hint="eastAsia"/>
                <w:b/>
                <w:bCs/>
                <w:color w:val="auto"/>
                <w:szCs w:val="21"/>
                <w:highlight w:val="none"/>
                <w:lang w:val="en-US" w:eastAsia="zh-CN"/>
              </w:rPr>
              <w:t>符合</w:t>
            </w:r>
          </w:p>
        </w:tc>
        <w:tc>
          <w:tcPr>
            <w:tcW w:w="900" w:type="dxa"/>
            <w:tcBorders>
              <w:tl2br w:val="nil"/>
              <w:tr2bl w:val="nil"/>
            </w:tcBorders>
            <w:vAlign w:val="center"/>
          </w:tcPr>
          <w:p>
            <w:pPr>
              <w:spacing w:line="400" w:lineRule="exact"/>
              <w:jc w:val="center"/>
              <w:rPr>
                <w:rFonts w:ascii="宋体" w:hAnsi="宋体" w:cs="宋体" w:hint="default"/>
                <w:b/>
                <w:bCs/>
                <w:color w:val="auto"/>
                <w:szCs w:val="21"/>
                <w:highlight w:val="none"/>
              </w:rPr>
            </w:pPr>
            <w:r>
              <w:rPr>
                <w:rFonts w:ascii="宋体" w:eastAsia="宋体" w:hAnsi="宋体" w:cs="宋体" w:hint="eastAsia"/>
                <w:b/>
                <w:bCs/>
                <w:color w:val="auto"/>
                <w:szCs w:val="21"/>
                <w:highlight w:val="none"/>
                <w:lang w:val="en-US" w:eastAsia="zh-CN"/>
              </w:rPr>
              <w:t>不符合</w:t>
            </w:r>
          </w:p>
        </w:tc>
        <w:tc>
          <w:tcPr>
            <w:tcW w:w="640" w:type="dxa"/>
            <w:vMerge/>
            <w:tcBorders>
              <w:tl2br w:val="nil"/>
              <w:tr2bl w:val="nil"/>
            </w:tcBorders>
            <w:vAlign w:val="center"/>
          </w:tcPr>
          <w:p>
            <w:pPr>
              <w:spacing w:line="400" w:lineRule="exact"/>
              <w:jc w:val="center"/>
              <w:rPr>
                <w:rFonts w:ascii="宋体" w:hAnsi="宋体" w:cs="宋体" w:hint="eastAsia"/>
                <w:b/>
                <w:bCs/>
                <w:color w:val="auto"/>
                <w:szCs w:val="21"/>
                <w:highlight w:val="none"/>
              </w:rPr>
            </w:pPr>
          </w:p>
        </w:tc>
      </w:tr>
      <w:tr>
        <w:tblPrEx>
          <w:tblW w:w="9770" w:type="dxa"/>
          <w:jc w:val="center"/>
          <w:tblLayout w:type="fixed"/>
          <w:tblCellMar>
            <w:top w:w="0" w:type="dxa"/>
            <w:left w:w="108" w:type="dxa"/>
            <w:bottom w:w="0" w:type="dxa"/>
            <w:right w:w="108" w:type="dxa"/>
          </w:tblCellMar>
        </w:tblPrEx>
        <w:trPr>
          <w:trHeight w:val="1815"/>
          <w:jc w:val="center"/>
        </w:trPr>
        <w:tc>
          <w:tcPr>
            <w:tcW w:w="682" w:type="dxa"/>
            <w:tcBorders>
              <w:tl2br w:val="nil"/>
              <w:tr2bl w:val="nil"/>
            </w:tcBorders>
            <w:vAlign w:val="center"/>
          </w:tcPr>
          <w:p>
            <w:pPr>
              <w:spacing w:line="240" w:lineRule="auto"/>
              <w:jc w:val="center"/>
              <w:rPr>
                <w:rFonts w:eastAsiaTheme="minorEastAsia"/>
                <w:color w:val="auto"/>
                <w:szCs w:val="21"/>
                <w:highlight w:val="none"/>
              </w:rPr>
            </w:pPr>
            <w:r>
              <w:rPr>
                <w:rFonts w:eastAsiaTheme="minorEastAsia"/>
                <w:color w:val="auto"/>
                <w:szCs w:val="21"/>
                <w:highlight w:val="none"/>
              </w:rPr>
              <w:t>1</w:t>
            </w:r>
          </w:p>
        </w:tc>
        <w:tc>
          <w:tcPr>
            <w:tcW w:w="2868"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highlight w:val="none"/>
              </w:rPr>
              <w:t>本办法第七条规定以外的其他建设项目，生产经营单位应当对其安全生产条件和设施进行综合分析，形成书面报告备查。</w:t>
            </w:r>
          </w:p>
        </w:tc>
        <w:tc>
          <w:tcPr>
            <w:tcW w:w="1950"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《建设项目安全设施“三同时”监督管理办法》</w:t>
            </w:r>
            <w:r>
              <w:rPr>
                <w:rFonts w:eastAsiaTheme="minorEastAsia" w:hint="eastAsia"/>
                <w:color w:val="auto"/>
                <w:szCs w:val="21"/>
                <w:highlight w:val="none"/>
                <w:lang w:eastAsia="zh-CN"/>
              </w:rPr>
              <w:t>（原国家安全生产监督管理总局令36号，</w:t>
            </w:r>
            <w:r>
              <w:rPr>
                <w:rFonts w:eastAsiaTheme="minorEastAsia" w:hint="eastAsia"/>
                <w:color w:val="auto"/>
                <w:szCs w:val="21"/>
                <w:highlight w:val="none"/>
                <w:lang w:val="en-US" w:eastAsia="zh-CN"/>
              </w:rPr>
              <w:t>第77号令修正</w:t>
            </w:r>
            <w:r>
              <w:rPr>
                <w:rFonts w:eastAsiaTheme="minorEastAsia" w:hint="eastAsia"/>
                <w:color w:val="auto"/>
                <w:szCs w:val="21"/>
                <w:highlight w:val="none"/>
                <w:lang w:eastAsia="zh-CN"/>
              </w:rPr>
              <w:t>）</w:t>
            </w:r>
            <w:r>
              <w:rPr>
                <w:rFonts w:eastAsiaTheme="minorEastAsia" w:hint="eastAsia"/>
                <w:color w:val="auto"/>
                <w:szCs w:val="21"/>
                <w:highlight w:val="none"/>
              </w:rPr>
              <w:t>第九条</w:t>
            </w:r>
          </w:p>
        </w:tc>
        <w:tc>
          <w:tcPr>
            <w:tcW w:w="2055" w:type="dxa"/>
            <w:tcBorders>
              <w:tl2br w:val="nil"/>
              <w:tr2bl w:val="nil"/>
            </w:tcBorders>
            <w:vAlign w:val="center"/>
          </w:tcPr>
          <w:p>
            <w:pPr>
              <w:spacing w:line="240" w:lineRule="auto"/>
              <w:rPr>
                <w:rFonts w:eastAsiaTheme="minorEastAsia"/>
                <w:color w:val="auto"/>
                <w:szCs w:val="21"/>
                <w:highlight w:val="none"/>
              </w:rPr>
            </w:pPr>
          </w:p>
        </w:tc>
        <w:tc>
          <w:tcPr>
            <w:tcW w:w="1575" w:type="dxa"/>
            <w:gridSpan w:val="2"/>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符合</w:t>
            </w:r>
          </w:p>
        </w:tc>
        <w:tc>
          <w:tcPr>
            <w:tcW w:w="640" w:type="dxa"/>
            <w:tcBorders>
              <w:tl2br w:val="nil"/>
              <w:tr2bl w:val="nil"/>
            </w:tcBorders>
            <w:vAlign w:val="center"/>
          </w:tcPr>
          <w:p>
            <w:pPr>
              <w:spacing w:line="240" w:lineRule="auto"/>
              <w:jc w:val="center"/>
              <w:rPr>
                <w:rFonts w:eastAsiaTheme="minorEastAsia" w:hint="eastAsia"/>
                <w:color w:val="auto"/>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trHeight w:val="2035"/>
          <w:jc w:val="center"/>
        </w:trPr>
        <w:tc>
          <w:tcPr>
            <w:tcW w:w="682" w:type="dxa"/>
            <w:tcBorders>
              <w:tl2br w:val="nil"/>
              <w:tr2bl w:val="nil"/>
            </w:tcBorders>
            <w:vAlign w:val="center"/>
          </w:tcPr>
          <w:p>
            <w:pPr>
              <w:spacing w:line="240" w:lineRule="auto"/>
              <w:jc w:val="center"/>
              <w:rPr>
                <w:rFonts w:eastAsiaTheme="minorEastAsia"/>
                <w:color w:val="auto"/>
                <w:szCs w:val="21"/>
                <w:highlight w:val="none"/>
              </w:rPr>
            </w:pPr>
            <w:r>
              <w:rPr>
                <w:rFonts w:eastAsiaTheme="minorEastAsia"/>
                <w:color w:val="auto"/>
                <w:szCs w:val="21"/>
                <w:highlight w:val="none"/>
              </w:rPr>
              <w:t>2</w:t>
            </w:r>
          </w:p>
        </w:tc>
        <w:tc>
          <w:tcPr>
            <w:tcW w:w="2868"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生产经营单位是建设项目安全设施建设的责任主体。建设项目安全设施必须与主体工程同时设计、同时施工、同时投入生产与使用（以下简称“三同时”）。安全设施投资应当纳入建设项目概算。</w:t>
            </w:r>
          </w:p>
        </w:tc>
        <w:tc>
          <w:tcPr>
            <w:tcW w:w="1950"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《建设项目安全设施“三同时”监督管理办法》</w:t>
            </w:r>
            <w:r>
              <w:rPr>
                <w:rFonts w:eastAsiaTheme="minorEastAsia" w:hint="eastAsia"/>
                <w:color w:val="auto"/>
                <w:szCs w:val="21"/>
                <w:highlight w:val="none"/>
                <w:lang w:eastAsia="zh-CN"/>
              </w:rPr>
              <w:t>（原国家安全生产监督管理总局令36号，</w:t>
            </w:r>
            <w:r>
              <w:rPr>
                <w:rFonts w:eastAsiaTheme="minorEastAsia" w:hint="eastAsia"/>
                <w:color w:val="auto"/>
                <w:szCs w:val="21"/>
                <w:highlight w:val="none"/>
                <w:lang w:val="en-US" w:eastAsia="zh-CN"/>
              </w:rPr>
              <w:t>第77号令修正</w:t>
            </w:r>
            <w:r>
              <w:rPr>
                <w:rFonts w:eastAsiaTheme="minorEastAsia" w:hint="eastAsia"/>
                <w:color w:val="auto"/>
                <w:szCs w:val="21"/>
                <w:highlight w:val="none"/>
                <w:lang w:eastAsia="zh-CN"/>
              </w:rPr>
              <w:t>）</w:t>
            </w:r>
            <w:r>
              <w:rPr>
                <w:rFonts w:eastAsiaTheme="minorEastAsia" w:hint="eastAsia"/>
                <w:color w:val="auto"/>
                <w:szCs w:val="21"/>
                <w:highlight w:val="none"/>
              </w:rPr>
              <w:t>第四条</w:t>
            </w:r>
          </w:p>
        </w:tc>
        <w:tc>
          <w:tcPr>
            <w:tcW w:w="2055" w:type="dxa"/>
            <w:tcBorders>
              <w:tl2br w:val="nil"/>
              <w:tr2bl w:val="nil"/>
            </w:tcBorders>
            <w:vAlign w:val="center"/>
          </w:tcPr>
          <w:p>
            <w:pPr>
              <w:spacing w:line="240" w:lineRule="auto"/>
              <w:rPr>
                <w:rFonts w:eastAsiaTheme="minorEastAsia"/>
                <w:color w:val="auto"/>
                <w:szCs w:val="21"/>
                <w:highlight w:val="none"/>
              </w:rPr>
            </w:pPr>
          </w:p>
        </w:tc>
        <w:tc>
          <w:tcPr>
            <w:tcW w:w="1575" w:type="dxa"/>
            <w:gridSpan w:val="2"/>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符合</w:t>
            </w:r>
          </w:p>
        </w:tc>
        <w:tc>
          <w:tcPr>
            <w:tcW w:w="640" w:type="dxa"/>
            <w:tcBorders>
              <w:tl2br w:val="nil"/>
              <w:tr2bl w:val="nil"/>
            </w:tcBorders>
            <w:vAlign w:val="center"/>
          </w:tcPr>
          <w:p>
            <w:pPr>
              <w:spacing w:line="240" w:lineRule="auto"/>
              <w:jc w:val="center"/>
              <w:rPr>
                <w:rFonts w:eastAsiaTheme="minorEastAsia" w:hint="eastAsia"/>
                <w:color w:val="auto"/>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trHeight w:val="1545"/>
          <w:jc w:val="center"/>
        </w:trPr>
        <w:tc>
          <w:tcPr>
            <w:tcW w:w="682" w:type="dxa"/>
            <w:tcBorders>
              <w:tl2br w:val="nil"/>
              <w:tr2bl w:val="nil"/>
            </w:tcBorders>
            <w:vAlign w:val="center"/>
          </w:tcPr>
          <w:p>
            <w:pPr>
              <w:spacing w:line="240" w:lineRule="auto"/>
              <w:jc w:val="center"/>
              <w:rPr>
                <w:rFonts w:eastAsiaTheme="minorEastAsia"/>
                <w:color w:val="auto"/>
                <w:szCs w:val="21"/>
                <w:highlight w:val="none"/>
              </w:rPr>
            </w:pPr>
            <w:r>
              <w:rPr>
                <w:rFonts w:eastAsiaTheme="minorEastAsia"/>
                <w:color w:val="auto"/>
                <w:szCs w:val="21"/>
                <w:highlight w:val="none"/>
              </w:rPr>
              <w:t>3</w:t>
            </w:r>
          </w:p>
        </w:tc>
        <w:tc>
          <w:tcPr>
            <w:tcW w:w="2868"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生产经营单位在建设项目初步设计时，应当委托有相应资质的初步设计单位对建设项目安全设施同时进行设计，编制安全设施设计。</w:t>
            </w:r>
          </w:p>
        </w:tc>
        <w:tc>
          <w:tcPr>
            <w:tcW w:w="1950"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《建设项目安全设施“三同时”监督管理办法》</w:t>
            </w:r>
            <w:r>
              <w:rPr>
                <w:rFonts w:eastAsiaTheme="minorEastAsia" w:hint="eastAsia"/>
                <w:color w:val="auto"/>
                <w:szCs w:val="21"/>
                <w:highlight w:val="none"/>
                <w:lang w:eastAsia="zh-CN"/>
              </w:rPr>
              <w:t>（原国家安全生产监督管理总局令36号，</w:t>
            </w:r>
            <w:r>
              <w:rPr>
                <w:rFonts w:eastAsiaTheme="minorEastAsia" w:hint="eastAsia"/>
                <w:color w:val="auto"/>
                <w:szCs w:val="21"/>
                <w:highlight w:val="none"/>
                <w:lang w:val="en-US" w:eastAsia="zh-CN"/>
              </w:rPr>
              <w:t>第77号令修正</w:t>
            </w:r>
            <w:r>
              <w:rPr>
                <w:rFonts w:eastAsiaTheme="minorEastAsia" w:hint="eastAsia"/>
                <w:color w:val="auto"/>
                <w:szCs w:val="21"/>
                <w:highlight w:val="none"/>
                <w:lang w:eastAsia="zh-CN"/>
              </w:rPr>
              <w:t>）</w:t>
            </w:r>
            <w:r>
              <w:rPr>
                <w:rFonts w:eastAsiaTheme="minorEastAsia" w:hint="eastAsia"/>
                <w:color w:val="auto"/>
                <w:szCs w:val="21"/>
                <w:highlight w:val="none"/>
              </w:rPr>
              <w:t>第十条</w:t>
            </w:r>
          </w:p>
        </w:tc>
        <w:tc>
          <w:tcPr>
            <w:tcW w:w="2055" w:type="dxa"/>
            <w:tcBorders>
              <w:tl2br w:val="nil"/>
              <w:tr2bl w:val="nil"/>
            </w:tcBorders>
            <w:vAlign w:val="center"/>
          </w:tcPr>
          <w:p>
            <w:pPr>
              <w:spacing w:line="240" w:lineRule="auto"/>
              <w:rPr>
                <w:color w:val="auto"/>
                <w:szCs w:val="22"/>
                <w:highlight w:val="none"/>
              </w:rPr>
            </w:pPr>
          </w:p>
        </w:tc>
        <w:tc>
          <w:tcPr>
            <w:tcW w:w="1575" w:type="dxa"/>
            <w:gridSpan w:val="2"/>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符合</w:t>
            </w:r>
          </w:p>
        </w:tc>
        <w:tc>
          <w:tcPr>
            <w:tcW w:w="640" w:type="dxa"/>
            <w:tcBorders>
              <w:tl2br w:val="nil"/>
              <w:tr2bl w:val="nil"/>
            </w:tcBorders>
            <w:vAlign w:val="center"/>
          </w:tcPr>
          <w:p>
            <w:pPr>
              <w:spacing w:line="240" w:lineRule="auto"/>
              <w:jc w:val="center"/>
              <w:rPr>
                <w:rFonts w:eastAsiaTheme="minorEastAsia" w:hint="eastAsia"/>
                <w:color w:val="auto"/>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jc w:val="center"/>
        </w:trPr>
        <w:tc>
          <w:tcPr>
            <w:tcW w:w="682" w:type="dxa"/>
            <w:tcBorders>
              <w:tl2br w:val="nil"/>
              <w:tr2bl w:val="nil"/>
            </w:tcBorders>
            <w:vAlign w:val="center"/>
          </w:tcPr>
          <w:p>
            <w:pPr>
              <w:spacing w:line="240" w:lineRule="auto"/>
              <w:jc w:val="center"/>
              <w:rPr>
                <w:rFonts w:eastAsiaTheme="minorEastAsia"/>
                <w:color w:val="auto"/>
                <w:szCs w:val="21"/>
                <w:highlight w:val="none"/>
              </w:rPr>
            </w:pPr>
            <w:r>
              <w:rPr>
                <w:rFonts w:eastAsiaTheme="minorEastAsia"/>
                <w:color w:val="auto"/>
                <w:szCs w:val="21"/>
                <w:highlight w:val="none"/>
              </w:rPr>
              <w:t>4</w:t>
            </w:r>
          </w:p>
        </w:tc>
        <w:tc>
          <w:tcPr>
            <w:tcW w:w="2868"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建设项目安全设施的施工应当由取得相应资质的施工单位进行，并与建设项目主体工程同时施工。</w:t>
            </w:r>
          </w:p>
          <w:p>
            <w:pPr>
              <w:spacing w:line="240" w:lineRule="auto"/>
              <w:rPr>
                <w:rFonts w:eastAsiaTheme="minorEastAsia"/>
                <w:color w:val="auto"/>
                <w:szCs w:val="21"/>
                <w:highlight w:val="none"/>
              </w:rPr>
            </w:pPr>
          </w:p>
        </w:tc>
        <w:tc>
          <w:tcPr>
            <w:tcW w:w="1950" w:type="dxa"/>
            <w:tcBorders>
              <w:tl2br w:val="nil"/>
              <w:tr2bl w:val="nil"/>
            </w:tcBorders>
            <w:vAlign w:val="center"/>
          </w:tcPr>
          <w:p>
            <w:pPr>
              <w:spacing w:line="240" w:lineRule="auto"/>
              <w:rPr>
                <w:color w:val="auto"/>
                <w:szCs w:val="22"/>
                <w:highlight w:val="none"/>
              </w:rPr>
            </w:pPr>
            <w:r>
              <w:rPr>
                <w:rFonts w:hint="eastAsia"/>
                <w:color w:val="auto"/>
                <w:szCs w:val="22"/>
                <w:highlight w:val="none"/>
              </w:rPr>
              <w:t>《建设项目安全设施“三同时”监督管理办法》</w:t>
            </w:r>
            <w:r>
              <w:rPr>
                <w:rFonts w:eastAsiaTheme="minorEastAsia" w:hint="eastAsia"/>
                <w:color w:val="auto"/>
                <w:szCs w:val="21"/>
                <w:highlight w:val="none"/>
                <w:lang w:eastAsia="zh-CN"/>
              </w:rPr>
              <w:t>（原国家安全生产监督管理总局令36号，</w:t>
            </w:r>
            <w:r>
              <w:rPr>
                <w:rFonts w:eastAsiaTheme="minorEastAsia" w:hint="eastAsia"/>
                <w:color w:val="auto"/>
                <w:szCs w:val="21"/>
                <w:highlight w:val="none"/>
                <w:lang w:val="en-US" w:eastAsia="zh-CN"/>
              </w:rPr>
              <w:t>第77号令修正</w:t>
            </w:r>
            <w:r>
              <w:rPr>
                <w:rFonts w:eastAsiaTheme="minorEastAsia" w:hint="eastAsia"/>
                <w:color w:val="auto"/>
                <w:szCs w:val="21"/>
                <w:highlight w:val="none"/>
                <w:lang w:eastAsia="zh-CN"/>
              </w:rPr>
              <w:t>）</w:t>
            </w:r>
            <w:r>
              <w:rPr>
                <w:rFonts w:hint="eastAsia"/>
                <w:color w:val="auto"/>
                <w:szCs w:val="22"/>
                <w:highlight w:val="none"/>
              </w:rPr>
              <w:t>第十七条</w:t>
            </w:r>
          </w:p>
        </w:tc>
        <w:tc>
          <w:tcPr>
            <w:tcW w:w="2055" w:type="dxa"/>
            <w:tcBorders>
              <w:tl2br w:val="nil"/>
              <w:tr2bl w:val="nil"/>
            </w:tcBorders>
            <w:vAlign w:val="center"/>
          </w:tcPr>
          <w:p>
            <w:pPr>
              <w:spacing w:line="240" w:lineRule="auto"/>
              <w:rPr>
                <w:rFonts w:hint="default"/>
                <w:color w:val="auto"/>
                <w:szCs w:val="22"/>
                <w:highlight w:val="none"/>
              </w:rPr>
            </w:pPr>
          </w:p>
        </w:tc>
        <w:tc>
          <w:tcPr>
            <w:tcW w:w="1575" w:type="dxa"/>
            <w:gridSpan w:val="2"/>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符合</w:t>
            </w:r>
          </w:p>
        </w:tc>
        <w:tc>
          <w:tcPr>
            <w:tcW w:w="640" w:type="dxa"/>
            <w:tcBorders>
              <w:tl2br w:val="nil"/>
              <w:tr2bl w:val="nil"/>
            </w:tcBorders>
            <w:vAlign w:val="center"/>
          </w:tcPr>
          <w:p>
            <w:pPr>
              <w:spacing w:line="240" w:lineRule="auto"/>
              <w:jc w:val="center"/>
              <w:rPr>
                <w:rFonts w:eastAsiaTheme="minorEastAsia" w:hint="eastAsia"/>
                <w:color w:val="auto"/>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trHeight w:val="1114"/>
          <w:jc w:val="center"/>
        </w:trPr>
        <w:tc>
          <w:tcPr>
            <w:tcW w:w="682" w:type="dxa"/>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5</w:t>
            </w:r>
          </w:p>
        </w:tc>
        <w:tc>
          <w:tcPr>
            <w:tcW w:w="2868"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工程监理单位应当依法取得相应等级的资质证书，并在其资质等级许可的范围内承担工程监理业务。</w:t>
            </w:r>
          </w:p>
        </w:tc>
        <w:tc>
          <w:tcPr>
            <w:tcW w:w="1950" w:type="dxa"/>
            <w:tcBorders>
              <w:tl2br w:val="nil"/>
              <w:tr2bl w:val="nil"/>
            </w:tcBorders>
            <w:vAlign w:val="center"/>
          </w:tcPr>
          <w:p>
            <w:pPr>
              <w:spacing w:line="240" w:lineRule="auto"/>
              <w:rPr>
                <w:rFonts w:eastAsiaTheme="minorEastAsia"/>
                <w:color w:val="auto"/>
                <w:szCs w:val="21"/>
                <w:highlight w:val="none"/>
              </w:rPr>
            </w:pPr>
            <w:r>
              <w:rPr>
                <w:rFonts w:eastAsiaTheme="minorEastAsia" w:hint="eastAsia"/>
                <w:color w:val="auto"/>
                <w:szCs w:val="21"/>
                <w:highlight w:val="none"/>
              </w:rPr>
              <w:t>《建设工程质量管理条例</w:t>
            </w:r>
            <w:r>
              <w:rPr>
                <w:rFonts w:eastAsiaTheme="minorEastAsia" w:hint="eastAsia"/>
                <w:color w:val="auto"/>
                <w:szCs w:val="21"/>
                <w:highlight w:val="none"/>
                <w:lang w:eastAsia="zh-CN"/>
              </w:rPr>
              <w:t>，</w:t>
            </w:r>
            <w:r>
              <w:rPr>
                <w:rFonts w:eastAsiaTheme="minorEastAsia" w:hint="eastAsia"/>
                <w:color w:val="auto"/>
                <w:szCs w:val="21"/>
                <w:highlight w:val="none"/>
                <w:lang w:val="en-US" w:eastAsia="zh-CN"/>
              </w:rPr>
              <w:t>2019年修订</w:t>
            </w:r>
            <w:r>
              <w:rPr>
                <w:rFonts w:eastAsiaTheme="minorEastAsia" w:hint="eastAsia"/>
                <w:color w:val="auto"/>
                <w:szCs w:val="21"/>
                <w:highlight w:val="none"/>
              </w:rPr>
              <w:t>》国务院令第279号第34条</w:t>
            </w:r>
          </w:p>
        </w:tc>
        <w:tc>
          <w:tcPr>
            <w:tcW w:w="2055" w:type="dxa"/>
            <w:tcBorders>
              <w:tl2br w:val="nil"/>
              <w:tr2bl w:val="nil"/>
            </w:tcBorders>
            <w:vAlign w:val="center"/>
          </w:tcPr>
          <w:p>
            <w:pPr>
              <w:spacing w:line="240" w:lineRule="auto"/>
              <w:rPr>
                <w:rFonts w:hint="default"/>
                <w:color w:val="auto"/>
                <w:szCs w:val="22"/>
                <w:highlight w:val="none"/>
              </w:rPr>
            </w:pPr>
          </w:p>
        </w:tc>
        <w:tc>
          <w:tcPr>
            <w:tcW w:w="1575" w:type="dxa"/>
            <w:gridSpan w:val="2"/>
            <w:tcBorders>
              <w:tl2br w:val="nil"/>
              <w:tr2bl w:val="nil"/>
            </w:tcBorders>
            <w:vAlign w:val="center"/>
          </w:tcPr>
          <w:p>
            <w:pPr>
              <w:spacing w:line="240" w:lineRule="auto"/>
              <w:jc w:val="center"/>
              <w:rPr>
                <w:rFonts w:eastAsiaTheme="minorEastAsia"/>
                <w:color w:val="auto"/>
                <w:szCs w:val="21"/>
                <w:highlight w:val="none"/>
              </w:rPr>
            </w:pPr>
            <w:r>
              <w:rPr>
                <w:rFonts w:eastAsiaTheme="minorEastAsia" w:hint="eastAsia"/>
                <w:color w:val="auto"/>
                <w:szCs w:val="21"/>
                <w:highlight w:val="none"/>
              </w:rPr>
              <w:t>符合</w:t>
            </w:r>
          </w:p>
        </w:tc>
        <w:tc>
          <w:tcPr>
            <w:tcW w:w="640" w:type="dxa"/>
            <w:tcBorders>
              <w:tl2br w:val="nil"/>
              <w:tr2bl w:val="nil"/>
            </w:tcBorders>
            <w:vAlign w:val="center"/>
          </w:tcPr>
          <w:p>
            <w:pPr>
              <w:spacing w:line="240" w:lineRule="auto"/>
              <w:jc w:val="center"/>
              <w:rPr>
                <w:rFonts w:eastAsiaTheme="minorEastAsia" w:hint="eastAsia"/>
                <w:color w:val="auto"/>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trHeight w:val="1021"/>
          <w:jc w:val="center"/>
        </w:trPr>
        <w:tc>
          <w:tcPr>
            <w:tcW w:w="682" w:type="dxa"/>
            <w:tcBorders>
              <w:tl2br w:val="nil"/>
              <w:tr2bl w:val="nil"/>
            </w:tcBorders>
            <w:vAlign w:val="center"/>
          </w:tcPr>
          <w:p>
            <w:pPr>
              <w:spacing w:line="240" w:lineRule="auto"/>
              <w:jc w:val="center"/>
              <w:rPr>
                <w:rFonts w:eastAsiaTheme="minorEastAsia" w:hint="eastAsia"/>
                <w:color w:val="auto"/>
                <w:szCs w:val="21"/>
                <w:highlight w:val="none"/>
              </w:rPr>
            </w:pPr>
            <w:bookmarkStart w:id="6" w:name="_Toc407003128"/>
            <w:bookmarkStart w:id="7" w:name="_Toc414285577"/>
            <w:bookmarkStart w:id="8" w:name="_Toc409451250"/>
            <w:bookmarkStart w:id="9" w:name="_Toc416792497"/>
            <w:r>
              <w:rPr>
                <w:rFonts w:eastAsiaTheme="minorEastAsia" w:hint="eastAsia"/>
                <w:color w:val="auto"/>
                <w:szCs w:val="21"/>
                <w:highlight w:val="none"/>
                <w:lang w:val="en-US" w:eastAsia="zh-CN"/>
              </w:rPr>
              <w:t>6</w:t>
            </w:r>
          </w:p>
        </w:tc>
        <w:tc>
          <w:tcPr>
            <w:tcW w:w="2868" w:type="dxa"/>
            <w:tcBorders>
              <w:tl2br w:val="nil"/>
              <w:tr2bl w:val="nil"/>
            </w:tcBorders>
            <w:vAlign w:val="center"/>
          </w:tcPr>
          <w:p>
            <w:pPr>
              <w:spacing w:after="0" w:line="240" w:lineRule="auto"/>
              <w:ind w:left="0" w:leftChars="0"/>
              <w:rPr>
                <w:rFonts w:hint="eastAsia"/>
                <w:color w:val="auto"/>
                <w:szCs w:val="21"/>
                <w:highlight w:val="none"/>
              </w:rPr>
            </w:pPr>
            <w:r>
              <w:rPr>
                <w:rFonts w:hint="eastAsia"/>
                <w:color w:val="auto"/>
                <w:sz w:val="21"/>
                <w:szCs w:val="21"/>
                <w:highlight w:val="none"/>
              </w:rPr>
              <w:t>生产经营单位不得使用应当淘汰的危及生产安全的工艺、设备。</w:t>
            </w:r>
          </w:p>
        </w:tc>
        <w:tc>
          <w:tcPr>
            <w:tcW w:w="1950" w:type="dxa"/>
            <w:tcBorders>
              <w:tl2br w:val="nil"/>
              <w:tr2bl w:val="nil"/>
            </w:tcBorders>
            <w:vAlign w:val="center"/>
          </w:tcPr>
          <w:p>
            <w:pPr>
              <w:adjustRightInd w:val="0"/>
              <w:spacing w:after="0" w:line="240" w:lineRule="auto"/>
              <w:ind w:left="0" w:leftChars="0"/>
              <w:jc w:val="center"/>
              <w:rPr>
                <w:rFonts w:hint="eastAsia"/>
                <w:color w:val="auto"/>
                <w:szCs w:val="21"/>
                <w:highlight w:val="none"/>
              </w:rPr>
            </w:pPr>
            <w:r>
              <w:rPr>
                <w:rFonts w:hint="eastAsia"/>
                <w:color w:val="auto"/>
                <w:sz w:val="21"/>
                <w:szCs w:val="21"/>
                <w:highlight w:val="none"/>
              </w:rPr>
              <w:t>《中华人民共和国安全生产法》</w:t>
            </w:r>
            <w:r>
              <w:rPr>
                <w:rStyle w:val="zisiblack2"/>
                <w:rFonts w:hint="eastAsia"/>
                <w:color w:val="auto"/>
                <w:sz w:val="21"/>
                <w:szCs w:val="21"/>
                <w:highlight w:val="none"/>
              </w:rPr>
              <w:t>（中华人民共和国主席令</w:t>
            </w:r>
            <w:r>
              <w:rPr>
                <w:rFonts w:hint="eastAsia"/>
                <w:color w:val="auto"/>
                <w:sz w:val="21"/>
                <w:szCs w:val="21"/>
                <w:highlight w:val="none"/>
              </w:rPr>
              <w:t>[20</w:t>
            </w:r>
            <w:r>
              <w:rPr>
                <w:rFonts w:hint="eastAsia"/>
                <w:color w:val="auto"/>
                <w:sz w:val="21"/>
                <w:szCs w:val="21"/>
                <w:highlight w:val="none"/>
                <w:lang w:val="en-US" w:eastAsia="zh-CN"/>
              </w:rPr>
              <w:t>21</w:t>
            </w:r>
            <w:r>
              <w:rPr>
                <w:rFonts w:hint="eastAsia"/>
                <w:color w:val="auto"/>
                <w:sz w:val="21"/>
                <w:szCs w:val="21"/>
                <w:highlight w:val="none"/>
              </w:rPr>
              <w:t>]第</w:t>
            </w:r>
            <w:r>
              <w:rPr>
                <w:rFonts w:hint="eastAsia"/>
                <w:color w:val="auto"/>
                <w:sz w:val="21"/>
                <w:szCs w:val="21"/>
                <w:highlight w:val="none"/>
                <w:lang w:val="en-US" w:eastAsia="zh-CN"/>
              </w:rPr>
              <w:t>88</w:t>
            </w:r>
            <w:r>
              <w:rPr>
                <w:rFonts w:hint="eastAsia"/>
                <w:color w:val="auto"/>
                <w:sz w:val="21"/>
                <w:szCs w:val="21"/>
                <w:highlight w:val="none"/>
              </w:rPr>
              <w:t>号</w:t>
            </w:r>
            <w:r>
              <w:rPr>
                <w:rStyle w:val="zisiblack2"/>
                <w:rFonts w:hint="eastAsia"/>
                <w:color w:val="auto"/>
                <w:sz w:val="21"/>
                <w:szCs w:val="21"/>
                <w:highlight w:val="none"/>
              </w:rPr>
              <w:t>）</w:t>
            </w:r>
            <w:r>
              <w:rPr>
                <w:rFonts w:hint="eastAsia"/>
                <w:color w:val="auto"/>
                <w:sz w:val="21"/>
                <w:szCs w:val="21"/>
                <w:highlight w:val="none"/>
              </w:rPr>
              <w:t>第三十</w:t>
            </w:r>
            <w:r>
              <w:rPr>
                <w:rFonts w:hint="eastAsia"/>
                <w:color w:val="auto"/>
                <w:sz w:val="21"/>
                <w:szCs w:val="21"/>
                <w:highlight w:val="none"/>
                <w:lang w:val="en-US" w:eastAsia="zh-CN"/>
              </w:rPr>
              <w:t>八</w:t>
            </w:r>
            <w:r>
              <w:rPr>
                <w:rFonts w:hint="eastAsia"/>
                <w:color w:val="auto"/>
                <w:sz w:val="21"/>
                <w:szCs w:val="21"/>
                <w:highlight w:val="none"/>
              </w:rPr>
              <w:t>条</w:t>
            </w:r>
          </w:p>
        </w:tc>
        <w:tc>
          <w:tcPr>
            <w:tcW w:w="2055" w:type="dxa"/>
            <w:tcBorders>
              <w:tl2br w:val="nil"/>
              <w:tr2bl w:val="nil"/>
            </w:tcBorders>
            <w:vAlign w:val="center"/>
          </w:tcPr>
          <w:p>
            <w:pPr>
              <w:spacing w:after="0" w:line="240" w:lineRule="auto"/>
              <w:ind w:left="0" w:leftChars="0"/>
              <w:rPr>
                <w:rFonts w:hint="eastAsia"/>
                <w:color w:val="auto"/>
                <w:szCs w:val="21"/>
                <w:highlight w:val="none"/>
              </w:rPr>
            </w:pPr>
          </w:p>
        </w:tc>
        <w:tc>
          <w:tcPr>
            <w:tcW w:w="1575" w:type="dxa"/>
            <w:gridSpan w:val="2"/>
            <w:tcBorders>
              <w:tl2br w:val="nil"/>
              <w:tr2bl w:val="nil"/>
            </w:tcBorders>
            <w:vAlign w:val="center"/>
          </w:tcPr>
          <w:p>
            <w:pPr>
              <w:spacing w:after="0" w:line="240" w:lineRule="auto"/>
              <w:jc w:val="center"/>
              <w:rPr>
                <w:rFonts w:hint="eastAsia"/>
                <w:color w:val="auto"/>
                <w:szCs w:val="21"/>
                <w:highlight w:val="none"/>
              </w:rPr>
            </w:pPr>
            <w:r>
              <w:rPr>
                <w:rFonts w:hint="eastAsia"/>
                <w:color w:val="auto"/>
                <w:sz w:val="21"/>
                <w:szCs w:val="21"/>
                <w:highlight w:val="none"/>
              </w:rPr>
              <w:t>符合</w:t>
            </w:r>
          </w:p>
        </w:tc>
        <w:tc>
          <w:tcPr>
            <w:tcW w:w="640" w:type="dxa"/>
            <w:tcBorders>
              <w:tl2br w:val="nil"/>
              <w:tr2bl w:val="nil"/>
            </w:tcBorders>
            <w:vAlign w:val="center"/>
          </w:tcPr>
          <w:p>
            <w:pPr>
              <w:spacing w:after="0" w:line="240" w:lineRule="auto"/>
              <w:jc w:val="center"/>
              <w:rPr>
                <w:rFonts w:hint="eastAsia"/>
                <w:color w:val="auto"/>
                <w:szCs w:val="21"/>
                <w:highlight w:val="none"/>
              </w:rPr>
            </w:pPr>
            <w:r>
              <w:rPr>
                <w:rFonts w:eastAsiaTheme="minorEastAsia" w:hint="eastAsia"/>
                <w:color w:val="auto"/>
                <w:szCs w:val="21"/>
                <w:highlight w:val="none"/>
                <w:lang w:val="en-US" w:eastAsia="zh-CN"/>
              </w:rPr>
              <w:t>/</w:t>
            </w:r>
          </w:p>
        </w:tc>
      </w:tr>
    </w:tbl>
    <w:p>
      <w:pPr>
        <w:sectPr>
          <w:pgSz w:w="11906" w:h="16838"/>
          <w:pgMar w:top="1440" w:right="1080" w:bottom="1440" w:left="1080" w:header="851" w:footer="992" w:gutter="0"/>
          <w:cols w:num="1" w:space="425"/>
          <w:docGrid w:type="lines" w:linePitch="312" w:charSpace="0"/>
        </w:sectPr>
      </w:pPr>
    </w:p>
    <w:tbl>
      <w:tblPr>
        <w:tblStyle w:val="TableNormal"/>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2868"/>
        <w:gridCol w:w="1950"/>
        <w:gridCol w:w="2055"/>
        <w:gridCol w:w="1575"/>
        <w:gridCol w:w="640"/>
      </w:tblGrid>
      <w:tr>
        <w:tblPrEx>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1480"/>
          <w:jc w:val="center"/>
        </w:trPr>
        <w:tc>
          <w:tcPr>
            <w:tcW w:w="682" w:type="dxa"/>
            <w:tcBorders>
              <w:tl2br w:val="nil"/>
              <w:tr2bl w:val="nil"/>
            </w:tcBorders>
            <w:vAlign w:val="center"/>
          </w:tcPr>
          <w:p>
            <w:pPr>
              <w:spacing w:line="400" w:lineRule="exact"/>
              <w:jc w:val="center"/>
              <w:rPr>
                <w:rFonts w:eastAsiaTheme="minorEastAsia" w:hint="eastAsia"/>
                <w:color w:val="auto"/>
                <w:szCs w:val="21"/>
                <w:highlight w:val="none"/>
              </w:rPr>
            </w:pPr>
            <w:r>
              <w:rPr>
                <w:rFonts w:eastAsiaTheme="minorEastAsia" w:hint="eastAsia"/>
                <w:color w:val="auto"/>
                <w:szCs w:val="21"/>
                <w:highlight w:val="none"/>
                <w:lang w:val="en-US" w:eastAsia="zh-CN"/>
              </w:rPr>
              <w:t>7</w:t>
            </w:r>
          </w:p>
        </w:tc>
        <w:tc>
          <w:tcPr>
            <w:tcW w:w="2868" w:type="dxa"/>
            <w:tcBorders>
              <w:tl2br w:val="nil"/>
              <w:tr2bl w:val="nil"/>
            </w:tcBorders>
            <w:vAlign w:val="center"/>
          </w:tcPr>
          <w:p>
            <w:pPr>
              <w:spacing w:line="400" w:lineRule="exact"/>
              <w:rPr>
                <w:rFonts w:eastAsiaTheme="minorEastAsia" w:hint="eastAsia"/>
                <w:color w:val="auto"/>
                <w:szCs w:val="21"/>
                <w:highlight w:val="none"/>
              </w:rPr>
            </w:pPr>
            <w:r>
              <w:rPr>
                <w:rFonts w:eastAsiaTheme="minorEastAsia" w:hint="eastAsia"/>
                <w:color w:val="auto"/>
                <w:szCs w:val="21"/>
                <w:highlight w:val="none"/>
              </w:rPr>
              <w:t>氢能、风电与光伏发电互补系统技术开发与应用</w:t>
            </w:r>
            <w:r>
              <w:rPr>
                <w:rFonts w:eastAsiaTheme="minorEastAsia" w:hint="eastAsia"/>
                <w:color w:val="auto"/>
                <w:szCs w:val="21"/>
                <w:highlight w:val="none"/>
                <w:lang w:eastAsia="zh-CN"/>
              </w:rPr>
              <w:t>。</w:t>
            </w:r>
          </w:p>
        </w:tc>
        <w:tc>
          <w:tcPr>
            <w:tcW w:w="1950" w:type="dxa"/>
            <w:tcBorders>
              <w:tl2br w:val="nil"/>
              <w:tr2bl w:val="nil"/>
            </w:tcBorders>
            <w:vAlign w:val="center"/>
          </w:tcPr>
          <w:p>
            <w:pPr>
              <w:spacing w:line="400" w:lineRule="exact"/>
              <w:rPr>
                <w:rFonts w:eastAsiaTheme="minorEastAsia" w:hint="eastAsia"/>
                <w:color w:val="auto"/>
                <w:szCs w:val="21"/>
                <w:highlight w:val="none"/>
              </w:rPr>
            </w:pPr>
            <w:hyperlink r:id="rId4" w:tgtFrame="_blank" w:history="1">
              <w:r>
                <w:rPr>
                  <w:rStyle w:val="Hyperlink"/>
                  <w:rFonts w:cs="Arial" w:hint="eastAsia"/>
                  <w:bCs/>
                  <w:color w:val="auto"/>
                  <w:sz w:val="21"/>
                  <w:szCs w:val="21"/>
                  <w:highlight w:val="none"/>
                  <w:u w:val="none"/>
                  <w:lang w:val="en-US" w:eastAsia="zh-CN"/>
                </w:rPr>
                <w:t>《产业结构调整指导目录（2019年版）》（2021年修订）</w:t>
              </w:r>
            </w:hyperlink>
            <w:r>
              <w:rPr>
                <w:rFonts w:hint="eastAsia"/>
                <w:color w:val="auto"/>
                <w:sz w:val="21"/>
                <w:szCs w:val="21"/>
                <w:highlight w:val="none"/>
              </w:rPr>
              <w:t>第一类（鼓励类）</w:t>
            </w:r>
            <w:r>
              <w:rPr>
                <w:color w:val="auto"/>
                <w:sz w:val="21"/>
                <w:szCs w:val="21"/>
                <w:highlight w:val="none"/>
              </w:rPr>
              <w:t>—</w:t>
            </w:r>
            <w:r>
              <w:rPr>
                <w:rFonts w:hint="eastAsia"/>
                <w:color w:val="auto"/>
                <w:sz w:val="21"/>
                <w:szCs w:val="21"/>
                <w:highlight w:val="none"/>
              </w:rPr>
              <w:t>新能源</w:t>
            </w:r>
          </w:p>
        </w:tc>
        <w:tc>
          <w:tcPr>
            <w:tcW w:w="2055" w:type="dxa"/>
            <w:tcBorders>
              <w:tl2br w:val="nil"/>
              <w:tr2bl w:val="nil"/>
            </w:tcBorders>
            <w:vAlign w:val="center"/>
          </w:tcPr>
          <w:p>
            <w:pPr>
              <w:spacing w:line="400" w:lineRule="exact"/>
              <w:rPr>
                <w:rFonts w:hint="default"/>
                <w:color w:val="auto"/>
                <w:szCs w:val="22"/>
                <w:highlight w:val="none"/>
              </w:rPr>
            </w:pPr>
          </w:p>
        </w:tc>
        <w:tc>
          <w:tcPr>
            <w:tcW w:w="1575" w:type="dxa"/>
            <w:tcBorders>
              <w:tl2br w:val="nil"/>
              <w:tr2bl w:val="nil"/>
            </w:tcBorders>
            <w:vAlign w:val="center"/>
          </w:tcPr>
          <w:p>
            <w:pPr>
              <w:spacing w:line="400" w:lineRule="exact"/>
              <w:jc w:val="center"/>
              <w:rPr>
                <w:rFonts w:eastAsiaTheme="minorEastAsia" w:hint="eastAsia"/>
                <w:color w:val="auto"/>
                <w:szCs w:val="21"/>
                <w:highlight w:val="none"/>
              </w:rPr>
            </w:pPr>
            <w:r>
              <w:rPr>
                <w:rFonts w:hint="eastAsia"/>
                <w:snapToGrid w:val="0"/>
                <w:color w:val="auto"/>
                <w:kern w:val="0"/>
                <w:sz w:val="21"/>
                <w:szCs w:val="21"/>
                <w:highlight w:val="none"/>
              </w:rPr>
              <w:t>符合</w:t>
            </w:r>
          </w:p>
        </w:tc>
        <w:tc>
          <w:tcPr>
            <w:tcW w:w="640" w:type="dxa"/>
            <w:tcBorders>
              <w:tl2br w:val="nil"/>
              <w:tr2bl w:val="nil"/>
            </w:tcBorders>
            <w:vAlign w:val="center"/>
          </w:tcPr>
          <w:p>
            <w:pPr>
              <w:spacing w:line="400" w:lineRule="exact"/>
              <w:jc w:val="center"/>
              <w:rPr>
                <w:rFonts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jc w:val="center"/>
        </w:trPr>
        <w:tc>
          <w:tcPr>
            <w:tcW w:w="682" w:type="dxa"/>
            <w:tcBorders>
              <w:tl2br w:val="nil"/>
              <w:tr2bl w:val="nil"/>
            </w:tcBorders>
            <w:vAlign w:val="center"/>
          </w:tcPr>
          <w:p>
            <w:pPr>
              <w:spacing w:line="400" w:lineRule="exact"/>
              <w:jc w:val="center"/>
              <w:rPr>
                <w:rFonts w:eastAsiaTheme="minorEastAsia" w:hint="default"/>
                <w:color w:val="auto"/>
                <w:szCs w:val="21"/>
                <w:highlight w:val="none"/>
              </w:rPr>
            </w:pPr>
            <w:r>
              <w:rPr>
                <w:rFonts w:eastAsiaTheme="minorEastAsia" w:hint="eastAsia"/>
                <w:color w:val="auto"/>
                <w:szCs w:val="21"/>
                <w:highlight w:val="none"/>
                <w:lang w:val="en-US" w:eastAsia="zh-CN"/>
              </w:rPr>
              <w:t>8</w:t>
            </w:r>
          </w:p>
        </w:tc>
        <w:tc>
          <w:tcPr>
            <w:tcW w:w="2868" w:type="dxa"/>
            <w:tcBorders>
              <w:tl2br w:val="nil"/>
              <w:tr2bl w:val="nil"/>
            </w:tcBorders>
            <w:vAlign w:val="center"/>
          </w:tcPr>
          <w:p>
            <w:pPr>
              <w:spacing w:line="400" w:lineRule="exact"/>
              <w:rPr>
                <w:rFonts w:eastAsiaTheme="minorEastAsia" w:hint="eastAsia"/>
                <w:color w:val="auto"/>
                <w:szCs w:val="21"/>
                <w:highlight w:val="none"/>
              </w:rPr>
            </w:pPr>
            <w:r>
              <w:rPr>
                <w:rFonts w:eastAsiaTheme="minorEastAsia" w:hint="eastAsia"/>
                <w:color w:val="auto"/>
                <w:szCs w:val="21"/>
                <w:highlight w:val="none"/>
              </w:rPr>
              <w:t>风电场工程安全验收评价应在风电场工程整套启动验收和消防专项验收通过之后进行。安全验收评价是风电场工程安全设施(等同劳动安全与工业卫生专项工程设施)工验收的前提和技术条件之</w:t>
            </w:r>
            <w:r>
              <w:rPr>
                <w:rFonts w:eastAsiaTheme="minorEastAsia" w:hint="eastAsia"/>
                <w:color w:val="auto"/>
                <w:szCs w:val="21"/>
                <w:highlight w:val="none"/>
                <w:lang w:val="en-US" w:eastAsia="zh-CN"/>
              </w:rPr>
              <w:t>一。</w:t>
            </w:r>
          </w:p>
        </w:tc>
        <w:tc>
          <w:tcPr>
            <w:tcW w:w="1950" w:type="dxa"/>
            <w:tcBorders>
              <w:tl2br w:val="nil"/>
              <w:tr2bl w:val="nil"/>
            </w:tcBorders>
            <w:vAlign w:val="center"/>
          </w:tcPr>
          <w:p>
            <w:pPr>
              <w:spacing w:line="400" w:lineRule="exact"/>
              <w:rPr>
                <w:rFonts w:hint="default"/>
                <w:color w:val="auto"/>
                <w:szCs w:val="21"/>
                <w:highlight w:val="none"/>
              </w:rPr>
            </w:pPr>
            <w:r>
              <w:rPr>
                <w:rFonts w:hint="default"/>
                <w:color w:val="auto"/>
                <w:sz w:val="21"/>
                <w:szCs w:val="21"/>
                <w:highlight w:val="none"/>
                <w:lang w:val="en-US" w:eastAsia="zh-CN"/>
              </w:rPr>
              <w:t>《</w:t>
            </w:r>
            <w:r>
              <w:rPr>
                <w:rFonts w:hint="eastAsia"/>
                <w:color w:val="auto"/>
                <w:sz w:val="21"/>
                <w:szCs w:val="21"/>
                <w:highlight w:val="none"/>
                <w:lang w:val="en-US" w:eastAsia="zh-CN"/>
              </w:rPr>
              <w:t>风电场工程安全验收评价报告编制规程</w:t>
            </w:r>
            <w:r>
              <w:rPr>
                <w:rFonts w:hint="default"/>
                <w:color w:val="auto"/>
                <w:sz w:val="21"/>
                <w:szCs w:val="21"/>
                <w:highlight w:val="none"/>
                <w:lang w:val="en-US" w:eastAsia="zh-CN"/>
              </w:rPr>
              <w:t>》</w:t>
            </w:r>
            <w:r>
              <w:rPr>
                <w:rFonts w:hint="eastAsia"/>
                <w:color w:val="auto"/>
                <w:sz w:val="21"/>
                <w:szCs w:val="21"/>
                <w:highlight w:val="none"/>
                <w:lang w:val="en-US" w:eastAsia="zh-CN"/>
              </w:rPr>
              <w:t>（</w:t>
            </w:r>
            <w:r>
              <w:rPr>
                <w:rFonts w:hint="default"/>
                <w:color w:val="auto"/>
                <w:sz w:val="21"/>
                <w:szCs w:val="21"/>
                <w:highlight w:val="none"/>
                <w:lang w:val="en-US" w:eastAsia="zh-CN"/>
              </w:rPr>
              <w:t>NB/T31027-2012</w:t>
            </w:r>
            <w:r>
              <w:rPr>
                <w:rFonts w:hint="eastAsia"/>
                <w:color w:val="auto"/>
                <w:sz w:val="21"/>
                <w:szCs w:val="21"/>
                <w:highlight w:val="none"/>
                <w:lang w:val="en-US" w:eastAsia="zh-CN"/>
              </w:rPr>
              <w:t>）1.0.2条。</w:t>
            </w:r>
          </w:p>
        </w:tc>
        <w:tc>
          <w:tcPr>
            <w:tcW w:w="2055" w:type="dxa"/>
            <w:tcBorders>
              <w:tl2br w:val="nil"/>
              <w:tr2bl w:val="nil"/>
            </w:tcBorders>
            <w:vAlign w:val="center"/>
          </w:tcPr>
          <w:p>
            <w:pPr>
              <w:spacing w:line="400" w:lineRule="exact"/>
              <w:rPr>
                <w:rFonts w:hint="default"/>
                <w:color w:val="auto"/>
                <w:szCs w:val="22"/>
                <w:highlight w:val="none"/>
              </w:rPr>
            </w:pPr>
          </w:p>
        </w:tc>
        <w:tc>
          <w:tcPr>
            <w:tcW w:w="1575" w:type="dxa"/>
            <w:tcBorders>
              <w:tl2br w:val="nil"/>
              <w:tr2bl w:val="nil"/>
            </w:tcBorders>
            <w:vAlign w:val="center"/>
          </w:tcPr>
          <w:p>
            <w:pPr>
              <w:spacing w:line="400" w:lineRule="exact"/>
              <w:jc w:val="center"/>
              <w:rPr>
                <w:rFonts w:hint="eastAsia"/>
                <w:snapToGrid w:val="0"/>
                <w:color w:val="auto"/>
                <w:kern w:val="0"/>
                <w:szCs w:val="21"/>
                <w:highlight w:val="none"/>
              </w:rPr>
            </w:pPr>
            <w:r>
              <w:rPr>
                <w:rFonts w:hint="eastAsia"/>
                <w:snapToGrid w:val="0"/>
                <w:color w:val="auto"/>
                <w:kern w:val="0"/>
                <w:sz w:val="21"/>
                <w:szCs w:val="21"/>
                <w:highlight w:val="none"/>
              </w:rPr>
              <w:t>符合</w:t>
            </w:r>
          </w:p>
        </w:tc>
        <w:tc>
          <w:tcPr>
            <w:tcW w:w="640" w:type="dxa"/>
            <w:tcBorders>
              <w:tl2br w:val="nil"/>
              <w:tr2bl w:val="nil"/>
            </w:tcBorders>
            <w:vAlign w:val="center"/>
          </w:tcPr>
          <w:p>
            <w:pPr>
              <w:spacing w:line="400" w:lineRule="exact"/>
              <w:jc w:val="center"/>
              <w:rPr>
                <w:rFonts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9770" w:type="dxa"/>
          <w:jc w:val="center"/>
          <w:tblLayout w:type="fixed"/>
          <w:tblCellMar>
            <w:top w:w="0" w:type="dxa"/>
            <w:left w:w="108" w:type="dxa"/>
            <w:bottom w:w="0" w:type="dxa"/>
            <w:right w:w="108" w:type="dxa"/>
          </w:tblCellMar>
        </w:tblPrEx>
        <w:trPr>
          <w:jc w:val="center"/>
        </w:trPr>
        <w:tc>
          <w:tcPr>
            <w:tcW w:w="682" w:type="dxa"/>
            <w:tcBorders>
              <w:tl2br w:val="nil"/>
              <w:tr2bl w:val="nil"/>
            </w:tcBorders>
            <w:vAlign w:val="center"/>
          </w:tcPr>
          <w:p>
            <w:pPr>
              <w:spacing w:line="400" w:lineRule="exact"/>
              <w:jc w:val="center"/>
              <w:rPr>
                <w:rFonts w:eastAsiaTheme="minorEastAsia" w:hint="default"/>
                <w:color w:val="auto"/>
                <w:szCs w:val="21"/>
                <w:highlight w:val="none"/>
              </w:rPr>
            </w:pPr>
            <w:r>
              <w:rPr>
                <w:rFonts w:eastAsiaTheme="minorEastAsia" w:hint="eastAsia"/>
                <w:color w:val="auto"/>
                <w:szCs w:val="21"/>
                <w:highlight w:val="none"/>
                <w:lang w:val="en-US" w:eastAsia="zh-CN"/>
              </w:rPr>
              <w:t>9</w:t>
            </w:r>
          </w:p>
        </w:tc>
        <w:tc>
          <w:tcPr>
            <w:tcW w:w="2868" w:type="dxa"/>
            <w:tcBorders>
              <w:tl2br w:val="nil"/>
              <w:tr2bl w:val="nil"/>
            </w:tcBorders>
            <w:vAlign w:val="center"/>
          </w:tcPr>
          <w:p>
            <w:pPr>
              <w:spacing w:line="240" w:lineRule="auto"/>
              <w:rPr>
                <w:rFonts w:eastAsiaTheme="minorEastAsia" w:hint="eastAsia"/>
                <w:color w:val="auto"/>
                <w:szCs w:val="21"/>
                <w:highlight w:val="none"/>
              </w:rPr>
            </w:pPr>
            <w:r>
              <w:rPr>
                <w:rFonts w:eastAsiaTheme="minorEastAsia" w:hint="eastAsia"/>
                <w:color w:val="auto"/>
                <w:szCs w:val="21"/>
                <w:highlight w:val="none"/>
              </w:rPr>
              <w:t>风电场</w:t>
            </w:r>
            <w:r>
              <w:rPr>
                <w:rFonts w:eastAsiaTheme="minorEastAsia" w:hint="eastAsia"/>
                <w:color w:val="auto"/>
                <w:szCs w:val="21"/>
                <w:highlight w:val="none"/>
                <w:lang w:val="en-US" w:eastAsia="zh-CN"/>
              </w:rPr>
              <w:t>工</w:t>
            </w:r>
            <w:r>
              <w:rPr>
                <w:rFonts w:eastAsiaTheme="minorEastAsia" w:hint="eastAsia"/>
                <w:color w:val="auto"/>
                <w:szCs w:val="21"/>
                <w:highlight w:val="none"/>
              </w:rPr>
              <w:t>程安全验收评价报告编制应在开展现场安全设施检查和作业环境检测等基础上进行。</w:t>
            </w:r>
          </w:p>
          <w:p>
            <w:pPr>
              <w:numPr>
                <w:ilvl w:val="0"/>
                <w:numId w:val="1"/>
              </w:numPr>
              <w:spacing w:line="240" w:lineRule="auto"/>
              <w:rPr>
                <w:rFonts w:eastAsiaTheme="minorEastAsia" w:hint="eastAsia"/>
                <w:color w:val="auto"/>
                <w:szCs w:val="21"/>
                <w:highlight w:val="none"/>
              </w:rPr>
            </w:pPr>
            <w:r>
              <w:rPr>
                <w:rFonts w:eastAsiaTheme="minorEastAsia" w:hint="eastAsia"/>
                <w:color w:val="auto"/>
                <w:szCs w:val="21"/>
                <w:highlight w:val="none"/>
              </w:rPr>
              <w:t>现场安全设施检查应包括以下内容</w:t>
            </w:r>
            <w:r>
              <w:rPr>
                <w:rFonts w:eastAsiaTheme="minorEastAsia" w:hint="eastAsia"/>
                <w:color w:val="auto"/>
                <w:szCs w:val="21"/>
                <w:highlight w:val="none"/>
                <w:lang w:eastAsia="zh-CN"/>
              </w:rPr>
              <w:t>：</w:t>
            </w:r>
          </w:p>
          <w:p>
            <w:pPr>
              <w:numPr>
                <w:ilvl w:val="0"/>
                <w:numId w:val="0"/>
              </w:numPr>
              <w:spacing w:line="240" w:lineRule="auto"/>
              <w:rPr>
                <w:rFonts w:eastAsiaTheme="minorEastAsia" w:hint="eastAsia"/>
                <w:color w:val="auto"/>
                <w:szCs w:val="21"/>
                <w:highlight w:val="none"/>
              </w:rPr>
            </w:pPr>
            <w:r>
              <w:rPr>
                <w:rFonts w:eastAsiaTheme="minorEastAsia" w:hint="eastAsia"/>
                <w:color w:val="auto"/>
                <w:szCs w:val="21"/>
                <w:highlight w:val="none"/>
                <w:lang w:val="en-US" w:eastAsia="zh-CN"/>
              </w:rPr>
              <w:t>——</w:t>
            </w:r>
            <w:r>
              <w:rPr>
                <w:rFonts w:eastAsiaTheme="minorEastAsia" w:hint="eastAsia"/>
                <w:color w:val="auto"/>
                <w:szCs w:val="21"/>
                <w:highlight w:val="none"/>
              </w:rPr>
              <w:t>检查安全设施、设备、装置是否已与</w:t>
            </w:r>
            <w:r>
              <w:rPr>
                <w:rFonts w:eastAsiaTheme="minorEastAsia" w:hint="eastAsia"/>
                <w:color w:val="auto"/>
                <w:szCs w:val="21"/>
                <w:highlight w:val="none"/>
                <w:lang w:val="en-US" w:eastAsia="zh-CN"/>
              </w:rPr>
              <w:t>主</w:t>
            </w:r>
            <w:r>
              <w:rPr>
                <w:rFonts w:eastAsiaTheme="minorEastAsia" w:hint="eastAsia"/>
                <w:color w:val="auto"/>
                <w:szCs w:val="21"/>
                <w:highlight w:val="none"/>
              </w:rPr>
              <w:t>体</w:t>
            </w:r>
            <w:r>
              <w:rPr>
                <w:rFonts w:eastAsiaTheme="minorEastAsia" w:hint="eastAsia"/>
                <w:color w:val="auto"/>
                <w:szCs w:val="21"/>
                <w:highlight w:val="none"/>
                <w:lang w:val="en-US" w:eastAsia="zh-CN"/>
              </w:rPr>
              <w:t>工</w:t>
            </w:r>
            <w:r>
              <w:rPr>
                <w:rFonts w:eastAsiaTheme="minorEastAsia" w:hint="eastAsia"/>
                <w:color w:val="auto"/>
                <w:szCs w:val="21"/>
                <w:highlight w:val="none"/>
              </w:rPr>
              <w:t>程同时设计、同时施工、同时投入生产和使用</w:t>
            </w:r>
            <w:r>
              <w:rPr>
                <w:rFonts w:eastAsiaTheme="minorEastAsia" w:hint="eastAsia"/>
                <w:color w:val="auto"/>
                <w:szCs w:val="21"/>
                <w:highlight w:val="none"/>
                <w:lang w:eastAsia="zh-CN"/>
              </w:rPr>
              <w:t>；</w:t>
            </w:r>
          </w:p>
          <w:p>
            <w:pPr>
              <w:numPr>
                <w:ilvl w:val="0"/>
                <w:numId w:val="0"/>
              </w:num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审查、确认建设项目是否满足安全生产法律法规、标准、规章、规范的要求</w:t>
            </w:r>
            <w:r>
              <w:rPr>
                <w:rFonts w:eastAsiaTheme="minorEastAsia" w:hint="eastAsia"/>
                <w:color w:val="auto"/>
                <w:szCs w:val="21"/>
                <w:highlight w:val="none"/>
                <w:lang w:eastAsia="zh-CN"/>
              </w:rPr>
              <w:t>；</w:t>
            </w:r>
          </w:p>
          <w:p>
            <w:p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检查安全预评价和安全设计专篇中安全对策措施建议的落实情况</w:t>
            </w:r>
            <w:r>
              <w:rPr>
                <w:rFonts w:eastAsiaTheme="minorEastAsia" w:hint="eastAsia"/>
                <w:color w:val="auto"/>
                <w:szCs w:val="21"/>
                <w:highlight w:val="none"/>
                <w:lang w:eastAsia="zh-CN"/>
              </w:rPr>
              <w:t>；</w:t>
            </w:r>
          </w:p>
          <w:p>
            <w:p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检</w:t>
            </w:r>
            <w:r>
              <w:rPr>
                <w:rFonts w:eastAsiaTheme="minorEastAsia" w:hint="eastAsia"/>
                <w:color w:val="auto"/>
                <w:szCs w:val="21"/>
                <w:highlight w:val="none"/>
                <w:lang w:val="en-US" w:eastAsia="zh-CN"/>
              </w:rPr>
              <w:t>查</w:t>
            </w:r>
            <w:r>
              <w:rPr>
                <w:rFonts w:eastAsiaTheme="minorEastAsia" w:hint="eastAsia"/>
                <w:color w:val="auto"/>
                <w:szCs w:val="21"/>
                <w:highlight w:val="none"/>
              </w:rPr>
              <w:t>作业场所有害因素的实际检测数据</w:t>
            </w:r>
            <w:r>
              <w:rPr>
                <w:rFonts w:eastAsiaTheme="minorEastAsia" w:hint="eastAsia"/>
                <w:color w:val="auto"/>
                <w:szCs w:val="21"/>
                <w:highlight w:val="none"/>
                <w:lang w:eastAsia="zh-CN"/>
              </w:rPr>
              <w:t>；</w:t>
            </w:r>
          </w:p>
          <w:p>
            <w:p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检查安全生产管理措施是否到位</w:t>
            </w:r>
            <w:r>
              <w:rPr>
                <w:rFonts w:eastAsiaTheme="minorEastAsia" w:hint="eastAsia"/>
                <w:color w:val="auto"/>
                <w:szCs w:val="21"/>
                <w:highlight w:val="none"/>
                <w:lang w:eastAsia="zh-CN"/>
              </w:rPr>
              <w:t>；——</w:t>
            </w:r>
            <w:r>
              <w:rPr>
                <w:rFonts w:eastAsiaTheme="minorEastAsia" w:hint="eastAsia"/>
                <w:color w:val="auto"/>
                <w:szCs w:val="21"/>
                <w:highlight w:val="none"/>
              </w:rPr>
              <w:t>检查安全生产规章制度是否健全及执行情况</w:t>
            </w:r>
            <w:r>
              <w:rPr>
                <w:rFonts w:eastAsiaTheme="minorEastAsia" w:hint="eastAsia"/>
                <w:color w:val="auto"/>
                <w:szCs w:val="21"/>
                <w:highlight w:val="none"/>
                <w:lang w:eastAsia="zh-CN"/>
              </w:rPr>
              <w:t>；</w:t>
            </w:r>
          </w:p>
          <w:p>
            <w:p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检查安全专项投资落实是否到位</w:t>
            </w:r>
            <w:r>
              <w:rPr>
                <w:rFonts w:eastAsiaTheme="minorEastAsia" w:hint="eastAsia"/>
                <w:color w:val="auto"/>
                <w:szCs w:val="21"/>
                <w:highlight w:val="none"/>
                <w:lang w:eastAsia="zh-CN"/>
              </w:rPr>
              <w:t>；</w:t>
            </w:r>
          </w:p>
          <w:p>
            <w:pPr>
              <w:spacing w:line="240" w:lineRule="auto"/>
              <w:rPr>
                <w:rFonts w:eastAsiaTheme="minorEastAsia" w:hint="eastAsia"/>
                <w:color w:val="auto"/>
                <w:szCs w:val="21"/>
                <w:highlight w:val="none"/>
              </w:rPr>
            </w:pPr>
            <w:r>
              <w:rPr>
                <w:rFonts w:eastAsiaTheme="minorEastAsia" w:hint="eastAsia"/>
                <w:color w:val="auto"/>
                <w:szCs w:val="21"/>
                <w:highlight w:val="none"/>
                <w:lang w:eastAsia="zh-CN"/>
              </w:rPr>
              <w:t>——</w:t>
            </w:r>
            <w:r>
              <w:rPr>
                <w:rFonts w:eastAsiaTheme="minorEastAsia" w:hint="eastAsia"/>
                <w:color w:val="auto"/>
                <w:szCs w:val="21"/>
                <w:highlight w:val="none"/>
              </w:rPr>
              <w:t>检查各类安全生产相关证照是否齐全检查是否建立事故应急预案及其演练情况。</w:t>
            </w:r>
          </w:p>
          <w:p>
            <w:pPr>
              <w:spacing w:after="0" w:line="240" w:lineRule="auto"/>
              <w:rPr>
                <w:rFonts w:eastAsiaTheme="minorEastAsia" w:hint="eastAsia"/>
                <w:color w:val="auto"/>
                <w:szCs w:val="21"/>
                <w:highlight w:val="none"/>
              </w:rPr>
            </w:pPr>
            <w:r>
              <w:rPr>
                <w:rFonts w:eastAsiaTheme="minorEastAsia" w:hint="eastAsia"/>
                <w:color w:val="auto"/>
                <w:szCs w:val="21"/>
                <w:highlight w:val="none"/>
              </w:rPr>
              <w:t>2</w:t>
            </w:r>
            <w:r>
              <w:rPr>
                <w:rFonts w:eastAsiaTheme="minorEastAsia" w:hint="eastAsia"/>
                <w:color w:val="auto"/>
                <w:szCs w:val="21"/>
                <w:highlight w:val="none"/>
                <w:lang w:eastAsia="zh-CN"/>
              </w:rPr>
              <w:t>.</w:t>
            </w:r>
          </w:p>
        </w:tc>
        <w:tc>
          <w:tcPr>
            <w:tcW w:w="1950" w:type="dxa"/>
            <w:tcBorders>
              <w:tl2br w:val="nil"/>
              <w:tr2bl w:val="nil"/>
            </w:tcBorders>
            <w:vAlign w:val="center"/>
          </w:tcPr>
          <w:p>
            <w:pPr>
              <w:spacing w:line="240" w:lineRule="auto"/>
              <w:rPr>
                <w:rFonts w:hint="default"/>
                <w:color w:val="auto"/>
                <w:szCs w:val="21"/>
                <w:highlight w:val="none"/>
              </w:rPr>
            </w:pPr>
            <w:r>
              <w:rPr>
                <w:rFonts w:hint="default"/>
                <w:color w:val="auto"/>
                <w:sz w:val="21"/>
                <w:szCs w:val="21"/>
                <w:highlight w:val="none"/>
                <w:lang w:val="en-US" w:eastAsia="zh-CN"/>
              </w:rPr>
              <w:t>《</w:t>
            </w:r>
            <w:r>
              <w:rPr>
                <w:rFonts w:hint="eastAsia"/>
                <w:color w:val="auto"/>
                <w:sz w:val="21"/>
                <w:szCs w:val="21"/>
                <w:highlight w:val="none"/>
                <w:lang w:val="en-US" w:eastAsia="zh-CN"/>
              </w:rPr>
              <w:t>风电场工程安全验收评价报告编制规程</w:t>
            </w:r>
            <w:r>
              <w:rPr>
                <w:rFonts w:hint="default"/>
                <w:color w:val="auto"/>
                <w:sz w:val="21"/>
                <w:szCs w:val="21"/>
                <w:highlight w:val="none"/>
                <w:lang w:val="en-US" w:eastAsia="zh-CN"/>
              </w:rPr>
              <w:t>》</w:t>
            </w:r>
            <w:r>
              <w:rPr>
                <w:rFonts w:hint="eastAsia"/>
                <w:color w:val="auto"/>
                <w:sz w:val="21"/>
                <w:szCs w:val="21"/>
                <w:highlight w:val="none"/>
                <w:lang w:val="en-US" w:eastAsia="zh-CN"/>
              </w:rPr>
              <w:t>（</w:t>
            </w:r>
            <w:r>
              <w:rPr>
                <w:rFonts w:hint="default"/>
                <w:color w:val="auto"/>
                <w:sz w:val="21"/>
                <w:szCs w:val="21"/>
                <w:highlight w:val="none"/>
                <w:lang w:val="en-US" w:eastAsia="zh-CN"/>
              </w:rPr>
              <w:t>NB/T31027-2012</w:t>
            </w:r>
            <w:r>
              <w:rPr>
                <w:rFonts w:hint="eastAsia"/>
                <w:color w:val="auto"/>
                <w:sz w:val="21"/>
                <w:szCs w:val="21"/>
                <w:highlight w:val="none"/>
                <w:lang w:val="en-US" w:eastAsia="zh-CN"/>
              </w:rPr>
              <w:t>）1.0.4条。</w:t>
            </w:r>
          </w:p>
        </w:tc>
        <w:tc>
          <w:tcPr>
            <w:tcW w:w="2055" w:type="dxa"/>
            <w:tcBorders>
              <w:tl2br w:val="nil"/>
              <w:tr2bl w:val="nil"/>
            </w:tcBorders>
            <w:vAlign w:val="center"/>
          </w:tcPr>
          <w:p>
            <w:pPr>
              <w:spacing w:line="240" w:lineRule="auto"/>
              <w:rPr>
                <w:rFonts w:hint="default"/>
                <w:color w:val="auto"/>
                <w:szCs w:val="22"/>
                <w:highlight w:val="none"/>
              </w:rPr>
            </w:pPr>
          </w:p>
        </w:tc>
        <w:tc>
          <w:tcPr>
            <w:tcW w:w="1575" w:type="dxa"/>
            <w:tcBorders>
              <w:tl2br w:val="nil"/>
              <w:tr2bl w:val="nil"/>
            </w:tcBorders>
            <w:vAlign w:val="center"/>
          </w:tcPr>
          <w:p>
            <w:pPr>
              <w:spacing w:line="240" w:lineRule="auto"/>
              <w:jc w:val="center"/>
              <w:rPr>
                <w:rFonts w:hint="default"/>
                <w:snapToGrid w:val="0"/>
                <w:color w:val="auto"/>
                <w:kern w:val="0"/>
                <w:szCs w:val="21"/>
                <w:highlight w:val="none"/>
              </w:rPr>
            </w:pPr>
            <w:r>
              <w:rPr>
                <w:rFonts w:hint="eastAsia"/>
                <w:snapToGrid w:val="0"/>
                <w:color w:val="auto"/>
                <w:kern w:val="0"/>
                <w:sz w:val="21"/>
                <w:szCs w:val="21"/>
                <w:highlight w:val="none"/>
                <w:lang w:val="en-US" w:eastAsia="zh-CN"/>
              </w:rPr>
              <w:t>符合</w:t>
            </w:r>
          </w:p>
        </w:tc>
        <w:tc>
          <w:tcPr>
            <w:tcW w:w="640" w:type="dxa"/>
            <w:tcBorders>
              <w:tl2br w:val="nil"/>
              <w:tr2bl w:val="nil"/>
            </w:tcBorders>
            <w:vAlign w:val="center"/>
          </w:tcPr>
          <w:p>
            <w:pPr>
              <w:spacing w:line="240" w:lineRule="auto"/>
              <w:jc w:val="center"/>
              <w:rPr>
                <w:rFonts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2"/>
          <w:cols w:num="1" w:space="425"/>
          <w:titlePg w:val="0"/>
          <w:docGrid w:type="lines" w:linePitch="312" w:charSpace="0"/>
        </w:sectPr>
      </w:pPr>
    </w:p>
    <w:tbl>
      <w:tblPr>
        <w:tblStyle w:val="TableNormal"/>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2868"/>
        <w:gridCol w:w="1950"/>
        <w:gridCol w:w="2055"/>
        <w:gridCol w:w="1575"/>
        <w:gridCol w:w="640"/>
      </w:tblGrid>
      <w:tr>
        <w:tblPrEx>
          <w:tblW w:w="97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82" w:type="dxa"/>
            <w:tcBorders>
              <w:tl2br w:val="nil"/>
              <w:tr2bl w:val="nil"/>
            </w:tcBorders>
            <w:vAlign w:val="center"/>
          </w:tcPr>
          <w:p/>
        </w:tc>
        <w:tc>
          <w:tcPr>
            <w:tcW w:w="2868" w:type="dxa"/>
            <w:tcBorders>
              <w:tl2br w:val="nil"/>
              <w:tr2bl w:val="nil"/>
            </w:tcBorders>
            <w:vAlign w:val="center"/>
          </w:tcPr>
          <w:p>
            <w:pPr>
              <w:spacing w:before="0" w:line="240" w:lineRule="auto"/>
              <w:rPr>
                <w:rFonts w:eastAsiaTheme="minorEastAsia" w:hint="eastAsia"/>
                <w:color w:val="auto"/>
                <w:szCs w:val="21"/>
                <w:highlight w:val="none"/>
              </w:rPr>
            </w:pPr>
            <w:r>
              <w:rPr>
                <w:rFonts w:eastAsiaTheme="minorEastAsia" w:hint="eastAsia"/>
                <w:color w:val="auto"/>
                <w:szCs w:val="21"/>
                <w:highlight w:val="none"/>
              </w:rPr>
              <w:t>作业环境检测应由具有专业CMA计量认证资质的单位进行。一般检测作业环境的噪声、振动、温度、湿度、照度、工频场强、有毒有害气体浓度等指标。</w:t>
            </w:r>
          </w:p>
        </w:tc>
        <w:tc>
          <w:tcPr>
            <w:tcW w:w="1950" w:type="dxa"/>
            <w:tcBorders>
              <w:tl2br w:val="nil"/>
              <w:tr2bl w:val="nil"/>
            </w:tcBorders>
            <w:vAlign w:val="center"/>
          </w:tcPr>
          <w:p/>
        </w:tc>
        <w:tc>
          <w:tcPr>
            <w:tcW w:w="2055" w:type="dxa"/>
            <w:tcBorders>
              <w:tl2br w:val="nil"/>
              <w:tr2bl w:val="nil"/>
            </w:tcBorders>
            <w:vAlign w:val="center"/>
          </w:tcPr>
          <w:p/>
        </w:tc>
        <w:tc>
          <w:tcPr>
            <w:tcW w:w="1575" w:type="dxa"/>
            <w:tcBorders>
              <w:tl2br w:val="nil"/>
              <w:tr2bl w:val="nil"/>
            </w:tcBorders>
            <w:vAlign w:val="center"/>
          </w:tcPr>
          <w:p/>
        </w:tc>
        <w:tc>
          <w:tcPr>
            <w:tcW w:w="640" w:type="dxa"/>
            <w:tcBorders>
              <w:tl2br w:val="nil"/>
              <w:tr2bl w:val="nil"/>
            </w:tcBorders>
            <w:vAlign w:val="center"/>
          </w:tcPr>
          <w:p/>
        </w:tc>
      </w:tr>
    </w:tbl>
    <w:p>
      <w:pPr>
        <w:keepNext w:val="0"/>
        <w:keepLines w:val="0"/>
        <w:pageBreakBefore w:val="0"/>
        <w:widowControl w:val="0"/>
        <w:kinsoku/>
        <w:wordWrap/>
        <w:overflowPunct/>
        <w:topLinePunct/>
        <w:autoSpaceDE/>
        <w:autoSpaceDN/>
        <w:bidi w:val="0"/>
        <w:adjustRightInd w:val="0"/>
        <w:snapToGrid w:val="0"/>
        <w:spacing w:before="156" w:beforeLines="50" w:after="157" w:afterLines="50" w:line="560" w:lineRule="exact"/>
        <w:jc w:val="center"/>
        <w:textAlignment w:val="auto"/>
        <w:outlineLvl w:val="1"/>
        <w:rPr>
          <w:rFonts w:ascii="楷体" w:eastAsia="楷体" w:hAnsi="楷体" w:hint="eastAsia"/>
          <w:b/>
          <w:bCs/>
          <w:snapToGrid w:val="0"/>
          <w:color w:val="auto"/>
          <w:kern w:val="0"/>
          <w:sz w:val="32"/>
          <w:szCs w:val="32"/>
          <w:highlight w:val="none"/>
          <w:lang w:val="zh-CN"/>
        </w:rPr>
      </w:pPr>
      <w:bookmarkStart w:id="10" w:name="_Toc27062"/>
      <w:bookmarkStart w:id="11" w:name="_Toc20536"/>
      <w:bookmarkStart w:id="12" w:name="_Toc6701"/>
      <w:bookmarkStart w:id="13" w:name="_Toc2600"/>
      <w:r>
        <w:rPr>
          <w:rFonts w:ascii="楷体" w:eastAsia="楷体" w:hAnsi="楷体" w:cs="Times New Roman" w:hint="eastAsia"/>
          <w:b/>
          <w:bCs/>
          <w:snapToGrid w:val="0"/>
          <w:color w:val="auto"/>
          <w:kern w:val="0"/>
          <w:sz w:val="32"/>
          <w:szCs w:val="32"/>
          <w:highlight w:val="none"/>
          <w:lang w:val="en-US" w:eastAsia="zh-CN"/>
        </w:rPr>
        <w:t>1</w:t>
      </w:r>
      <w:r>
        <w:rPr>
          <w:rFonts w:ascii="楷体" w:eastAsia="楷体" w:hAnsi="楷体" w:cs="Times New Roman" w:hint="eastAsia"/>
          <w:b/>
          <w:bCs/>
          <w:snapToGrid w:val="0"/>
          <w:color w:val="auto"/>
          <w:kern w:val="0"/>
          <w:sz w:val="32"/>
          <w:szCs w:val="32"/>
          <w:highlight w:val="none"/>
          <w:lang w:val="zh-CN" w:eastAsia="zh-CN"/>
        </w:rPr>
        <w:t>.2</w:t>
      </w:r>
      <w:r>
        <w:rPr>
          <w:rFonts w:ascii="楷体" w:eastAsia="楷体" w:hAnsi="楷体" w:cs="Times New Roman" w:hint="eastAsia"/>
          <w:b/>
          <w:bCs/>
          <w:snapToGrid w:val="0"/>
          <w:color w:val="auto"/>
          <w:kern w:val="0"/>
          <w:sz w:val="32"/>
          <w:szCs w:val="32"/>
          <w:highlight w:val="none"/>
          <w:lang w:val="en-US" w:eastAsia="zh-CN"/>
        </w:rPr>
        <w:t xml:space="preserve">  </w:t>
      </w:r>
      <w:r>
        <w:rPr>
          <w:rFonts w:ascii="楷体" w:eastAsia="楷体" w:hAnsi="楷体" w:cs="Times New Roman" w:hint="eastAsia"/>
          <w:b/>
          <w:bCs/>
          <w:snapToGrid w:val="0"/>
          <w:color w:val="auto"/>
          <w:kern w:val="0"/>
          <w:sz w:val="32"/>
          <w:szCs w:val="32"/>
          <w:highlight w:val="none"/>
          <w:lang w:val="zh-CN" w:eastAsia="zh-CN"/>
        </w:rPr>
        <w:t>场址</w:t>
      </w:r>
      <w:r>
        <w:rPr>
          <w:rFonts w:ascii="楷体" w:eastAsia="楷体" w:hAnsi="楷体" w:cs="Times New Roman" w:hint="eastAsia"/>
          <w:b/>
          <w:bCs/>
          <w:snapToGrid w:val="0"/>
          <w:color w:val="auto"/>
          <w:kern w:val="0"/>
          <w:sz w:val="32"/>
          <w:szCs w:val="32"/>
          <w:highlight w:val="none"/>
          <w:lang w:val="en-US" w:eastAsia="zh-CN"/>
        </w:rPr>
        <w:t>选择及</w:t>
      </w:r>
      <w:r>
        <w:rPr>
          <w:rFonts w:ascii="楷体" w:eastAsia="楷体" w:hAnsi="楷体" w:cs="Times New Roman" w:hint="eastAsia"/>
          <w:b/>
          <w:bCs/>
          <w:snapToGrid w:val="0"/>
          <w:color w:val="auto"/>
          <w:kern w:val="0"/>
          <w:sz w:val="32"/>
          <w:szCs w:val="32"/>
          <w:highlight w:val="none"/>
          <w:lang w:val="zh-CN" w:eastAsia="zh-CN"/>
        </w:rPr>
        <w:t>总</w:t>
      </w:r>
      <w:r>
        <w:rPr>
          <w:rFonts w:ascii="楷体" w:eastAsia="楷体" w:hAnsi="楷体" w:cs="Times New Roman" w:hint="eastAsia"/>
          <w:b/>
          <w:bCs/>
          <w:snapToGrid w:val="0"/>
          <w:color w:val="auto"/>
          <w:kern w:val="0"/>
          <w:sz w:val="32"/>
          <w:szCs w:val="32"/>
          <w:highlight w:val="none"/>
          <w:lang w:val="en-US" w:eastAsia="zh-CN"/>
        </w:rPr>
        <w:t>平面布置</w:t>
      </w:r>
      <w:bookmarkEnd w:id="6"/>
      <w:bookmarkEnd w:id="7"/>
      <w:bookmarkEnd w:id="8"/>
      <w:bookmarkEnd w:id="9"/>
      <w:bookmarkEnd w:id="10"/>
      <w:bookmarkEnd w:id="11"/>
      <w:bookmarkEnd w:id="12"/>
      <w:bookmarkEnd w:id="13"/>
      <w:bookmarkStart w:id="14" w:name="_Toc237925247"/>
    </w:p>
    <w:bookmarkEnd w:id="14"/>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b/>
          <w:bCs w:val="0"/>
          <w:color w:val="auto"/>
          <w:sz w:val="24"/>
          <w:szCs w:val="24"/>
          <w:highlight w:val="none"/>
        </w:rPr>
      </w:pPr>
      <w:r>
        <w:rPr>
          <w:rFonts w:ascii="Times New Roman" w:hAnsi="Times New Roman" w:cs="Times New Roman" w:hint="default"/>
          <w:b/>
          <w:bCs w:val="0"/>
          <w:color w:val="auto"/>
          <w:sz w:val="24"/>
          <w:szCs w:val="24"/>
          <w:highlight w:val="none"/>
        </w:rPr>
        <w:t>场址选择</w:t>
      </w:r>
      <w:r>
        <w:rPr>
          <w:rFonts w:ascii="Times New Roman" w:hAnsi="Times New Roman" w:cs="Times New Roman" w:hint="default"/>
          <w:b/>
          <w:bCs w:val="0"/>
          <w:color w:val="auto"/>
          <w:sz w:val="24"/>
          <w:szCs w:val="24"/>
          <w:highlight w:val="none"/>
          <w:lang w:val="en-US" w:eastAsia="zh-CN"/>
        </w:rPr>
        <w:t>及</w:t>
      </w:r>
      <w:r>
        <w:rPr>
          <w:rFonts w:ascii="Times New Roman" w:hAnsi="Times New Roman" w:cs="Times New Roman" w:hint="default"/>
          <w:b/>
          <w:bCs w:val="0"/>
          <w:color w:val="auto"/>
          <w:sz w:val="24"/>
          <w:szCs w:val="24"/>
          <w:highlight w:val="none"/>
        </w:rPr>
        <w:t>总平面布</w:t>
      </w:r>
      <w:r>
        <w:rPr>
          <w:rFonts w:ascii="Times New Roman" w:hAnsi="Times New Roman" w:cs="Times New Roman" w:hint="default"/>
          <w:b/>
          <w:bCs w:val="0"/>
          <w:color w:val="auto"/>
          <w:sz w:val="24"/>
          <w:szCs w:val="24"/>
          <w:highlight w:val="none"/>
          <w:lang w:val="en-US" w:eastAsia="zh-CN"/>
        </w:rPr>
        <w:t>置</w:t>
      </w:r>
      <w:r>
        <w:rPr>
          <w:rFonts w:ascii="Times New Roman" w:hAnsi="Times New Roman" w:cs="Times New Roman" w:hint="default"/>
          <w:b/>
          <w:bCs w:val="0"/>
          <w:color w:val="auto"/>
          <w:sz w:val="24"/>
          <w:szCs w:val="24"/>
          <w:highlight w:val="none"/>
        </w:rPr>
        <w:t>安全检查表</w:t>
      </w:r>
    </w:p>
    <w:tbl>
      <w:tblPr>
        <w:tblStyle w:val="TableNormal"/>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40"/>
        <w:gridCol w:w="3587"/>
        <w:gridCol w:w="1470"/>
        <w:gridCol w:w="1834"/>
        <w:gridCol w:w="686"/>
        <w:gridCol w:w="904"/>
        <w:gridCol w:w="772"/>
      </w:tblGrid>
      <w:tr>
        <w:tblPrEx>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40" w:type="dxa"/>
            <w:vMerge w:val="restart"/>
            <w:tcBorders>
              <w:tl2br w:val="nil"/>
              <w:tr2bl w:val="nil"/>
            </w:tcBorders>
            <w:vAlign w:val="center"/>
          </w:tcPr>
          <w:p>
            <w:pPr>
              <w:spacing w:line="240" w:lineRule="auto"/>
              <w:jc w:val="center"/>
              <w:rPr>
                <w:rFonts w:ascii="宋体" w:hAnsi="宋体" w:cs="宋体"/>
                <w:b/>
                <w:bCs/>
                <w:color w:val="auto"/>
                <w:szCs w:val="21"/>
                <w:highlight w:val="none"/>
              </w:rPr>
            </w:pPr>
            <w:r>
              <w:rPr>
                <w:rFonts w:ascii="宋体" w:eastAsia="宋体" w:hAnsi="宋体" w:cs="宋体" w:hint="eastAsia"/>
                <w:b/>
                <w:bCs/>
                <w:color w:val="auto"/>
                <w:szCs w:val="21"/>
                <w:highlight w:val="none"/>
              </w:rPr>
              <w:t>序号</w:t>
            </w:r>
          </w:p>
        </w:tc>
        <w:tc>
          <w:tcPr>
            <w:tcW w:w="3587" w:type="dxa"/>
            <w:vMerge w:val="restart"/>
            <w:tcBorders>
              <w:tl2br w:val="nil"/>
              <w:tr2bl w:val="nil"/>
            </w:tcBorders>
            <w:vAlign w:val="center"/>
          </w:tcPr>
          <w:p>
            <w:pPr>
              <w:spacing w:line="240" w:lineRule="auto"/>
              <w:jc w:val="center"/>
              <w:rPr>
                <w:rFonts w:ascii="宋体" w:hAnsi="宋体" w:cs="宋体"/>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项目和内容</w:t>
            </w:r>
          </w:p>
        </w:tc>
        <w:tc>
          <w:tcPr>
            <w:tcW w:w="1470" w:type="dxa"/>
            <w:vMerge w:val="restart"/>
            <w:tcBorders>
              <w:tl2br w:val="nil"/>
              <w:tr2bl w:val="nil"/>
            </w:tcBorders>
            <w:vAlign w:val="center"/>
          </w:tcPr>
          <w:p>
            <w:pPr>
              <w:spacing w:line="240" w:lineRule="auto"/>
              <w:jc w:val="center"/>
              <w:rPr>
                <w:rFonts w:ascii="宋体" w:hAnsi="宋体" w:cs="宋体"/>
                <w:b/>
                <w:bCs/>
                <w:color w:val="auto"/>
                <w:szCs w:val="21"/>
                <w:highlight w:val="none"/>
              </w:rPr>
            </w:pPr>
            <w:r>
              <w:rPr>
                <w:rFonts w:ascii="宋体" w:eastAsia="宋体" w:hAnsi="宋体" w:cs="宋体" w:hint="eastAsia"/>
                <w:b/>
                <w:bCs/>
                <w:color w:val="auto"/>
                <w:szCs w:val="21"/>
                <w:highlight w:val="none"/>
                <w:lang w:val="en-US" w:eastAsia="zh-CN"/>
              </w:rPr>
              <w:t>标准</w:t>
            </w:r>
            <w:r>
              <w:rPr>
                <w:rFonts w:ascii="宋体" w:eastAsia="宋体" w:hAnsi="宋体" w:cs="宋体" w:hint="eastAsia"/>
                <w:b/>
                <w:bCs/>
                <w:color w:val="auto"/>
                <w:szCs w:val="21"/>
                <w:highlight w:val="none"/>
              </w:rPr>
              <w:t>依据</w:t>
            </w:r>
          </w:p>
        </w:tc>
        <w:tc>
          <w:tcPr>
            <w:tcW w:w="1834" w:type="dxa"/>
            <w:vMerge w:val="restart"/>
            <w:tcBorders>
              <w:tl2br w:val="nil"/>
              <w:tr2bl w:val="nil"/>
            </w:tcBorders>
            <w:vAlign w:val="center"/>
          </w:tcPr>
          <w:p>
            <w:pPr>
              <w:spacing w:line="240" w:lineRule="auto"/>
              <w:jc w:val="center"/>
              <w:rPr>
                <w:rFonts w:ascii="宋体" w:hAnsi="宋体" w:cs="宋体"/>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记录</w:t>
            </w:r>
          </w:p>
        </w:tc>
        <w:tc>
          <w:tcPr>
            <w:tcW w:w="1590" w:type="dxa"/>
            <w:gridSpan w:val="2"/>
            <w:tcBorders>
              <w:tl2br w:val="nil"/>
              <w:tr2bl w:val="nil"/>
            </w:tcBorders>
            <w:vAlign w:val="center"/>
          </w:tcPr>
          <w:p>
            <w:pPr>
              <w:spacing w:line="240" w:lineRule="auto"/>
              <w:jc w:val="center"/>
              <w:rPr>
                <w:rFonts w:ascii="宋体" w:hAnsi="宋体" w:cs="宋体"/>
                <w:b/>
                <w:bCs/>
                <w:color w:val="auto"/>
                <w:szCs w:val="21"/>
                <w:highlight w:val="none"/>
              </w:rPr>
            </w:pPr>
            <w:r>
              <w:rPr>
                <w:rFonts w:ascii="宋体" w:eastAsia="宋体" w:hAnsi="宋体" w:cs="宋体" w:hint="eastAsia"/>
                <w:b/>
                <w:bCs/>
                <w:color w:val="auto"/>
                <w:szCs w:val="21"/>
                <w:highlight w:val="none"/>
                <w:lang w:val="en-US" w:eastAsia="zh-CN"/>
              </w:rPr>
              <w:t>检查结果</w:t>
            </w:r>
          </w:p>
        </w:tc>
        <w:tc>
          <w:tcPr>
            <w:tcW w:w="772" w:type="dxa"/>
            <w:vMerge w:val="restart"/>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改进</w:t>
            </w:r>
          </w:p>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措施</w:t>
            </w:r>
          </w:p>
        </w:tc>
      </w:tr>
      <w:tr>
        <w:tblPrEx>
          <w:tblW w:w="9893" w:type="dxa"/>
          <w:jc w:val="center"/>
          <w:tblLayout w:type="fixed"/>
          <w:tblCellMar>
            <w:top w:w="0" w:type="dxa"/>
            <w:left w:w="108" w:type="dxa"/>
            <w:bottom w:w="0" w:type="dxa"/>
            <w:right w:w="108" w:type="dxa"/>
          </w:tblCellMar>
        </w:tblPrEx>
        <w:trPr>
          <w:jc w:val="center"/>
        </w:trPr>
        <w:tc>
          <w:tcPr>
            <w:tcW w:w="640" w:type="dxa"/>
            <w:vMerge/>
            <w:tcBorders>
              <w:tl2br w:val="nil"/>
              <w:tr2bl w:val="nil"/>
            </w:tcBorders>
            <w:vAlign w:val="center"/>
          </w:tcPr>
          <w:p>
            <w:pPr>
              <w:spacing w:line="240" w:lineRule="auto"/>
              <w:jc w:val="center"/>
              <w:rPr>
                <w:rFonts w:ascii="宋体" w:hAnsi="宋体" w:cs="宋体" w:hint="eastAsia"/>
                <w:b/>
                <w:bCs/>
                <w:color w:val="auto"/>
                <w:szCs w:val="21"/>
                <w:highlight w:val="none"/>
              </w:rPr>
            </w:pPr>
          </w:p>
        </w:tc>
        <w:tc>
          <w:tcPr>
            <w:tcW w:w="3587" w:type="dxa"/>
            <w:vMerge/>
            <w:tcBorders>
              <w:tl2br w:val="nil"/>
              <w:tr2bl w:val="nil"/>
            </w:tcBorders>
            <w:vAlign w:val="center"/>
          </w:tcPr>
          <w:p>
            <w:pPr>
              <w:spacing w:line="240" w:lineRule="auto"/>
              <w:jc w:val="center"/>
              <w:rPr>
                <w:rFonts w:ascii="宋体" w:hAnsi="宋体" w:cs="宋体" w:hint="eastAsia"/>
                <w:b/>
                <w:bCs/>
                <w:color w:val="auto"/>
                <w:szCs w:val="21"/>
                <w:highlight w:val="none"/>
              </w:rPr>
            </w:pPr>
          </w:p>
        </w:tc>
        <w:tc>
          <w:tcPr>
            <w:tcW w:w="1470" w:type="dxa"/>
            <w:vMerge/>
            <w:tcBorders>
              <w:tl2br w:val="nil"/>
              <w:tr2bl w:val="nil"/>
            </w:tcBorders>
            <w:vAlign w:val="center"/>
          </w:tcPr>
          <w:p>
            <w:pPr>
              <w:spacing w:line="240" w:lineRule="auto"/>
              <w:jc w:val="center"/>
              <w:rPr>
                <w:rFonts w:ascii="宋体" w:hAnsi="宋体" w:cs="宋体" w:hint="eastAsia"/>
                <w:b/>
                <w:bCs/>
                <w:color w:val="auto"/>
                <w:szCs w:val="21"/>
                <w:highlight w:val="none"/>
              </w:rPr>
            </w:pPr>
          </w:p>
        </w:tc>
        <w:tc>
          <w:tcPr>
            <w:tcW w:w="1834" w:type="dxa"/>
            <w:vMerge/>
            <w:tcBorders>
              <w:tl2br w:val="nil"/>
              <w:tr2bl w:val="nil"/>
            </w:tcBorders>
            <w:vAlign w:val="center"/>
          </w:tcPr>
          <w:p>
            <w:pPr>
              <w:spacing w:line="240" w:lineRule="auto"/>
              <w:jc w:val="center"/>
              <w:rPr>
                <w:rFonts w:ascii="宋体" w:hAnsi="宋体" w:cs="宋体" w:hint="eastAsia"/>
                <w:b/>
                <w:bCs/>
                <w:color w:val="auto"/>
                <w:szCs w:val="21"/>
                <w:highlight w:val="none"/>
              </w:rPr>
            </w:pPr>
          </w:p>
        </w:tc>
        <w:tc>
          <w:tcPr>
            <w:tcW w:w="686" w:type="dxa"/>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符合</w:t>
            </w:r>
          </w:p>
        </w:tc>
        <w:tc>
          <w:tcPr>
            <w:tcW w:w="904" w:type="dxa"/>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不符合</w:t>
            </w:r>
          </w:p>
        </w:tc>
        <w:tc>
          <w:tcPr>
            <w:tcW w:w="772" w:type="dxa"/>
            <w:vMerge/>
            <w:tcBorders>
              <w:tl2br w:val="nil"/>
              <w:tr2bl w:val="nil"/>
            </w:tcBorders>
            <w:vAlign w:val="center"/>
          </w:tcPr>
          <w:p>
            <w:pPr>
              <w:spacing w:line="240" w:lineRule="auto"/>
              <w:jc w:val="center"/>
              <w:rPr>
                <w:rFonts w:ascii="宋体" w:hAnsi="宋体" w:cs="宋体" w:hint="eastAsia"/>
                <w:b/>
                <w:bCs/>
                <w:color w:val="auto"/>
                <w:szCs w:val="21"/>
                <w:highlight w:val="none"/>
              </w:rPr>
            </w:pP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rPr>
                <w:rFonts w:ascii="宋体" w:hAnsi="宋体" w:cs="宋体"/>
                <w:b/>
                <w:bCs/>
                <w:color w:val="auto"/>
                <w:szCs w:val="21"/>
                <w:highlight w:val="none"/>
              </w:rPr>
            </w:pPr>
            <w:r>
              <w:rPr>
                <w:rFonts w:ascii="宋体" w:hAnsi="宋体" w:cs="宋体" w:hint="eastAsia"/>
                <w:b/>
                <w:bCs/>
                <w:color w:val="auto"/>
                <w:szCs w:val="21"/>
                <w:highlight w:val="none"/>
              </w:rPr>
              <w:t>一</w:t>
            </w:r>
          </w:p>
        </w:tc>
        <w:tc>
          <w:tcPr>
            <w:tcW w:w="8481" w:type="dxa"/>
            <w:gridSpan w:val="5"/>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hAnsi="宋体" w:cs="宋体" w:hint="eastAsia"/>
                <w:b/>
                <w:bCs/>
                <w:color w:val="auto"/>
                <w:szCs w:val="21"/>
                <w:highlight w:val="none"/>
              </w:rPr>
              <w:t>场址选择</w:t>
            </w:r>
          </w:p>
        </w:tc>
        <w:tc>
          <w:tcPr>
            <w:tcW w:w="772" w:type="dxa"/>
            <w:tcBorders>
              <w:tl2br w:val="nil"/>
              <w:tr2bl w:val="nil"/>
            </w:tcBorders>
            <w:vAlign w:val="center"/>
          </w:tcPr>
          <w:p>
            <w:pPr>
              <w:spacing w:line="240" w:lineRule="auto"/>
              <w:jc w:val="center"/>
              <w:rPr>
                <w:rFonts w:ascii="宋体" w:hAnsi="宋体" w:cs="宋体" w:hint="eastAsia"/>
                <w:b/>
                <w:bCs/>
                <w:color w:val="auto"/>
                <w:szCs w:val="21"/>
                <w:highlight w:val="none"/>
              </w:rPr>
            </w:pP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1</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kern w:val="0"/>
                <w:szCs w:val="21"/>
                <w:highlight w:val="none"/>
              </w:rPr>
              <w:t>建设风电场最基本的条件是要有能量丰富、风向稳定的风能资源，选择风电场场址时应尽量选择风能资源丰富的场址。</w:t>
            </w:r>
          </w:p>
        </w:tc>
        <w:tc>
          <w:tcPr>
            <w:tcW w:w="1470" w:type="dxa"/>
            <w:tcBorders>
              <w:tl2br w:val="nil"/>
              <w:tr2bl w:val="nil"/>
            </w:tcBorders>
            <w:vAlign w:val="center"/>
          </w:tcPr>
          <w:p>
            <w:pPr>
              <w:adjustRightInd w:val="0"/>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《风电场场址选择技术规定》发改能源［2003］1403号</w:t>
            </w:r>
          </w:p>
          <w:p>
            <w:pPr>
              <w:adjustRightInd w:val="0"/>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第三条1</w:t>
            </w:r>
          </w:p>
        </w:tc>
        <w:tc>
          <w:tcPr>
            <w:tcW w:w="1834" w:type="dxa"/>
            <w:tcBorders>
              <w:tl2br w:val="nil"/>
              <w:tr2bl w:val="nil"/>
            </w:tcBorders>
            <w:vAlign w:val="center"/>
          </w:tcPr>
          <w:p>
            <w:pPr>
              <w:adjustRightInd w:val="0"/>
              <w:spacing w:line="240" w:lineRule="auto"/>
              <w:rPr>
                <w:rFonts w:ascii="宋体" w:hAnsi="宋体" w:cs="宋体"/>
                <w:color w:val="auto"/>
                <w:kern w:val="0"/>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2</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kern w:val="0"/>
                <w:szCs w:val="21"/>
                <w:highlight w:val="none"/>
              </w:rPr>
              <w:t>场址尽量选择那些离已有公路较近，对外交通方便的场址，以利于减少道路的投资。另外，应选择地形比较简单的场址，以利于大规模开发及设备的运输、安装和管理。</w:t>
            </w:r>
          </w:p>
        </w:tc>
        <w:tc>
          <w:tcPr>
            <w:tcW w:w="1470" w:type="dxa"/>
            <w:tcBorders>
              <w:tl2br w:val="nil"/>
              <w:tr2bl w:val="nil"/>
            </w:tcBorders>
            <w:vAlign w:val="center"/>
          </w:tcPr>
          <w:p>
            <w:pPr>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《风电场场址选择技术规定》发改能源［2003］</w:t>
            </w:r>
          </w:p>
          <w:p>
            <w:pPr>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第五条1、2</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kern w:val="0"/>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3</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kern w:val="0"/>
                <w:szCs w:val="21"/>
                <w:highlight w:val="none"/>
              </w:rPr>
              <w:t>风电场场址选择时应尽量靠近合适电压等级的变电站或电网，并网点短路容量应足够大。</w:t>
            </w:r>
          </w:p>
        </w:tc>
        <w:tc>
          <w:tcPr>
            <w:tcW w:w="1470" w:type="dxa"/>
            <w:tcBorders>
              <w:tl2br w:val="nil"/>
              <w:tr2bl w:val="nil"/>
            </w:tcBorders>
            <w:vAlign w:val="center"/>
          </w:tcPr>
          <w:p>
            <w:pPr>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《风电场场址选择技术规定》发改能源［2003］第四条1</w:t>
            </w:r>
          </w:p>
        </w:tc>
        <w:tc>
          <w:tcPr>
            <w:tcW w:w="1834" w:type="dxa"/>
            <w:tcBorders>
              <w:tl2br w:val="nil"/>
              <w:tr2bl w:val="nil"/>
            </w:tcBorders>
            <w:vAlign w:val="center"/>
          </w:tcPr>
          <w:p>
            <w:pPr>
              <w:spacing w:line="240" w:lineRule="auto"/>
              <w:rPr>
                <w:rFonts w:ascii="宋体" w:hAnsi="宋体" w:cs="宋体" w:hint="default"/>
                <w:color w:val="auto"/>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trHeight w:val="2195"/>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4</w:t>
            </w:r>
          </w:p>
        </w:tc>
        <w:tc>
          <w:tcPr>
            <w:tcW w:w="3587" w:type="dxa"/>
            <w:tcBorders>
              <w:tl2br w:val="nil"/>
              <w:tr2bl w:val="nil"/>
            </w:tcBorders>
            <w:vAlign w:val="center"/>
          </w:tcPr>
          <w:p>
            <w:pPr>
              <w:spacing w:line="240" w:lineRule="auto"/>
              <w:rPr>
                <w:rFonts w:ascii="宋体" w:hAnsi="宋体" w:cs="宋体"/>
                <w:color w:val="auto"/>
                <w:kern w:val="0"/>
                <w:szCs w:val="21"/>
                <w:highlight w:val="none"/>
              </w:rPr>
            </w:pPr>
            <w:r>
              <w:rPr>
                <w:rFonts w:ascii="宋体" w:hAnsi="宋体" w:cs="宋体" w:hint="eastAsia"/>
                <w:color w:val="auto"/>
                <w:kern w:val="0"/>
                <w:szCs w:val="21"/>
                <w:highlight w:val="none"/>
              </w:rPr>
              <w:t>在风电场选址时，应尽量选择地震烈度小，工程地质和水文地质条件较好的场址。作为风电机组基础持力层的岩层或土层应厚度较大、变化较小、土质均匀、承载力能满足风电机组基础的要求。</w:t>
            </w:r>
          </w:p>
        </w:tc>
        <w:tc>
          <w:tcPr>
            <w:tcW w:w="1470" w:type="dxa"/>
            <w:tcBorders>
              <w:tl2br w:val="nil"/>
              <w:tr2bl w:val="nil"/>
            </w:tcBorders>
            <w:vAlign w:val="center"/>
          </w:tcPr>
          <w:p>
            <w:pPr>
              <w:spacing w:line="240" w:lineRule="auto"/>
              <w:jc w:val="center"/>
              <w:rPr>
                <w:rFonts w:ascii="宋体" w:hAnsi="宋体" w:cs="宋体"/>
                <w:color w:val="auto"/>
                <w:kern w:val="0"/>
                <w:szCs w:val="21"/>
                <w:highlight w:val="none"/>
              </w:rPr>
            </w:pPr>
            <w:r>
              <w:rPr>
                <w:rFonts w:ascii="宋体" w:hAnsi="宋体" w:cs="宋体" w:hint="eastAsia"/>
                <w:color w:val="auto"/>
                <w:kern w:val="0"/>
                <w:szCs w:val="21"/>
                <w:highlight w:val="none"/>
              </w:rPr>
              <w:t>《风电场场址选择技术规定》发改能源［2003］第七条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要求</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5</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风力发电场总体布局应避开基本农田、林地、居民、电力线路、天然气管道等限制用地的区域。</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kern w:val="0"/>
                <w:szCs w:val="21"/>
                <w:highlight w:val="none"/>
              </w:rPr>
              <w:t>《风力发电场设计技术</w:t>
            </w:r>
            <w:r>
              <w:rPr>
                <w:rFonts w:ascii="宋体" w:hAnsi="宋体" w:cs="宋体" w:hint="eastAsia"/>
                <w:color w:val="auto"/>
                <w:kern w:val="0"/>
                <w:szCs w:val="21"/>
                <w:highlight w:val="none"/>
                <w:lang w:val="en-US" w:eastAsia="zh-CN"/>
              </w:rPr>
              <w:t>规</w:t>
            </w:r>
            <w:r>
              <w:rPr>
                <w:rFonts w:ascii="宋体" w:hAnsi="宋体" w:cs="宋体" w:hint="eastAsia"/>
                <w:color w:val="auto"/>
                <w:kern w:val="0"/>
                <w:szCs w:val="21"/>
                <w:highlight w:val="none"/>
              </w:rPr>
              <w:t>范》DL/T5383-2007第4.0.3</w:t>
            </w:r>
            <w:r>
              <w:rPr>
                <w:rFonts w:ascii="宋体" w:hAnsi="宋体" w:cs="宋体" w:hint="eastAsia"/>
                <w:color w:val="auto"/>
                <w:kern w:val="0"/>
                <w:szCs w:val="21"/>
                <w:highlight w:val="none"/>
                <w:lang w:val="en-US" w:eastAsia="zh-CN"/>
              </w:rPr>
              <w:t xml:space="preserve"> 第1</w:t>
            </w:r>
            <w:r>
              <w:rPr>
                <w:rFonts w:ascii="宋体" w:hAnsi="宋体" w:cs="宋体" w:hint="eastAsia"/>
                <w:color w:val="auto"/>
                <w:kern w:val="0"/>
                <w:szCs w:val="21"/>
                <w:highlight w:val="none"/>
              </w:rPr>
              <w:t>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6</w:t>
            </w:r>
          </w:p>
        </w:tc>
        <w:tc>
          <w:tcPr>
            <w:tcW w:w="3587" w:type="dxa"/>
            <w:tcBorders>
              <w:tl2br w:val="nil"/>
              <w:tr2bl w:val="nil"/>
            </w:tcBorders>
            <w:vAlign w:val="center"/>
          </w:tcPr>
          <w:p>
            <w:pPr>
              <w:spacing w:after="0" w:line="240" w:lineRule="auto"/>
              <w:rPr>
                <w:rFonts w:ascii="宋体" w:hAnsi="宋体" w:cs="宋体"/>
                <w:color w:val="auto"/>
                <w:szCs w:val="21"/>
                <w:highlight w:val="none"/>
              </w:rPr>
            </w:pPr>
          </w:p>
        </w:tc>
        <w:tc>
          <w:tcPr>
            <w:tcW w:w="1470" w:type="dxa"/>
            <w:tcBorders>
              <w:tl2br w:val="nil"/>
              <w:tr2bl w:val="nil"/>
            </w:tcBorders>
            <w:vAlign w:val="center"/>
          </w:tcPr>
          <w:p>
            <w:pPr>
              <w:spacing w:after="0" w:line="240" w:lineRule="auto"/>
              <w:jc w:val="center"/>
              <w:rPr>
                <w:rFonts w:ascii="宋体" w:hAnsi="宋体" w:cs="宋体"/>
                <w:color w:val="auto"/>
                <w:szCs w:val="21"/>
                <w:highlight w:val="none"/>
              </w:rPr>
            </w:pP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gridSpan w:val="2"/>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3"/>
          <w:cols w:num="1" w:space="425"/>
          <w:titlePg w:val="0"/>
          <w:docGrid w:type="lines" w:linePitch="312" w:charSpace="0"/>
        </w:sectPr>
      </w:pPr>
    </w:p>
    <w:tbl>
      <w:tblPr>
        <w:tblStyle w:val="TableNormal"/>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40"/>
        <w:gridCol w:w="3587"/>
        <w:gridCol w:w="1470"/>
        <w:gridCol w:w="1834"/>
        <w:gridCol w:w="1590"/>
        <w:gridCol w:w="772"/>
      </w:tblGrid>
      <w:tr>
        <w:tblPrEx>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40" w:type="dxa"/>
            <w:tcBorders>
              <w:tl2br w:val="nil"/>
              <w:tr2bl w:val="nil"/>
            </w:tcBorders>
            <w:vAlign w:val="center"/>
          </w:tcPr>
          <w:p/>
        </w:tc>
        <w:tc>
          <w:tcPr>
            <w:tcW w:w="3587" w:type="dxa"/>
            <w:tcBorders>
              <w:tl2br w:val="nil"/>
              <w:tr2bl w:val="nil"/>
            </w:tcBorders>
            <w:vAlign w:val="center"/>
          </w:tcPr>
          <w:p>
            <w:pPr>
              <w:spacing w:before="0" w:line="240" w:lineRule="auto"/>
              <w:rPr>
                <w:rFonts w:ascii="宋体" w:hAnsi="宋体" w:cs="宋体"/>
                <w:color w:val="auto"/>
                <w:szCs w:val="21"/>
                <w:highlight w:val="none"/>
              </w:rPr>
            </w:pPr>
            <w:r>
              <w:rPr>
                <w:rFonts w:ascii="宋体" w:hAnsi="宋体" w:cs="宋体" w:hint="eastAsia"/>
                <w:color w:val="auto"/>
                <w:szCs w:val="21"/>
                <w:highlight w:val="none"/>
              </w:rPr>
              <w:t>风力发电机组的布置应根据机组参数、场区地形范围、风能分布方向确定，并与本场规划容量、接入系统方案相适应。</w:t>
            </w:r>
          </w:p>
        </w:tc>
        <w:tc>
          <w:tcPr>
            <w:tcW w:w="1470" w:type="dxa"/>
            <w:tcBorders>
              <w:tl2br w:val="nil"/>
              <w:tr2bl w:val="nil"/>
            </w:tcBorders>
            <w:vAlign w:val="center"/>
          </w:tcPr>
          <w:p>
            <w:pPr>
              <w:spacing w:before="0" w:line="240" w:lineRule="auto"/>
              <w:jc w:val="center"/>
              <w:rPr>
                <w:rFonts w:ascii="宋体" w:hAnsi="宋体" w:cs="宋体"/>
                <w:color w:val="auto"/>
                <w:szCs w:val="21"/>
                <w:highlight w:val="none"/>
              </w:rPr>
            </w:pPr>
            <w:r>
              <w:rPr>
                <w:rFonts w:ascii="宋体" w:hAnsi="宋体" w:cs="宋体" w:hint="eastAsia"/>
                <w:color w:val="auto"/>
                <w:szCs w:val="21"/>
                <w:highlight w:val="none"/>
              </w:rPr>
              <w:t>《风力发电场设计技术规范》DL/T5383-2007第4.0.3</w:t>
            </w:r>
            <w:r>
              <w:rPr>
                <w:rFonts w:ascii="宋体" w:hAnsi="宋体" w:cs="宋体" w:hint="eastAsia"/>
                <w:color w:val="auto"/>
                <w:szCs w:val="21"/>
                <w:highlight w:val="none"/>
                <w:lang w:val="en-US" w:eastAsia="zh-CN"/>
              </w:rPr>
              <w:t>第2</w:t>
            </w:r>
            <w:r>
              <w:rPr>
                <w:rFonts w:ascii="宋体" w:hAnsi="宋体" w:cs="宋体" w:hint="eastAsia"/>
                <w:color w:val="auto"/>
                <w:szCs w:val="21"/>
                <w:highlight w:val="none"/>
              </w:rPr>
              <w:t>条</w:t>
            </w:r>
          </w:p>
        </w:tc>
        <w:tc>
          <w:tcPr>
            <w:tcW w:w="1834" w:type="dxa"/>
            <w:tcBorders>
              <w:tl2br w:val="nil"/>
              <w:tr2bl w:val="nil"/>
            </w:tcBorders>
            <w:vAlign w:val="center"/>
          </w:tcPr>
          <w:p/>
        </w:tc>
        <w:tc>
          <w:tcPr>
            <w:tcW w:w="1590" w:type="dxa"/>
            <w:tcBorders>
              <w:tl2br w:val="nil"/>
              <w:tr2bl w:val="nil"/>
            </w:tcBorders>
            <w:vAlign w:val="center"/>
          </w:tcPr>
          <w:p/>
        </w:tc>
        <w:tc>
          <w:tcPr>
            <w:tcW w:w="772" w:type="dxa"/>
            <w:tcBorders>
              <w:tl2br w:val="nil"/>
              <w:tr2bl w:val="nil"/>
            </w:tcBorders>
            <w:vAlign w:val="center"/>
          </w:tcP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7</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升压站、中央控制室及场区建筑物的选址应根据风力发电机组的布置、接入系统方案、地形、地质、交通、生产、生活和安全要素确定，不宜布置在主导风能分布的下风向或不安全区域内。</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《风力发电场设计技术规范》DL/T5383-2007第4.0.3</w:t>
            </w:r>
            <w:r>
              <w:rPr>
                <w:rFonts w:ascii="宋体" w:hAnsi="宋体" w:cs="宋体" w:hint="eastAsia"/>
                <w:color w:val="auto"/>
                <w:szCs w:val="21"/>
                <w:highlight w:val="none"/>
                <w:lang w:val="en-US" w:eastAsia="zh-CN"/>
              </w:rPr>
              <w:t>第3</w:t>
            </w:r>
            <w:r>
              <w:rPr>
                <w:rFonts w:ascii="宋体" w:hAnsi="宋体" w:cs="宋体" w:hint="eastAsia"/>
                <w:color w:val="auto"/>
                <w:szCs w:val="21"/>
                <w:highlight w:val="none"/>
              </w:rPr>
              <w:t>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8</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风力发电机组变电单元布置依据场区集电线路的形式而不同；采用架空线路时，该单元应靠近架空线路布置，采用直埋电缆时，该单元应靠近风力发电机组布置，并要保证其安全距离，必要时设置安全防护围栏。</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《风力发电场设计技术规范》DL/T5383-2007第4.0.3</w:t>
            </w:r>
            <w:r>
              <w:rPr>
                <w:rFonts w:ascii="宋体" w:hAnsi="宋体" w:cs="宋体" w:hint="eastAsia"/>
                <w:color w:val="auto"/>
                <w:szCs w:val="21"/>
                <w:highlight w:val="none"/>
                <w:lang w:val="en-US" w:eastAsia="zh-CN"/>
              </w:rPr>
              <w:t>第5</w:t>
            </w:r>
            <w:r>
              <w:rPr>
                <w:rFonts w:ascii="宋体" w:hAnsi="宋体" w:cs="宋体" w:hint="eastAsia"/>
                <w:color w:val="auto"/>
                <w:szCs w:val="21"/>
                <w:highlight w:val="none"/>
              </w:rPr>
              <w:t>条</w:t>
            </w:r>
          </w:p>
        </w:tc>
        <w:tc>
          <w:tcPr>
            <w:tcW w:w="1834" w:type="dxa"/>
            <w:tcBorders>
              <w:tl2br w:val="nil"/>
              <w:tr2bl w:val="nil"/>
            </w:tcBorders>
            <w:vAlign w:val="center"/>
          </w:tcPr>
          <w:p>
            <w:pPr>
              <w:spacing w:line="240" w:lineRule="auto"/>
              <w:rPr>
                <w:rFonts w:ascii="宋体" w:hAnsi="宋体" w:cs="宋体" w:hint="default"/>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9</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场区道路应能满足设备运输、安装和运行维护的要求，</w:t>
            </w:r>
            <w:r>
              <w:rPr>
                <w:rFonts w:ascii="宋体" w:hAnsi="宋体" w:cs="宋体" w:hint="eastAsia"/>
                <w:color w:val="auto"/>
                <w:kern w:val="0"/>
                <w:szCs w:val="21"/>
                <w:highlight w:val="none"/>
                <w:lang w:val="zh-CN"/>
              </w:rPr>
              <w:t>保留可进行大修与吊装的作业面。</w:t>
            </w:r>
            <w:r>
              <w:rPr>
                <w:rFonts w:ascii="宋体" w:hAnsi="宋体" w:cs="宋体" w:hint="eastAsia"/>
                <w:color w:val="auto"/>
                <w:szCs w:val="21"/>
                <w:highlight w:val="none"/>
              </w:rPr>
              <w:t>并要保证其安全距离，必要时设置安全防护围栏。</w:t>
            </w:r>
          </w:p>
        </w:tc>
        <w:tc>
          <w:tcPr>
            <w:tcW w:w="147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rPr>
              <w:t>《风力发电场设计技术规范》DL/T5383-2007第4.0.3条</w:t>
            </w:r>
            <w:r>
              <w:rPr>
                <w:rFonts w:ascii="宋体" w:hAnsi="宋体" w:cs="宋体" w:hint="eastAsia"/>
                <w:color w:val="auto"/>
                <w:szCs w:val="21"/>
                <w:highlight w:val="none"/>
                <w:lang w:val="en-US" w:eastAsia="zh-CN"/>
              </w:rPr>
              <w:t>第8条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10</w:t>
            </w:r>
          </w:p>
        </w:tc>
        <w:tc>
          <w:tcPr>
            <w:tcW w:w="3587" w:type="dxa"/>
            <w:tcBorders>
              <w:tl2br w:val="nil"/>
              <w:tr2bl w:val="nil"/>
            </w:tcBorders>
          </w:tcPr>
          <w:p>
            <w:pPr>
              <w:spacing w:line="240" w:lineRule="auto"/>
              <w:rPr>
                <w:rFonts w:ascii="宋体" w:hAnsi="宋体" w:cs="宋体"/>
                <w:color w:val="auto"/>
                <w:szCs w:val="21"/>
                <w:highlight w:val="none"/>
              </w:rPr>
            </w:pPr>
            <w:r>
              <w:rPr>
                <w:rFonts w:ascii="宋体" w:hAnsi="宋体" w:cs="宋体" w:hint="eastAsia"/>
                <w:color w:val="auto"/>
                <w:szCs w:val="21"/>
                <w:highlight w:val="none"/>
              </w:rPr>
              <w:t>风电场工程等别应符合下列规定：</w:t>
            </w:r>
          </w:p>
          <w:tbl>
            <w:tblPr>
              <w:tblStyle w:val="TableNormal"/>
              <w:tblW w:w="3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9"/>
              <w:gridCol w:w="976"/>
              <w:gridCol w:w="860"/>
              <w:gridCol w:w="1000"/>
            </w:tblGrid>
            <w:tr>
              <w:tblPrEx>
                <w:tblW w:w="3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79" w:type="dxa"/>
                </w:tcPr>
                <w:p>
                  <w:pPr>
                    <w:spacing w:line="240" w:lineRule="auto"/>
                    <w:rPr>
                      <w:rFonts w:ascii="宋体" w:hAnsi="宋体" w:cs="宋体"/>
                      <w:color w:val="auto"/>
                      <w:sz w:val="18"/>
                      <w:szCs w:val="18"/>
                      <w:highlight w:val="none"/>
                    </w:rPr>
                  </w:pPr>
                  <w:r>
                    <w:rPr>
                      <w:rFonts w:ascii="宋体" w:hAnsi="宋体" w:cs="宋体" w:hint="eastAsia"/>
                      <w:color w:val="auto"/>
                      <w:sz w:val="18"/>
                      <w:szCs w:val="18"/>
                      <w:highlight w:val="none"/>
                    </w:rPr>
                    <w:t>工程等级</w:t>
                  </w:r>
                </w:p>
              </w:tc>
              <w:tc>
                <w:tcPr>
                  <w:tcW w:w="976" w:type="dxa"/>
                </w:tcPr>
                <w:p>
                  <w:pPr>
                    <w:spacing w:line="240" w:lineRule="auto"/>
                    <w:rPr>
                      <w:rFonts w:ascii="宋体" w:hAnsi="宋体" w:cs="宋体"/>
                      <w:color w:val="auto"/>
                      <w:sz w:val="18"/>
                      <w:szCs w:val="18"/>
                      <w:highlight w:val="none"/>
                    </w:rPr>
                  </w:pPr>
                  <w:r>
                    <w:rPr>
                      <w:rFonts w:ascii="宋体" w:hAnsi="宋体" w:cs="宋体" w:hint="eastAsia"/>
                      <w:color w:val="auto"/>
                      <w:sz w:val="18"/>
                      <w:szCs w:val="18"/>
                      <w:highlight w:val="none"/>
                    </w:rPr>
                    <w:t>工程规模</w:t>
                  </w:r>
                </w:p>
              </w:tc>
              <w:tc>
                <w:tcPr>
                  <w:tcW w:w="860" w:type="dxa"/>
                </w:tcPr>
                <w:p>
                  <w:pPr>
                    <w:spacing w:line="240" w:lineRule="auto"/>
                    <w:rPr>
                      <w:rFonts w:ascii="宋体" w:hAnsi="宋体" w:cs="宋体"/>
                      <w:color w:val="auto"/>
                      <w:sz w:val="18"/>
                      <w:szCs w:val="18"/>
                      <w:highlight w:val="none"/>
                    </w:rPr>
                  </w:pPr>
                  <w:r>
                    <w:rPr>
                      <w:rFonts w:ascii="宋体" w:hAnsi="宋体" w:cs="宋体" w:hint="eastAsia"/>
                      <w:color w:val="auto"/>
                      <w:sz w:val="18"/>
                      <w:szCs w:val="18"/>
                      <w:highlight w:val="none"/>
                    </w:rPr>
                    <w:t>装机容量（MW）</w:t>
                  </w:r>
                </w:p>
              </w:tc>
              <w:tc>
                <w:tcPr>
                  <w:tcW w:w="1000" w:type="dxa"/>
                </w:tcPr>
                <w:p>
                  <w:pPr>
                    <w:spacing w:line="240" w:lineRule="auto"/>
                    <w:rPr>
                      <w:rFonts w:ascii="宋体" w:hAnsi="宋体" w:cs="宋体"/>
                      <w:color w:val="auto"/>
                      <w:sz w:val="18"/>
                      <w:szCs w:val="18"/>
                      <w:highlight w:val="none"/>
                    </w:rPr>
                  </w:pPr>
                  <w:r>
                    <w:rPr>
                      <w:rFonts w:ascii="宋体" w:hAnsi="宋体" w:cs="宋体" w:hint="eastAsia"/>
                      <w:color w:val="auto"/>
                      <w:sz w:val="18"/>
                      <w:szCs w:val="18"/>
                      <w:highlight w:val="none"/>
                    </w:rPr>
                    <w:t>电压等级（kV）</w:t>
                  </w:r>
                </w:p>
              </w:tc>
            </w:tr>
            <w:tr>
              <w:tblPrEx>
                <w:tblW w:w="3515" w:type="dxa"/>
                <w:jc w:val="center"/>
                <w:tblLayout w:type="fixed"/>
                <w:tblCellMar>
                  <w:top w:w="0" w:type="dxa"/>
                  <w:left w:w="108" w:type="dxa"/>
                  <w:bottom w:w="0" w:type="dxa"/>
                  <w:right w:w="108" w:type="dxa"/>
                </w:tblCellMar>
              </w:tblPrEx>
              <w:trPr>
                <w:jc w:val="center"/>
              </w:trPr>
              <w:tc>
                <w:tcPr>
                  <w:tcW w:w="679"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Ⅰ</w:t>
                  </w:r>
                </w:p>
              </w:tc>
              <w:tc>
                <w:tcPr>
                  <w:tcW w:w="976"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大（1）型</w:t>
                  </w:r>
                </w:p>
              </w:tc>
              <w:tc>
                <w:tcPr>
                  <w:tcW w:w="86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≥300</w:t>
                  </w:r>
                </w:p>
              </w:tc>
              <w:tc>
                <w:tcPr>
                  <w:tcW w:w="100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500，330</w:t>
                  </w:r>
                </w:p>
              </w:tc>
            </w:tr>
            <w:tr>
              <w:tblPrEx>
                <w:tblW w:w="3515" w:type="dxa"/>
                <w:jc w:val="center"/>
                <w:tblLayout w:type="fixed"/>
                <w:tblCellMar>
                  <w:top w:w="0" w:type="dxa"/>
                  <w:left w:w="108" w:type="dxa"/>
                  <w:bottom w:w="0" w:type="dxa"/>
                  <w:right w:w="108" w:type="dxa"/>
                </w:tblCellMar>
              </w:tblPrEx>
              <w:trPr>
                <w:trHeight w:val="397"/>
                <w:jc w:val="center"/>
              </w:trPr>
              <w:tc>
                <w:tcPr>
                  <w:tcW w:w="679"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Ⅱ</w:t>
                  </w:r>
                </w:p>
              </w:tc>
              <w:tc>
                <w:tcPr>
                  <w:tcW w:w="976"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大（2）型</w:t>
                  </w:r>
                </w:p>
              </w:tc>
              <w:tc>
                <w:tcPr>
                  <w:tcW w:w="86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＜300≥100</w:t>
                  </w:r>
                </w:p>
              </w:tc>
              <w:tc>
                <w:tcPr>
                  <w:tcW w:w="100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220</w:t>
                  </w:r>
                </w:p>
              </w:tc>
            </w:tr>
            <w:tr>
              <w:tblPrEx>
                <w:tblW w:w="3515" w:type="dxa"/>
                <w:jc w:val="center"/>
                <w:tblLayout w:type="fixed"/>
                <w:tblCellMar>
                  <w:top w:w="0" w:type="dxa"/>
                  <w:left w:w="108" w:type="dxa"/>
                  <w:bottom w:w="0" w:type="dxa"/>
                  <w:right w:w="108" w:type="dxa"/>
                </w:tblCellMar>
              </w:tblPrEx>
              <w:trPr>
                <w:jc w:val="center"/>
              </w:trPr>
              <w:tc>
                <w:tcPr>
                  <w:tcW w:w="679"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Ⅲ</w:t>
                  </w:r>
                </w:p>
              </w:tc>
              <w:tc>
                <w:tcPr>
                  <w:tcW w:w="976"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中型</w:t>
                  </w:r>
                </w:p>
              </w:tc>
              <w:tc>
                <w:tcPr>
                  <w:tcW w:w="86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＜100≥50</w:t>
                  </w:r>
                </w:p>
              </w:tc>
              <w:tc>
                <w:tcPr>
                  <w:tcW w:w="1000" w:type="dxa"/>
                  <w:vAlign w:val="center"/>
                </w:tcPr>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≤110</w:t>
                  </w:r>
                </w:p>
                <w:p>
                  <w:pPr>
                    <w:spacing w:line="240" w:lineRule="auto"/>
                    <w:jc w:val="center"/>
                    <w:rPr>
                      <w:rFonts w:ascii="宋体" w:hAnsi="宋体" w:cs="宋体"/>
                      <w:color w:val="auto"/>
                      <w:sz w:val="18"/>
                      <w:szCs w:val="18"/>
                      <w:highlight w:val="none"/>
                    </w:rPr>
                  </w:pPr>
                  <w:r>
                    <w:rPr>
                      <w:rFonts w:ascii="宋体" w:hAnsi="宋体" w:cs="宋体" w:hint="eastAsia"/>
                      <w:color w:val="auto"/>
                      <w:sz w:val="18"/>
                      <w:szCs w:val="18"/>
                      <w:highlight w:val="none"/>
                    </w:rPr>
                    <w:t>＞35</w:t>
                  </w:r>
                </w:p>
              </w:tc>
            </w:tr>
          </w:tbl>
          <w:p>
            <w:pPr>
              <w:spacing w:line="240" w:lineRule="auto"/>
              <w:rPr>
                <w:rFonts w:ascii="宋体" w:hAnsi="宋体" w:cs="宋体"/>
                <w:color w:val="auto"/>
                <w:szCs w:val="21"/>
                <w:highlight w:val="none"/>
              </w:rPr>
            </w:pP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《风电场工程等级划分及设计安全标准》FD002-2007第5.0.1条</w:t>
            </w:r>
          </w:p>
          <w:p>
            <w:pPr>
              <w:spacing w:line="240" w:lineRule="auto"/>
              <w:jc w:val="center"/>
              <w:rPr>
                <w:rFonts w:ascii="宋体" w:hAnsi="宋体" w:cs="宋体"/>
                <w:color w:val="auto"/>
                <w:szCs w:val="21"/>
                <w:highlight w:val="none"/>
              </w:rPr>
            </w:pPr>
          </w:p>
        </w:tc>
        <w:tc>
          <w:tcPr>
            <w:tcW w:w="1834" w:type="dxa"/>
            <w:tcBorders>
              <w:tl2br w:val="nil"/>
              <w:tr2bl w:val="nil"/>
            </w:tcBorders>
            <w:vAlign w:val="center"/>
          </w:tcPr>
          <w:p>
            <w:pPr>
              <w:spacing w:line="240" w:lineRule="auto"/>
              <w:rPr>
                <w:rFonts w:ascii="宋体" w:hAnsi="宋体" w:cs="宋体" w:hint="default"/>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b/>
                <w:bCs/>
                <w:color w:val="auto"/>
                <w:szCs w:val="21"/>
                <w:highlight w:val="none"/>
              </w:rPr>
            </w:pPr>
            <w:r>
              <w:rPr>
                <w:rFonts w:ascii="宋体" w:hAnsi="宋体" w:cs="宋体" w:hint="eastAsia"/>
                <w:b/>
                <w:bCs/>
                <w:color w:val="auto"/>
                <w:szCs w:val="21"/>
                <w:highlight w:val="none"/>
              </w:rPr>
              <w:t>二</w:t>
            </w:r>
          </w:p>
        </w:tc>
        <w:tc>
          <w:tcPr>
            <w:tcW w:w="8481" w:type="dxa"/>
            <w:gridSpan w:val="4"/>
            <w:tcBorders>
              <w:tl2br w:val="nil"/>
              <w:tr2bl w:val="nil"/>
            </w:tcBorders>
            <w:vAlign w:val="center"/>
          </w:tcPr>
          <w:p>
            <w:pPr>
              <w:spacing w:line="240" w:lineRule="auto"/>
              <w:jc w:val="center"/>
              <w:rPr>
                <w:rFonts w:ascii="宋体" w:hAnsi="宋体" w:cs="宋体" w:hint="default"/>
                <w:b/>
                <w:bCs/>
                <w:color w:val="auto"/>
                <w:szCs w:val="21"/>
                <w:highlight w:val="none"/>
              </w:rPr>
            </w:pPr>
            <w:r>
              <w:rPr>
                <w:rFonts w:ascii="宋体" w:hAnsi="宋体" w:cs="宋体" w:hint="eastAsia"/>
                <w:b/>
                <w:bCs/>
                <w:color w:val="auto"/>
                <w:szCs w:val="21"/>
                <w:highlight w:val="none"/>
                <w:lang w:val="en-US" w:eastAsia="zh-CN"/>
              </w:rPr>
              <w:t>总平面布置</w:t>
            </w:r>
          </w:p>
        </w:tc>
        <w:tc>
          <w:tcPr>
            <w:tcW w:w="772" w:type="dxa"/>
            <w:tcBorders>
              <w:tl2br w:val="nil"/>
              <w:tr2bl w:val="nil"/>
            </w:tcBorders>
            <w:vAlign w:val="center"/>
          </w:tcPr>
          <w:p>
            <w:pPr>
              <w:spacing w:line="240" w:lineRule="auto"/>
              <w:jc w:val="center"/>
              <w:rPr>
                <w:rFonts w:ascii="宋体" w:hAnsi="宋体" w:cs="宋体" w:hint="eastAsia"/>
                <w:b/>
                <w:bCs/>
                <w:color w:val="auto"/>
                <w:szCs w:val="21"/>
                <w:highlight w:val="none"/>
              </w:rPr>
            </w:pP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lang w:val="en-US" w:eastAsia="zh-CN"/>
              </w:rPr>
              <w:t>11</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变电站站内场地设计标高应高于或局部高于站外地面，以满足站区场地排水要求。</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《风电场工程等级划分设计安全标准》FD002-2007第9.0.2条</w:t>
            </w:r>
          </w:p>
        </w:tc>
        <w:tc>
          <w:tcPr>
            <w:tcW w:w="1834" w:type="dxa"/>
            <w:tcBorders>
              <w:tl2br w:val="nil"/>
              <w:tr2bl w:val="nil"/>
            </w:tcBorders>
            <w:vAlign w:val="center"/>
          </w:tcPr>
          <w:p>
            <w:pPr>
              <w:widowControl/>
              <w:spacing w:line="240" w:lineRule="auto"/>
              <w:jc w:val="left"/>
              <w:rPr>
                <w:rFonts w:ascii="宋体" w:hAnsi="宋体" w:cs="宋体" w:hint="default"/>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lang w:val="en-US" w:eastAsia="zh-CN"/>
              </w:rPr>
              <w:t>12</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总平面布置，应结合当地气象条件，使建筑物具有良好的朝向、采光和自然通风条件。</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《工业企业总平面设计规范》GB50187-2012第5.1.6条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lang w:val="en-US" w:eastAsia="zh-CN"/>
              </w:rPr>
              <w:t>13</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企业内道路的布置，应符合下列要求：</w:t>
            </w:r>
          </w:p>
          <w:p>
            <w:pPr>
              <w:spacing w:line="240" w:lineRule="auto"/>
              <w:rPr>
                <w:rFonts w:ascii="宋体" w:hAnsi="宋体" w:cs="宋体"/>
                <w:color w:val="auto"/>
                <w:szCs w:val="21"/>
                <w:highlight w:val="none"/>
              </w:rPr>
            </w:pPr>
            <w:r>
              <w:rPr>
                <w:rFonts w:ascii="宋体" w:hAnsi="宋体" w:cs="宋体" w:hint="eastAsia"/>
                <w:color w:val="auto"/>
                <w:szCs w:val="21"/>
                <w:highlight w:val="none"/>
              </w:rPr>
              <w:t>1.应满足生产、运输、安装、检修、消防安全和施工的要求；</w:t>
            </w:r>
          </w:p>
        </w:tc>
        <w:tc>
          <w:tcPr>
            <w:tcW w:w="1470" w:type="dxa"/>
            <w:tcBorders>
              <w:tl2br w:val="nil"/>
              <w:tr2bl w:val="nil"/>
            </w:tcBorders>
            <w:vAlign w:val="center"/>
          </w:tcPr>
          <w:p>
            <w:pPr>
              <w:spacing w:after="0" w:line="240" w:lineRule="auto"/>
              <w:jc w:val="center"/>
              <w:rPr>
                <w:rFonts w:ascii="宋体" w:hAnsi="宋体" w:cs="宋体"/>
                <w:color w:val="auto"/>
                <w:szCs w:val="21"/>
                <w:highlight w:val="none"/>
              </w:rPr>
            </w:pP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4"/>
          <w:cols w:num="1" w:space="425"/>
          <w:titlePg w:val="0"/>
          <w:docGrid w:type="lines" w:linePitch="312" w:charSpace="0"/>
        </w:sectPr>
      </w:pPr>
    </w:p>
    <w:tbl>
      <w:tblPr>
        <w:tblStyle w:val="TableNormal"/>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40"/>
        <w:gridCol w:w="3587"/>
        <w:gridCol w:w="1470"/>
        <w:gridCol w:w="1834"/>
        <w:gridCol w:w="1590"/>
        <w:gridCol w:w="772"/>
      </w:tblGrid>
      <w:tr>
        <w:tblPrEx>
          <w:tblW w:w="9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40" w:type="dxa"/>
            <w:tcBorders>
              <w:tl2br w:val="nil"/>
              <w:tr2bl w:val="nil"/>
            </w:tcBorders>
            <w:vAlign w:val="center"/>
          </w:tcP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2.应有利于功能分区和街区的划分；</w:t>
            </w:r>
          </w:p>
          <w:p>
            <w:pPr>
              <w:spacing w:line="240" w:lineRule="auto"/>
              <w:rPr>
                <w:rFonts w:ascii="宋体" w:hAnsi="宋体" w:cs="宋体"/>
                <w:color w:val="auto"/>
                <w:szCs w:val="21"/>
                <w:highlight w:val="none"/>
              </w:rPr>
            </w:pPr>
            <w:r>
              <w:rPr>
                <w:rFonts w:ascii="宋体" w:hAnsi="宋体" w:cs="宋体" w:hint="eastAsia"/>
                <w:color w:val="auto"/>
                <w:szCs w:val="21"/>
                <w:highlight w:val="none"/>
              </w:rPr>
              <w:t>3.道路的走向宜与区内主要建筑物、构筑物轴线平行或垂直，并应呈</w:t>
            </w:r>
            <w:r>
              <w:rPr>
                <w:rFonts w:ascii="宋体" w:hAnsi="宋体" w:cs="宋体" w:hint="eastAsia"/>
                <w:color w:val="auto"/>
                <w:szCs w:val="21"/>
                <w:highlight w:val="none"/>
                <w:lang w:eastAsia="zh-CN"/>
              </w:rPr>
              <w:t>环形</w:t>
            </w:r>
            <w:r>
              <w:rPr>
                <w:rFonts w:ascii="宋体" w:hAnsi="宋体" w:cs="宋体" w:hint="eastAsia"/>
                <w:color w:val="auto"/>
                <w:szCs w:val="21"/>
                <w:highlight w:val="none"/>
              </w:rPr>
              <w:t>布置；</w:t>
            </w:r>
          </w:p>
          <w:p>
            <w:pPr>
              <w:spacing w:line="240" w:lineRule="auto"/>
              <w:rPr>
                <w:rFonts w:ascii="宋体" w:hAnsi="宋体" w:cs="宋体"/>
                <w:color w:val="auto"/>
                <w:szCs w:val="21"/>
                <w:highlight w:val="none"/>
              </w:rPr>
            </w:pPr>
            <w:r>
              <w:rPr>
                <w:rFonts w:ascii="宋体" w:hAnsi="宋体" w:cs="宋体" w:hint="eastAsia"/>
                <w:color w:val="auto"/>
                <w:szCs w:val="21"/>
                <w:highlight w:val="none"/>
              </w:rPr>
              <w:t>4.应与竖向设计相协调，应有利于场地及道路的雨水排除；</w:t>
            </w:r>
          </w:p>
          <w:p>
            <w:pPr>
              <w:spacing w:line="240" w:lineRule="auto"/>
              <w:rPr>
                <w:rFonts w:ascii="宋体" w:hAnsi="宋体" w:cs="宋体"/>
                <w:color w:val="auto"/>
                <w:szCs w:val="21"/>
                <w:highlight w:val="none"/>
              </w:rPr>
            </w:pPr>
            <w:r>
              <w:rPr>
                <w:rFonts w:ascii="宋体" w:hAnsi="宋体" w:cs="宋体" w:hint="eastAsia"/>
                <w:color w:val="auto"/>
                <w:szCs w:val="21"/>
                <w:highlight w:val="none"/>
              </w:rPr>
              <w:t>5.与厂外道路应连接方便、短捷；</w:t>
            </w:r>
          </w:p>
        </w:tc>
        <w:tc>
          <w:tcPr>
            <w:tcW w:w="1470" w:type="dxa"/>
            <w:tcBorders>
              <w:tl2br w:val="nil"/>
              <w:tr2bl w:val="nil"/>
            </w:tcBorders>
            <w:vAlign w:val="center"/>
          </w:tcPr>
          <w:p>
            <w:pPr>
              <w:spacing w:before="0" w:line="240" w:lineRule="auto"/>
              <w:jc w:val="center"/>
              <w:rPr>
                <w:rFonts w:ascii="宋体" w:hAnsi="宋体" w:cs="宋体"/>
                <w:color w:val="auto"/>
                <w:szCs w:val="21"/>
                <w:highlight w:val="none"/>
              </w:rPr>
            </w:pPr>
            <w:r>
              <w:rPr>
                <w:rFonts w:ascii="宋体" w:hAnsi="宋体" w:cs="宋体" w:hint="eastAsia"/>
                <w:color w:val="auto"/>
                <w:szCs w:val="21"/>
                <w:highlight w:val="none"/>
              </w:rPr>
              <w:t>《工业企业总平面设计规范》GB50187-2012第6.4.1条</w:t>
            </w:r>
          </w:p>
        </w:tc>
        <w:tc>
          <w:tcPr>
            <w:tcW w:w="1834" w:type="dxa"/>
            <w:tcBorders>
              <w:tl2br w:val="nil"/>
              <w:tr2bl w:val="nil"/>
            </w:tcBorders>
            <w:vAlign w:val="center"/>
          </w:tcPr>
          <w:p/>
        </w:tc>
        <w:tc>
          <w:tcPr>
            <w:tcW w:w="1590" w:type="dxa"/>
            <w:tcBorders>
              <w:tl2br w:val="nil"/>
              <w:tr2bl w:val="nil"/>
            </w:tcBorders>
            <w:vAlign w:val="center"/>
          </w:tcPr>
          <w:p/>
        </w:tc>
        <w:tc>
          <w:tcPr>
            <w:tcW w:w="772" w:type="dxa"/>
            <w:tcBorders>
              <w:tl2br w:val="nil"/>
              <w:tr2bl w:val="nil"/>
            </w:tcBorders>
            <w:vAlign w:val="center"/>
          </w:tcP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lang w:val="en-US" w:eastAsia="zh-CN"/>
              </w:rPr>
              <w:t>14</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消防车道的布置，应符合下列要求：</w:t>
            </w:r>
          </w:p>
          <w:p>
            <w:pPr>
              <w:spacing w:line="240" w:lineRule="auto"/>
              <w:rPr>
                <w:rFonts w:ascii="宋体" w:hAnsi="宋体" w:cs="宋体"/>
                <w:color w:val="auto"/>
                <w:szCs w:val="21"/>
                <w:highlight w:val="none"/>
              </w:rPr>
            </w:pPr>
            <w:r>
              <w:rPr>
                <w:rFonts w:ascii="宋体" w:hAnsi="宋体" w:cs="宋体" w:hint="eastAsia"/>
                <w:color w:val="auto"/>
                <w:szCs w:val="21"/>
                <w:highlight w:val="none"/>
              </w:rPr>
              <w:t>1.道路宜呈环状布置；</w:t>
            </w:r>
          </w:p>
          <w:p>
            <w:pPr>
              <w:spacing w:line="240" w:lineRule="auto"/>
              <w:rPr>
                <w:rFonts w:ascii="宋体" w:hAnsi="宋体" w:cs="宋体"/>
                <w:color w:val="auto"/>
                <w:szCs w:val="21"/>
                <w:highlight w:val="none"/>
              </w:rPr>
            </w:pPr>
            <w:r>
              <w:rPr>
                <w:rFonts w:ascii="宋体" w:hAnsi="宋体" w:cs="宋体" w:hint="eastAsia"/>
                <w:color w:val="auto"/>
                <w:szCs w:val="21"/>
                <w:highlight w:val="none"/>
              </w:rPr>
              <w:t>2.车道宽度不应小于4.0m；</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《工业企业总平面设计规范》GB50187-2012第6.4.11条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r>
        <w:tblPrEx>
          <w:tblW w:w="9893" w:type="dxa"/>
          <w:jc w:val="center"/>
          <w:tblLayout w:type="fixed"/>
          <w:tblCellMar>
            <w:top w:w="0" w:type="dxa"/>
            <w:left w:w="108" w:type="dxa"/>
            <w:bottom w:w="0" w:type="dxa"/>
            <w:right w:w="108" w:type="dxa"/>
          </w:tblCellMar>
        </w:tblPrEx>
        <w:trPr>
          <w:jc w:val="center"/>
        </w:trPr>
        <w:tc>
          <w:tcPr>
            <w:tcW w:w="640" w:type="dxa"/>
            <w:tcBorders>
              <w:tl2br w:val="nil"/>
              <w:tr2bl w:val="nil"/>
            </w:tcBorders>
            <w:vAlign w:val="center"/>
          </w:tcPr>
          <w:p>
            <w:pPr>
              <w:spacing w:line="240" w:lineRule="auto"/>
              <w:jc w:val="center"/>
              <w:rPr>
                <w:rFonts w:ascii="宋体" w:hAnsi="宋体" w:cs="宋体" w:hint="default"/>
                <w:color w:val="auto"/>
                <w:szCs w:val="21"/>
                <w:highlight w:val="none"/>
              </w:rPr>
            </w:pPr>
            <w:r>
              <w:rPr>
                <w:rFonts w:ascii="宋体" w:hAnsi="宋体" w:cs="宋体" w:hint="eastAsia"/>
                <w:color w:val="auto"/>
                <w:szCs w:val="21"/>
                <w:highlight w:val="none"/>
                <w:lang w:val="en-US" w:eastAsia="zh-CN"/>
              </w:rPr>
              <w:t>15</w:t>
            </w:r>
          </w:p>
        </w:tc>
        <w:tc>
          <w:tcPr>
            <w:tcW w:w="3587" w:type="dxa"/>
            <w:tcBorders>
              <w:tl2br w:val="nil"/>
              <w:tr2bl w:val="nil"/>
            </w:tcBorders>
            <w:vAlign w:val="center"/>
          </w:tcPr>
          <w:p>
            <w:pPr>
              <w:spacing w:line="240" w:lineRule="auto"/>
              <w:rPr>
                <w:rFonts w:ascii="宋体" w:hAnsi="宋体" w:cs="宋体"/>
                <w:color w:val="auto"/>
                <w:szCs w:val="21"/>
                <w:highlight w:val="none"/>
              </w:rPr>
            </w:pPr>
            <w:r>
              <w:rPr>
                <w:rFonts w:ascii="宋体" w:hAnsi="宋体" w:cs="宋体" w:hint="eastAsia"/>
                <w:color w:val="auto"/>
                <w:szCs w:val="21"/>
                <w:highlight w:val="none"/>
              </w:rPr>
              <w:t>场内道路应根据交通量设置交通标志，其设置、位置、形式、尺寸、图案和颜色等必须符合GB5768的规定。</w:t>
            </w:r>
          </w:p>
        </w:tc>
        <w:tc>
          <w:tcPr>
            <w:tcW w:w="147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《工业企业厂内铁路、道路运输安全规程》GB4387-2008第5.1.3条</w:t>
            </w:r>
          </w:p>
        </w:tc>
        <w:tc>
          <w:tcPr>
            <w:tcW w:w="1834" w:type="dxa"/>
            <w:tcBorders>
              <w:tl2br w:val="nil"/>
              <w:tr2bl w:val="nil"/>
            </w:tcBorders>
            <w:vAlign w:val="center"/>
          </w:tcPr>
          <w:p>
            <w:pPr>
              <w:spacing w:line="240" w:lineRule="auto"/>
              <w:rPr>
                <w:rFonts w:ascii="宋体" w:hAnsi="宋体" w:cs="宋体"/>
                <w:color w:val="auto"/>
                <w:szCs w:val="21"/>
                <w:highlight w:val="none"/>
              </w:rPr>
            </w:pPr>
          </w:p>
        </w:tc>
        <w:tc>
          <w:tcPr>
            <w:tcW w:w="1590" w:type="dxa"/>
            <w:tcBorders>
              <w:tl2br w:val="nil"/>
              <w:tr2bl w:val="nil"/>
            </w:tcBorders>
            <w:vAlign w:val="center"/>
          </w:tcPr>
          <w:p>
            <w:pPr>
              <w:spacing w:line="240" w:lineRule="auto"/>
              <w:jc w:val="center"/>
              <w:rPr>
                <w:rFonts w:ascii="宋体" w:hAnsi="宋体" w:cs="宋体"/>
                <w:color w:val="auto"/>
                <w:szCs w:val="21"/>
                <w:highlight w:val="none"/>
              </w:rPr>
            </w:pPr>
            <w:r>
              <w:rPr>
                <w:rFonts w:ascii="宋体" w:hAnsi="宋体" w:cs="宋体" w:hint="eastAsia"/>
                <w:color w:val="auto"/>
                <w:szCs w:val="21"/>
                <w:highlight w:val="none"/>
              </w:rPr>
              <w:t>符合</w:t>
            </w:r>
          </w:p>
        </w:tc>
        <w:tc>
          <w:tcPr>
            <w:tcW w:w="772" w:type="dxa"/>
            <w:tcBorders>
              <w:tl2br w:val="nil"/>
              <w:tr2bl w:val="nil"/>
            </w:tcBorders>
            <w:vAlign w:val="center"/>
          </w:tcPr>
          <w:p>
            <w:pPr>
              <w:spacing w:line="240" w:lineRule="auto"/>
              <w:jc w:val="center"/>
              <w:rPr>
                <w:rFonts w:ascii="宋体" w:hAnsi="宋体" w:cs="宋体" w:hint="eastAsia"/>
                <w:color w:val="auto"/>
                <w:szCs w:val="21"/>
                <w:highlight w:val="none"/>
              </w:rPr>
            </w:pPr>
            <w:r>
              <w:rPr>
                <w:rFonts w:eastAsiaTheme="minorEastAsia" w:hint="eastAsia"/>
                <w:color w:val="auto"/>
                <w:szCs w:val="21"/>
                <w:highlight w:val="none"/>
                <w:lang w:val="en-US" w:eastAsia="zh-CN"/>
              </w:rPr>
              <w:t>/</w:t>
            </w:r>
          </w:p>
        </w:tc>
      </w:tr>
    </w:tbl>
    <w:p>
      <w:pPr>
        <w:keepNext w:val="0"/>
        <w:keepLines w:val="0"/>
        <w:pageBreakBefore w:val="0"/>
        <w:widowControl w:val="0"/>
        <w:kinsoku/>
        <w:wordWrap/>
        <w:overflowPunct/>
        <w:topLinePunct/>
        <w:autoSpaceDE/>
        <w:autoSpaceDN/>
        <w:bidi w:val="0"/>
        <w:adjustRightInd w:val="0"/>
        <w:snapToGrid w:val="0"/>
        <w:spacing w:before="156" w:beforeLines="50" w:after="157" w:afterLines="50" w:line="560" w:lineRule="exact"/>
        <w:jc w:val="center"/>
        <w:textAlignment w:val="auto"/>
        <w:outlineLvl w:val="1"/>
        <w:rPr>
          <w:rFonts w:ascii="楷体" w:eastAsia="楷体" w:hAnsi="楷体" w:hint="eastAsia"/>
          <w:b/>
          <w:bCs/>
          <w:snapToGrid w:val="0"/>
          <w:color w:val="auto"/>
          <w:kern w:val="0"/>
          <w:sz w:val="32"/>
          <w:szCs w:val="32"/>
          <w:highlight w:val="none"/>
          <w:lang w:val="zh-CN"/>
        </w:rPr>
      </w:pPr>
      <w:bookmarkStart w:id="15" w:name="_Toc407003130"/>
      <w:bookmarkStart w:id="16" w:name="_Toc21437"/>
      <w:bookmarkStart w:id="17" w:name="_Toc7177"/>
      <w:bookmarkStart w:id="18" w:name="_Toc414285579"/>
      <w:bookmarkStart w:id="19" w:name="_Toc416792499"/>
      <w:bookmarkStart w:id="20" w:name="_Toc19747"/>
      <w:bookmarkStart w:id="21" w:name="_Toc5732"/>
      <w:r>
        <w:rPr>
          <w:rFonts w:ascii="楷体" w:eastAsia="楷体" w:hAnsi="楷体" w:cs="Times New Roman" w:hint="eastAsia"/>
          <w:b/>
          <w:bCs/>
          <w:snapToGrid w:val="0"/>
          <w:color w:val="auto"/>
          <w:kern w:val="0"/>
          <w:sz w:val="32"/>
          <w:szCs w:val="32"/>
          <w:highlight w:val="none"/>
          <w:lang w:val="en-US" w:eastAsia="zh-CN"/>
        </w:rPr>
        <w:t>1</w:t>
      </w:r>
      <w:r>
        <w:rPr>
          <w:rFonts w:ascii="楷体" w:eastAsia="楷体" w:hAnsi="楷体" w:cs="Times New Roman" w:hint="eastAsia"/>
          <w:b/>
          <w:bCs/>
          <w:snapToGrid w:val="0"/>
          <w:color w:val="auto"/>
          <w:kern w:val="0"/>
          <w:sz w:val="32"/>
          <w:szCs w:val="32"/>
          <w:highlight w:val="none"/>
          <w:lang w:val="zh-CN" w:eastAsia="zh-CN"/>
        </w:rPr>
        <w:t>.</w:t>
      </w:r>
      <w:r>
        <w:rPr>
          <w:rFonts w:ascii="楷体" w:eastAsia="楷体" w:hAnsi="楷体" w:cs="Times New Roman" w:hint="eastAsia"/>
          <w:b/>
          <w:bCs/>
          <w:snapToGrid w:val="0"/>
          <w:color w:val="auto"/>
          <w:kern w:val="0"/>
          <w:sz w:val="32"/>
          <w:szCs w:val="32"/>
          <w:highlight w:val="none"/>
          <w:lang w:val="en-US" w:eastAsia="zh-CN"/>
        </w:rPr>
        <w:t xml:space="preserve">3  </w:t>
      </w:r>
      <w:r>
        <w:rPr>
          <w:rFonts w:ascii="楷体" w:eastAsia="楷体" w:hAnsi="楷体" w:cs="Times New Roman" w:hint="eastAsia"/>
          <w:b/>
          <w:bCs/>
          <w:snapToGrid w:val="0"/>
          <w:color w:val="auto"/>
          <w:kern w:val="0"/>
          <w:sz w:val="32"/>
          <w:szCs w:val="32"/>
          <w:highlight w:val="none"/>
          <w:lang w:val="zh-CN" w:eastAsia="zh-CN"/>
        </w:rPr>
        <w:t>建（构）筑物单元</w:t>
      </w:r>
      <w:bookmarkEnd w:id="15"/>
      <w:bookmarkEnd w:id="16"/>
      <w:bookmarkEnd w:id="17"/>
      <w:bookmarkEnd w:id="18"/>
      <w:bookmarkEnd w:id="19"/>
      <w:bookmarkEnd w:id="20"/>
      <w:bookmarkEnd w:id="21"/>
    </w:p>
    <w:p>
      <w:pPr>
        <w:adjustRightInd w:val="0"/>
        <w:snapToGrid w:val="0"/>
        <w:spacing w:line="560" w:lineRule="exact"/>
        <w:jc w:val="center"/>
        <w:rPr>
          <w:rFonts w:hint="default"/>
          <w:b/>
          <w:bCs/>
          <w:color w:val="auto"/>
          <w:sz w:val="24"/>
          <w:szCs w:val="24"/>
          <w:highlight w:val="none"/>
          <w:lang w:val="zh-CN"/>
        </w:rPr>
      </w:pPr>
      <w:r>
        <w:rPr>
          <w:rFonts w:ascii="Times New Roman" w:hAnsi="Times New Roman" w:cs="Times New Roman" w:hint="default"/>
          <w:b/>
          <w:bCs/>
          <w:color w:val="auto"/>
          <w:sz w:val="24"/>
          <w:szCs w:val="24"/>
          <w:highlight w:val="none"/>
          <w:lang w:val="zh-CN"/>
        </w:rPr>
        <w:t>建（构）筑物安全检查表</w:t>
      </w:r>
    </w:p>
    <w:tbl>
      <w:tblPr>
        <w:tblStyle w:val="TableNormal"/>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69"/>
        <w:gridCol w:w="3937"/>
        <w:gridCol w:w="1410"/>
        <w:gridCol w:w="1560"/>
        <w:gridCol w:w="705"/>
        <w:gridCol w:w="870"/>
        <w:gridCol w:w="705"/>
      </w:tblGrid>
      <w:tr>
        <w:tblPrEx>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669" w:type="dxa"/>
            <w:vMerge w:val="restart"/>
            <w:tcBorders>
              <w:tl2br w:val="nil"/>
              <w:tr2bl w:val="nil"/>
            </w:tcBorders>
            <w:vAlign w:val="center"/>
          </w:tcPr>
          <w:p>
            <w:pPr>
              <w:spacing w:line="240" w:lineRule="auto"/>
              <w:jc w:val="center"/>
              <w:rPr>
                <w:rFonts w:asciiTheme="minorEastAsia" w:eastAsiaTheme="minorEastAsia" w:hAnsiTheme="minorEastAsia"/>
                <w:b/>
                <w:bCs/>
                <w:color w:val="auto"/>
                <w:szCs w:val="21"/>
                <w:highlight w:val="none"/>
              </w:rPr>
            </w:pPr>
            <w:r>
              <w:rPr>
                <w:rFonts w:ascii="宋体" w:eastAsia="宋体" w:hAnsi="宋体" w:cs="宋体" w:hint="eastAsia"/>
                <w:b/>
                <w:bCs/>
                <w:color w:val="auto"/>
                <w:szCs w:val="21"/>
                <w:highlight w:val="none"/>
              </w:rPr>
              <w:t>序号</w:t>
            </w:r>
          </w:p>
        </w:tc>
        <w:tc>
          <w:tcPr>
            <w:tcW w:w="3937" w:type="dxa"/>
            <w:vMerge w:val="restart"/>
            <w:tcBorders>
              <w:tl2br w:val="nil"/>
              <w:tr2bl w:val="nil"/>
            </w:tcBorders>
            <w:vAlign w:val="center"/>
          </w:tcPr>
          <w:p>
            <w:pPr>
              <w:spacing w:line="240" w:lineRule="auto"/>
              <w:jc w:val="center"/>
              <w:rPr>
                <w:rFonts w:asciiTheme="minorEastAsia" w:eastAsiaTheme="minorEastAsia" w:hAnsiTheme="minorEastAsia"/>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项目和内容</w:t>
            </w:r>
          </w:p>
        </w:tc>
        <w:tc>
          <w:tcPr>
            <w:tcW w:w="1410" w:type="dxa"/>
            <w:vMerge w:val="restart"/>
            <w:tcBorders>
              <w:tl2br w:val="nil"/>
              <w:tr2bl w:val="nil"/>
            </w:tcBorders>
            <w:vAlign w:val="center"/>
          </w:tcPr>
          <w:p>
            <w:pPr>
              <w:spacing w:line="240" w:lineRule="auto"/>
              <w:jc w:val="center"/>
              <w:rPr>
                <w:rFonts w:asciiTheme="minorEastAsia" w:eastAsiaTheme="minorEastAsia" w:hAnsiTheme="minorEastAsia"/>
                <w:b/>
                <w:bCs/>
                <w:color w:val="auto"/>
                <w:szCs w:val="21"/>
                <w:highlight w:val="none"/>
              </w:rPr>
            </w:pPr>
            <w:r>
              <w:rPr>
                <w:rFonts w:ascii="宋体" w:eastAsia="宋体" w:hAnsi="宋体" w:cs="宋体" w:hint="eastAsia"/>
                <w:b/>
                <w:bCs/>
                <w:color w:val="auto"/>
                <w:szCs w:val="21"/>
                <w:highlight w:val="none"/>
                <w:lang w:val="en-US" w:eastAsia="zh-CN"/>
              </w:rPr>
              <w:t>标准</w:t>
            </w:r>
            <w:r>
              <w:rPr>
                <w:rFonts w:ascii="宋体" w:eastAsia="宋体" w:hAnsi="宋体" w:cs="宋体" w:hint="eastAsia"/>
                <w:b/>
                <w:bCs/>
                <w:color w:val="auto"/>
                <w:szCs w:val="21"/>
                <w:highlight w:val="none"/>
              </w:rPr>
              <w:t>依据</w:t>
            </w:r>
          </w:p>
        </w:tc>
        <w:tc>
          <w:tcPr>
            <w:tcW w:w="1560" w:type="dxa"/>
            <w:vMerge w:val="restart"/>
            <w:tcBorders>
              <w:tl2br w:val="nil"/>
              <w:tr2bl w:val="nil"/>
            </w:tcBorders>
            <w:vAlign w:val="center"/>
          </w:tcPr>
          <w:p>
            <w:pPr>
              <w:spacing w:line="240" w:lineRule="auto"/>
              <w:jc w:val="center"/>
              <w:rPr>
                <w:rFonts w:asciiTheme="minorEastAsia" w:eastAsiaTheme="minorEastAsia" w:hAnsiTheme="minorEastAsia"/>
                <w:b/>
                <w:bCs/>
                <w:color w:val="auto"/>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记录</w:t>
            </w:r>
          </w:p>
        </w:tc>
        <w:tc>
          <w:tcPr>
            <w:tcW w:w="1575" w:type="dxa"/>
            <w:gridSpan w:val="2"/>
            <w:tcBorders>
              <w:tl2br w:val="nil"/>
              <w:tr2bl w:val="nil"/>
            </w:tcBorders>
            <w:vAlign w:val="center"/>
          </w:tcPr>
          <w:p>
            <w:pPr>
              <w:spacing w:line="240" w:lineRule="auto"/>
              <w:jc w:val="center"/>
              <w:rPr>
                <w:rFonts w:asciiTheme="minorEastAsia" w:eastAsiaTheme="minorEastAsia" w:hAnsiTheme="minorEastAsia"/>
                <w:b/>
                <w:bCs/>
                <w:color w:val="auto"/>
                <w:szCs w:val="21"/>
                <w:highlight w:val="none"/>
              </w:rPr>
            </w:pPr>
            <w:r>
              <w:rPr>
                <w:rFonts w:ascii="宋体" w:eastAsia="宋体" w:hAnsi="宋体" w:cs="宋体" w:hint="eastAsia"/>
                <w:b/>
                <w:bCs/>
                <w:color w:val="auto"/>
                <w:szCs w:val="21"/>
                <w:highlight w:val="none"/>
                <w:lang w:val="en-US" w:eastAsia="zh-CN"/>
              </w:rPr>
              <w:t>检查结果</w:t>
            </w:r>
          </w:p>
        </w:tc>
        <w:tc>
          <w:tcPr>
            <w:tcW w:w="705" w:type="dxa"/>
            <w:vMerge w:val="restart"/>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改进</w:t>
            </w:r>
          </w:p>
          <w:p>
            <w:pPr>
              <w:spacing w:line="240" w:lineRule="auto"/>
              <w:jc w:val="center"/>
              <w:rPr>
                <w:rFonts w:asciiTheme="minorEastAsia" w:eastAsiaTheme="minorEastAsia" w:hAnsiTheme="minorEastAsia" w:hint="eastAsia"/>
                <w:b/>
                <w:bCs/>
                <w:color w:val="auto"/>
                <w:szCs w:val="21"/>
                <w:highlight w:val="none"/>
              </w:rPr>
            </w:pPr>
            <w:r>
              <w:rPr>
                <w:rFonts w:ascii="宋体" w:eastAsia="宋体" w:hAnsi="宋体" w:cs="宋体" w:hint="eastAsia"/>
                <w:b/>
                <w:bCs/>
                <w:color w:val="auto"/>
                <w:szCs w:val="21"/>
                <w:highlight w:val="none"/>
                <w:lang w:val="en-US" w:eastAsia="zh-CN"/>
              </w:rPr>
              <w:t>措施</w:t>
            </w:r>
          </w:p>
        </w:tc>
      </w:tr>
      <w:tr>
        <w:tblPrEx>
          <w:tblW w:w="9856" w:type="dxa"/>
          <w:tblInd w:w="0" w:type="dxa"/>
          <w:tblLayout w:type="fixed"/>
          <w:tblCellMar>
            <w:top w:w="0" w:type="dxa"/>
            <w:left w:w="108" w:type="dxa"/>
            <w:bottom w:w="0" w:type="dxa"/>
            <w:right w:w="108" w:type="dxa"/>
          </w:tblCellMar>
        </w:tblPrEx>
        <w:tc>
          <w:tcPr>
            <w:tcW w:w="669" w:type="dxa"/>
            <w:vMerge/>
            <w:tcBorders>
              <w:tl2br w:val="nil"/>
              <w:tr2bl w:val="nil"/>
            </w:tcBorders>
            <w:vAlign w:val="center"/>
          </w:tcPr>
          <w:p>
            <w:pPr>
              <w:tabs>
                <w:tab w:val="left" w:pos="759"/>
              </w:tabs>
              <w:spacing w:line="240" w:lineRule="auto"/>
              <w:jc w:val="left"/>
              <w:rPr>
                <w:rFonts w:asciiTheme="minorEastAsia" w:eastAsiaTheme="minorEastAsia" w:hAnsiTheme="minorEastAsia" w:hint="eastAsia"/>
                <w:b/>
                <w:bCs/>
                <w:color w:val="auto"/>
                <w:szCs w:val="21"/>
                <w:highlight w:val="none"/>
              </w:rPr>
            </w:pPr>
          </w:p>
        </w:tc>
        <w:tc>
          <w:tcPr>
            <w:tcW w:w="3937" w:type="dxa"/>
            <w:vMerge/>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p>
        </w:tc>
        <w:tc>
          <w:tcPr>
            <w:tcW w:w="1410" w:type="dxa"/>
            <w:vMerge/>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p>
        </w:tc>
        <w:tc>
          <w:tcPr>
            <w:tcW w:w="1560" w:type="dxa"/>
            <w:vMerge/>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r>
              <w:rPr>
                <w:rFonts w:asciiTheme="minorEastAsia" w:eastAsiaTheme="minorEastAsia" w:hAnsiTheme="minorEastAsia" w:hint="eastAsia"/>
                <w:b/>
                <w:bCs/>
                <w:color w:val="auto"/>
                <w:szCs w:val="21"/>
                <w:highlight w:val="none"/>
                <w:lang w:val="en-US" w:eastAsia="zh-CN"/>
              </w:rPr>
              <w:t>符合</w:t>
            </w:r>
          </w:p>
        </w:tc>
        <w:tc>
          <w:tcPr>
            <w:tcW w:w="870"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r>
              <w:rPr>
                <w:rFonts w:asciiTheme="minorEastAsia" w:eastAsiaTheme="minorEastAsia" w:hAnsiTheme="minorEastAsia" w:hint="eastAsia"/>
                <w:b/>
                <w:bCs/>
                <w:color w:val="auto"/>
                <w:szCs w:val="21"/>
                <w:highlight w:val="none"/>
                <w:lang w:val="en-US" w:eastAsia="zh-CN"/>
              </w:rPr>
              <w:t>不符合</w:t>
            </w:r>
          </w:p>
        </w:tc>
        <w:tc>
          <w:tcPr>
            <w:tcW w:w="705" w:type="dxa"/>
            <w:vMerge/>
            <w:tcBorders>
              <w:tl2br w:val="nil"/>
              <w:tr2bl w:val="nil"/>
            </w:tcBorders>
            <w:vAlign w:val="center"/>
          </w:tcPr>
          <w:p>
            <w:pPr>
              <w:adjustRightInd w:val="0"/>
              <w:snapToGrid w:val="0"/>
              <w:spacing w:line="240" w:lineRule="auto"/>
              <w:jc w:val="center"/>
              <w:rPr>
                <w:rFonts w:asciiTheme="minorEastAsia" w:eastAsiaTheme="minorEastAsia" w:hAnsiTheme="minorEastAsia" w:hint="eastAsia"/>
                <w:b/>
                <w:bCs/>
                <w:color w:val="auto"/>
                <w:szCs w:val="21"/>
                <w:highlight w:val="none"/>
              </w:rPr>
            </w:pP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tcPr>
          <w:p>
            <w:pPr>
              <w:adjustRightInd w:val="0"/>
              <w:snapToGrid w:val="0"/>
              <w:spacing w:line="240" w:lineRule="auto"/>
              <w:jc w:val="center"/>
              <w:rPr>
                <w:rFonts w:asciiTheme="minorEastAsia" w:eastAsiaTheme="minorEastAsia" w:hAnsiTheme="minorEastAsia"/>
                <w:b/>
                <w:bCs/>
                <w:color w:val="auto"/>
                <w:szCs w:val="21"/>
                <w:highlight w:val="none"/>
              </w:rPr>
            </w:pPr>
          </w:p>
        </w:tc>
        <w:tc>
          <w:tcPr>
            <w:tcW w:w="8482" w:type="dxa"/>
            <w:gridSpan w:val="5"/>
            <w:tcBorders>
              <w:tl2br w:val="nil"/>
              <w:tr2bl w:val="nil"/>
            </w:tcBorders>
          </w:tcPr>
          <w:p>
            <w:pPr>
              <w:adjustRightInd w:val="0"/>
              <w:snapToGrid w:val="0"/>
              <w:spacing w:line="240" w:lineRule="auto"/>
              <w:jc w:val="center"/>
              <w:rPr>
                <w:rFonts w:asciiTheme="minorEastAsia" w:eastAsiaTheme="minorEastAsia" w:hAnsiTheme="minorEastAsia" w:hint="eastAsia"/>
                <w:b/>
                <w:bCs/>
                <w:color w:val="auto"/>
                <w:szCs w:val="21"/>
                <w:highlight w:val="none"/>
              </w:rPr>
            </w:pPr>
            <w:r>
              <w:rPr>
                <w:rFonts w:asciiTheme="minorEastAsia" w:eastAsiaTheme="minorEastAsia" w:hAnsiTheme="minorEastAsia" w:hint="eastAsia"/>
                <w:b/>
                <w:bCs/>
                <w:color w:val="auto"/>
                <w:szCs w:val="21"/>
                <w:highlight w:val="none"/>
              </w:rPr>
              <w:t>一、风力发电机组基础</w:t>
            </w:r>
          </w:p>
        </w:tc>
        <w:tc>
          <w:tcPr>
            <w:tcW w:w="705" w:type="dxa"/>
            <w:tcBorders>
              <w:tl2br w:val="nil"/>
              <w:tr2bl w:val="nil"/>
            </w:tcBorders>
          </w:tcPr>
          <w:p>
            <w:pPr>
              <w:adjustRightInd w:val="0"/>
              <w:snapToGrid w:val="0"/>
              <w:spacing w:line="240" w:lineRule="auto"/>
              <w:jc w:val="center"/>
              <w:rPr>
                <w:rFonts w:asciiTheme="minorEastAsia" w:eastAsiaTheme="minorEastAsia" w:hAnsiTheme="minorEastAsia" w:hint="eastAsia"/>
                <w:b/>
                <w:bCs/>
                <w:color w:val="auto"/>
                <w:szCs w:val="21"/>
                <w:highlight w:val="none"/>
              </w:rPr>
            </w:pP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w:t>
            </w:r>
          </w:p>
        </w:tc>
        <w:tc>
          <w:tcPr>
            <w:tcW w:w="3937" w:type="dxa"/>
            <w:tcBorders>
              <w:tl2br w:val="nil"/>
              <w:tr2bl w:val="nil"/>
            </w:tcBorders>
          </w:tcPr>
          <w:p>
            <w:pPr>
              <w:autoSpaceDE w:val="0"/>
              <w:autoSpaceDN w:val="0"/>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cs="宋体" w:hint="eastAsia"/>
                <w:color w:val="auto"/>
                <w:kern w:val="0"/>
                <w:szCs w:val="21"/>
                <w:highlight w:val="none"/>
              </w:rPr>
              <w:t>根据风电场机组的单机容量、轮毂高度和地基复杂程度，地基基础分为三个设计级别，设计时应根据具体情况，按表选用</w:t>
            </w:r>
            <w:r>
              <w:rPr>
                <w:rFonts w:asciiTheme="minorEastAsia" w:eastAsiaTheme="minorEastAsia" w:hAnsiTheme="minorEastAsia" w:hint="eastAsia"/>
                <w:color w:val="auto"/>
                <w:szCs w:val="21"/>
                <w:highlight w:val="none"/>
              </w:rPr>
              <w:t>：</w:t>
            </w:r>
          </w:p>
          <w:tbl>
            <w:tblPr>
              <w:tblStyle w:val="TableNormal"/>
              <w:tblW w:w="35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71"/>
              <w:gridCol w:w="3117"/>
            </w:tblGrid>
            <w:tr>
              <w:tblPrEx>
                <w:tblW w:w="35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38"/>
              </w:trPr>
              <w:tc>
                <w:tcPr>
                  <w:tcW w:w="4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级别</w:t>
                  </w:r>
                </w:p>
              </w:tc>
              <w:tc>
                <w:tcPr>
                  <w:tcW w:w="3117"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单机容量、轮毂高度和地基类型</w:t>
                  </w:r>
                </w:p>
              </w:tc>
            </w:tr>
            <w:tr>
              <w:tblPrEx>
                <w:tblW w:w="3588" w:type="dxa"/>
                <w:tblInd w:w="0" w:type="dxa"/>
                <w:tblLayout w:type="fixed"/>
                <w:tblCellMar>
                  <w:top w:w="0" w:type="dxa"/>
                  <w:left w:w="108" w:type="dxa"/>
                  <w:bottom w:w="0" w:type="dxa"/>
                  <w:right w:w="108" w:type="dxa"/>
                </w:tblCellMar>
              </w:tblPrEx>
              <w:tc>
                <w:tcPr>
                  <w:tcW w:w="4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w:t>
                  </w:r>
                </w:p>
              </w:tc>
              <w:tc>
                <w:tcPr>
                  <w:tcW w:w="3117"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单机容量大于1.5MW</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轮毂高度大于80m</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复杂地质条件或软土地基</w:t>
                  </w:r>
                </w:p>
              </w:tc>
            </w:tr>
            <w:tr>
              <w:tblPrEx>
                <w:tblW w:w="3588" w:type="dxa"/>
                <w:tblInd w:w="0" w:type="dxa"/>
                <w:tblLayout w:type="fixed"/>
                <w:tblCellMar>
                  <w:top w:w="0" w:type="dxa"/>
                  <w:left w:w="108" w:type="dxa"/>
                  <w:bottom w:w="0" w:type="dxa"/>
                  <w:right w:w="108" w:type="dxa"/>
                </w:tblCellMar>
              </w:tblPrEx>
              <w:tc>
                <w:tcPr>
                  <w:tcW w:w="4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w:t>
                  </w:r>
                </w:p>
              </w:tc>
              <w:tc>
                <w:tcPr>
                  <w:tcW w:w="3117"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介于1级、3级之间的塔架地基基础</w:t>
                  </w:r>
                </w:p>
              </w:tc>
            </w:tr>
            <w:tr>
              <w:tblPrEx>
                <w:tblW w:w="3588" w:type="dxa"/>
                <w:tblInd w:w="0" w:type="dxa"/>
                <w:tblLayout w:type="fixed"/>
                <w:tblCellMar>
                  <w:top w:w="0" w:type="dxa"/>
                  <w:left w:w="108" w:type="dxa"/>
                  <w:bottom w:w="0" w:type="dxa"/>
                  <w:right w:w="108" w:type="dxa"/>
                </w:tblCellMar>
              </w:tblPrEx>
              <w:tc>
                <w:tcPr>
                  <w:tcW w:w="4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3</w:t>
                  </w:r>
                </w:p>
              </w:tc>
              <w:tc>
                <w:tcPr>
                  <w:tcW w:w="3117"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单机容量小于0.75MW</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轮毂高度小于60m</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地质条件简单的岩土地基</w:t>
                  </w:r>
                </w:p>
              </w:tc>
            </w:tr>
          </w:tbl>
          <w:p>
            <w:pPr>
              <w:adjustRightInd w:val="0"/>
              <w:snapToGrid w:val="0"/>
              <w:spacing w:line="240" w:lineRule="auto"/>
              <w:rPr>
                <w:rFonts w:asciiTheme="minorEastAsia" w:eastAsiaTheme="minorEastAsia" w:hAnsiTheme="minorEastAsia"/>
                <w:color w:val="auto"/>
                <w:szCs w:val="21"/>
                <w:highlight w:val="none"/>
              </w:rPr>
            </w:pP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《风电机组地基基础设计规定》FD003-2007第5.0.1条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gridSpan w:val="2"/>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w:t>
            </w:r>
          </w:p>
        </w:tc>
        <w:tc>
          <w:tcPr>
            <w:tcW w:w="3937" w:type="dxa"/>
            <w:tcBorders>
              <w:tl2br w:val="nil"/>
              <w:tr2bl w:val="nil"/>
            </w:tcBorders>
          </w:tcPr>
          <w:p>
            <w:pPr>
              <w:autoSpaceDE w:val="0"/>
              <w:autoSpaceDN w:val="0"/>
              <w:adjustRightInd w:val="0"/>
              <w:snapToGrid w:val="0"/>
              <w:spacing w:line="240" w:lineRule="auto"/>
              <w:rPr>
                <w:rFonts w:asciiTheme="minorEastAsia" w:eastAsiaTheme="minorEastAsia" w:hAnsiTheme="minorEastAsia" w:cs="宋体"/>
                <w:color w:val="auto"/>
                <w:kern w:val="0"/>
                <w:szCs w:val="21"/>
                <w:highlight w:val="none"/>
              </w:rPr>
            </w:pPr>
            <w:r>
              <w:rPr>
                <w:rFonts w:asciiTheme="minorEastAsia" w:eastAsiaTheme="minorEastAsia" w:hAnsiTheme="minorEastAsia" w:cs="宋体" w:hint="eastAsia"/>
                <w:color w:val="auto"/>
                <w:kern w:val="0"/>
                <w:szCs w:val="21"/>
                <w:highlight w:val="none"/>
              </w:rPr>
              <w:t>机组地基基础设计应符合下列规定</w:t>
            </w:r>
          </w:p>
          <w:p>
            <w:pPr>
              <w:autoSpaceDE w:val="0"/>
              <w:autoSpaceDN w:val="0"/>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cs="TimesNewRomanPSMT"/>
                <w:color w:val="auto"/>
                <w:kern w:val="0"/>
                <w:szCs w:val="21"/>
                <w:highlight w:val="none"/>
              </w:rPr>
              <w:t>1</w:t>
            </w:r>
            <w:r>
              <w:rPr>
                <w:rFonts w:asciiTheme="minorEastAsia" w:eastAsiaTheme="minorEastAsia" w:hAnsiTheme="minorEastAsia" w:cs="TimesNewRomanPSMT" w:hint="eastAsia"/>
                <w:color w:val="auto"/>
                <w:kern w:val="0"/>
                <w:szCs w:val="21"/>
                <w:highlight w:val="none"/>
              </w:rPr>
              <w:t>、</w:t>
            </w:r>
            <w:r>
              <w:rPr>
                <w:rFonts w:asciiTheme="minorEastAsia" w:eastAsiaTheme="minorEastAsia" w:hAnsiTheme="minorEastAsia" w:cs="宋体" w:hint="eastAsia"/>
                <w:color w:val="auto"/>
                <w:kern w:val="0"/>
                <w:szCs w:val="21"/>
                <w:highlight w:val="none"/>
              </w:rPr>
              <w:t>所有机组地基基础，均应满足承载力、变形和稳定性的要求。</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《风电机组地基基础设计规定》FD003-2007第5.0.2条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hint="eastAsia"/>
                <w:color w:val="auto"/>
                <w:szCs w:val="21"/>
                <w:highlight w:val="none"/>
              </w:rPr>
            </w:pPr>
          </w:p>
        </w:tc>
        <w:tc>
          <w:tcPr>
            <w:tcW w:w="1575" w:type="dxa"/>
            <w:gridSpan w:val="2"/>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3</w:t>
            </w:r>
          </w:p>
        </w:tc>
        <w:tc>
          <w:tcPr>
            <w:tcW w:w="3937" w:type="dxa"/>
            <w:tcBorders>
              <w:tl2br w:val="nil"/>
              <w:tr2bl w:val="nil"/>
            </w:tcBorders>
          </w:tcPr>
          <w:p>
            <w:pPr>
              <w:adjustRightInd w:val="0"/>
              <w:snapToGrid w:val="0"/>
              <w:spacing w:after="0" w:line="240" w:lineRule="auto"/>
              <w:rPr>
                <w:rFonts w:asciiTheme="minorEastAsia" w:eastAsiaTheme="minorEastAsia" w:hAnsiTheme="minorEastAsia"/>
                <w:color w:val="auto"/>
                <w:szCs w:val="21"/>
                <w:highlight w:val="none"/>
              </w:rPr>
            </w:pPr>
            <w:r>
              <w:rPr>
                <w:rFonts w:asciiTheme="minorEastAsia" w:eastAsiaTheme="minorEastAsia" w:hAnsiTheme="minorEastAsia" w:cs="宋体" w:hint="eastAsia"/>
                <w:color w:val="auto"/>
                <w:kern w:val="0"/>
                <w:szCs w:val="21"/>
                <w:highlight w:val="none"/>
              </w:rPr>
              <w:t>基础设计应考虑地下水、环境水、基础周围土壤对其的腐蚀，必要时应遵照</w:t>
            </w:r>
            <w:r>
              <w:rPr>
                <w:rFonts w:asciiTheme="minorEastAsia" w:eastAsiaTheme="minorEastAsia" w:hAnsiTheme="minorEastAsia" w:cs="TimesNewRomanPSMT"/>
                <w:color w:val="auto"/>
                <w:kern w:val="0"/>
                <w:szCs w:val="21"/>
                <w:highlight w:val="none"/>
              </w:rPr>
              <w:t>GB50046</w:t>
            </w:r>
            <w:r>
              <w:rPr>
                <w:rFonts w:asciiTheme="minorEastAsia" w:eastAsiaTheme="minorEastAsia" w:hAnsiTheme="minorEastAsia" w:cs="宋体" w:hint="eastAsia"/>
                <w:color w:val="auto"/>
                <w:kern w:val="0"/>
                <w:szCs w:val="21"/>
                <w:highlight w:val="none"/>
              </w:rPr>
              <w:t>和</w:t>
            </w:r>
            <w:r>
              <w:rPr>
                <w:rFonts w:asciiTheme="minorEastAsia" w:eastAsiaTheme="minorEastAsia" w:hAnsiTheme="minorEastAsia" w:cs="TimesNewRomanPSMT"/>
                <w:color w:val="auto"/>
                <w:kern w:val="0"/>
                <w:szCs w:val="21"/>
                <w:highlight w:val="none"/>
              </w:rPr>
              <w:t>JTJ275</w:t>
            </w:r>
          </w:p>
        </w:tc>
        <w:tc>
          <w:tcPr>
            <w:tcW w:w="1410" w:type="dxa"/>
            <w:tcBorders>
              <w:tl2br w:val="nil"/>
              <w:tr2bl w:val="nil"/>
            </w:tcBorders>
            <w:vAlign w:val="center"/>
          </w:tcPr>
          <w:p>
            <w:pPr>
              <w:adjustRightInd w:val="0"/>
              <w:snapToGrid w:val="0"/>
              <w:spacing w:after="0" w:line="240" w:lineRule="auto"/>
              <w:jc w:val="center"/>
              <w:rPr>
                <w:rFonts w:asciiTheme="minorEastAsia" w:eastAsiaTheme="minorEastAsia" w:hAnsiTheme="minorEastAsia"/>
                <w:color w:val="auto"/>
                <w:szCs w:val="21"/>
                <w:highlight w:val="none"/>
              </w:rPr>
            </w:pP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gridSpan w:val="2"/>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5"/>
          <w:cols w:num="1" w:space="425"/>
          <w:titlePg w:val="0"/>
          <w:docGrid w:type="lines" w:linePitch="312" w:charSpace="0"/>
        </w:sectPr>
      </w:pPr>
    </w:p>
    <w:tbl>
      <w:tblPr>
        <w:tblStyle w:val="TableNormal"/>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69"/>
        <w:gridCol w:w="6"/>
        <w:gridCol w:w="3931"/>
        <w:gridCol w:w="1410"/>
        <w:gridCol w:w="1560"/>
        <w:gridCol w:w="1575"/>
        <w:gridCol w:w="705"/>
      </w:tblGrid>
      <w:tr>
        <w:tblPrEx>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669" w:type="dxa"/>
            <w:tcBorders>
              <w:tl2br w:val="nil"/>
              <w:tr2bl w:val="nil"/>
            </w:tcBorders>
            <w:vAlign w:val="center"/>
          </w:tcPr>
          <w:p/>
        </w:tc>
        <w:tc>
          <w:tcPr>
            <w:tcW w:w="3937" w:type="dxa"/>
            <w:gridSpan w:val="2"/>
            <w:tcBorders>
              <w:tl2br w:val="nil"/>
              <w:tr2bl w:val="nil"/>
            </w:tcBorders>
          </w:tcPr>
          <w:p>
            <w:pPr>
              <w:adjustRightInd w:val="0"/>
              <w:snapToGrid w:val="0"/>
              <w:spacing w:before="0" w:line="240" w:lineRule="auto"/>
              <w:rPr>
                <w:rFonts w:asciiTheme="minorEastAsia" w:eastAsiaTheme="minorEastAsia" w:hAnsiTheme="minorEastAsia"/>
                <w:color w:val="auto"/>
                <w:szCs w:val="21"/>
                <w:highlight w:val="none"/>
              </w:rPr>
            </w:pPr>
            <w:r>
              <w:rPr>
                <w:rFonts w:asciiTheme="minorEastAsia" w:eastAsiaTheme="minorEastAsia" w:hAnsiTheme="minorEastAsia" w:cs="宋体" w:hint="eastAsia"/>
                <w:color w:val="auto"/>
                <w:kern w:val="0"/>
                <w:szCs w:val="21"/>
                <w:highlight w:val="none"/>
              </w:rPr>
              <w:t>等有关规定采取有效的防腐措施。</w:t>
            </w:r>
          </w:p>
        </w:tc>
        <w:tc>
          <w:tcPr>
            <w:tcW w:w="1410" w:type="dxa"/>
            <w:tcBorders>
              <w:tl2br w:val="nil"/>
              <w:tr2bl w:val="nil"/>
            </w:tcBorders>
            <w:vAlign w:val="center"/>
          </w:tcPr>
          <w:p>
            <w:pPr>
              <w:adjustRightInd w:val="0"/>
              <w:snapToGrid w:val="0"/>
              <w:spacing w:before="0"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《风电机组地基基础设计规定》FD003-2007第9.1.2条</w:t>
            </w:r>
          </w:p>
        </w:tc>
        <w:tc>
          <w:tcPr>
            <w:tcW w:w="1560" w:type="dxa"/>
            <w:tcBorders>
              <w:tl2br w:val="nil"/>
              <w:tr2bl w:val="nil"/>
            </w:tcBorders>
            <w:vAlign w:val="center"/>
          </w:tcPr>
          <w:p/>
        </w:tc>
        <w:tc>
          <w:tcPr>
            <w:tcW w:w="1575" w:type="dxa"/>
            <w:tcBorders>
              <w:tl2br w:val="nil"/>
              <w:tr2bl w:val="nil"/>
            </w:tcBorders>
            <w:vAlign w:val="center"/>
          </w:tcPr>
          <w:p/>
        </w:tc>
        <w:tc>
          <w:tcPr>
            <w:tcW w:w="705" w:type="dxa"/>
            <w:tcBorders>
              <w:tl2br w:val="nil"/>
              <w:tr2bl w:val="nil"/>
            </w:tcBorders>
            <w:vAlign w:val="center"/>
          </w:tcP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4</w:t>
            </w:r>
          </w:p>
        </w:tc>
        <w:tc>
          <w:tcPr>
            <w:tcW w:w="3937" w:type="dxa"/>
            <w:gridSpan w:val="2"/>
            <w:tcBorders>
              <w:tl2br w:val="nil"/>
              <w:tr2bl w:val="nil"/>
            </w:tcBorders>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cs="宋体" w:hint="eastAsia"/>
                <w:color w:val="auto"/>
                <w:kern w:val="0"/>
                <w:szCs w:val="21"/>
                <w:highlight w:val="none"/>
              </w:rPr>
              <w:t>基础环应深入至基础或承台底板一定深度，并与基础或承台结构可靠连接。应对基础环与基础或承台的连接进行专门设计，并做局部冲切、承压和拉拔等验算。基础预埋件周边应设细部连接或构造钢筋。</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《风电机组地基基础设计规定》FD003-2007第9.5.3条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hint="default"/>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5</w:t>
            </w:r>
          </w:p>
        </w:tc>
        <w:tc>
          <w:tcPr>
            <w:tcW w:w="3937" w:type="dxa"/>
            <w:gridSpan w:val="2"/>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地基宜尽量避开对其有直接或间接危害的断层、滑坡、泥石流、崩塌以及岩溶强烈发育地段。当因特殊需要必须使用这类场地时，应在查明上述不良物理地址现象、工程地质条件的基础上，采用可靠的处理措施。</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《风电机组地基基础设计规定》FD003-2007第10.1.3条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6</w:t>
            </w:r>
          </w:p>
        </w:tc>
        <w:tc>
          <w:tcPr>
            <w:tcW w:w="3937" w:type="dxa"/>
            <w:gridSpan w:val="2"/>
            <w:tcBorders>
              <w:tl2br w:val="nil"/>
              <w:tr2bl w:val="nil"/>
            </w:tcBorders>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下列地基基础应在施工期运行期进行沉降观测：</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1）1级、2级的地基基础。</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2）3级的复合地基或软弱地基上的桩基础。</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3）受地面洪水、海边潮水或地下水等环境变化影响的基础。</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《风电机组地基基础设计规定》FD003-2007第11.2.1条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7</w:t>
            </w:r>
          </w:p>
        </w:tc>
        <w:tc>
          <w:tcPr>
            <w:tcW w:w="3937" w:type="dxa"/>
            <w:gridSpan w:val="2"/>
            <w:tcBorders>
              <w:tl2br w:val="nil"/>
              <w:tr2bl w:val="nil"/>
            </w:tcBorders>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塔架地基基础的防洪设计标准应符合下列规定：</w:t>
            </w:r>
          </w:p>
          <w:tbl>
            <w:tblPr>
              <w:tblStyle w:val="TableNormal"/>
              <w:tblW w:w="3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81"/>
              <w:gridCol w:w="720"/>
              <w:gridCol w:w="846"/>
            </w:tblGrid>
            <w:tr>
              <w:tblPrEx>
                <w:tblW w:w="3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88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地基基础级别</w:t>
                  </w:r>
                </w:p>
              </w:tc>
              <w:tc>
                <w:tcPr>
                  <w:tcW w:w="720"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w:t>
                  </w:r>
                </w:p>
              </w:tc>
              <w:tc>
                <w:tcPr>
                  <w:tcW w:w="846"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2、3</w:t>
                  </w:r>
                </w:p>
              </w:tc>
            </w:tr>
            <w:tr>
              <w:tblPrEx>
                <w:tblW w:w="3447" w:type="dxa"/>
                <w:jc w:val="center"/>
                <w:tblLayout w:type="fixed"/>
                <w:tblCellMar>
                  <w:top w:w="0" w:type="dxa"/>
                  <w:left w:w="108" w:type="dxa"/>
                  <w:bottom w:w="0" w:type="dxa"/>
                  <w:right w:w="108" w:type="dxa"/>
                </w:tblCellMar>
              </w:tblPrEx>
              <w:trPr>
                <w:jc w:val="center"/>
              </w:trPr>
              <w:tc>
                <w:tcPr>
                  <w:tcW w:w="188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洪水设计标准【重现期（年）】</w:t>
                  </w:r>
                </w:p>
              </w:tc>
              <w:tc>
                <w:tcPr>
                  <w:tcW w:w="720"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50～30</w:t>
                  </w:r>
                </w:p>
              </w:tc>
              <w:tc>
                <w:tcPr>
                  <w:tcW w:w="846"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30～10</w:t>
                  </w:r>
                </w:p>
              </w:tc>
            </w:tr>
          </w:tbl>
          <w:p>
            <w:pPr>
              <w:adjustRightInd w:val="0"/>
              <w:snapToGrid w:val="0"/>
              <w:spacing w:line="240" w:lineRule="auto"/>
              <w:rPr>
                <w:rFonts w:asciiTheme="minorEastAsia" w:eastAsiaTheme="minorEastAsia" w:hAnsiTheme="minorEastAsia"/>
                <w:color w:val="auto"/>
                <w:szCs w:val="21"/>
                <w:highlight w:val="none"/>
              </w:rPr>
            </w:pP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《风电场工程等级划分及设计安全标准》FD002-2007第5.0.2条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8</w:t>
            </w:r>
          </w:p>
        </w:tc>
        <w:tc>
          <w:tcPr>
            <w:tcW w:w="3937" w:type="dxa"/>
            <w:gridSpan w:val="2"/>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塔架基础的抗震设防类别为丙类。</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《风电场工程等级划分及设计安全标准》FD002-2007第8.0.2条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lang w:val="en-US" w:eastAsia="zh-CN"/>
              </w:rPr>
              <w:t>9</w:t>
            </w:r>
          </w:p>
        </w:tc>
        <w:tc>
          <w:tcPr>
            <w:tcW w:w="3937" w:type="dxa"/>
            <w:gridSpan w:val="2"/>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季节性冻土地区基础埋置深度宜大于场地冻结深度。</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《建筑地基基础设计规范》GB50007-2011第5.1.8条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75" w:type="dxa"/>
            <w:gridSpan w:val="2"/>
            <w:tcBorders>
              <w:tl2br w:val="nil"/>
              <w:tr2bl w:val="nil"/>
            </w:tcBorders>
          </w:tcPr>
          <w:p>
            <w:pPr>
              <w:adjustRightInd w:val="0"/>
              <w:snapToGrid w:val="0"/>
              <w:spacing w:line="240" w:lineRule="auto"/>
              <w:jc w:val="center"/>
              <w:rPr>
                <w:rFonts w:asciiTheme="minorEastAsia" w:eastAsiaTheme="minorEastAsia" w:hAnsiTheme="minorEastAsia" w:hint="eastAsia"/>
                <w:b/>
                <w:bCs w:val="0"/>
                <w:color w:val="auto"/>
                <w:szCs w:val="21"/>
                <w:highlight w:val="none"/>
              </w:rPr>
            </w:pPr>
            <w:r>
              <w:rPr>
                <w:rFonts w:asciiTheme="minorEastAsia" w:eastAsiaTheme="minorEastAsia" w:hAnsiTheme="minorEastAsia" w:hint="eastAsia"/>
                <w:b/>
                <w:bCs w:val="0"/>
                <w:color w:val="auto"/>
                <w:szCs w:val="21"/>
                <w:highlight w:val="none"/>
                <w:lang w:val="en-US" w:eastAsia="zh-CN"/>
              </w:rPr>
              <w:t>二</w:t>
            </w:r>
          </w:p>
        </w:tc>
        <w:tc>
          <w:tcPr>
            <w:tcW w:w="8476" w:type="dxa"/>
            <w:gridSpan w:val="4"/>
            <w:tcBorders>
              <w:tl2br w:val="nil"/>
              <w:tr2bl w:val="nil"/>
            </w:tcBorders>
            <w:vAlign w:val="center"/>
          </w:tcPr>
          <w:p>
            <w:pPr>
              <w:adjustRightInd w:val="0"/>
              <w:snapToGrid w:val="0"/>
              <w:spacing w:line="240" w:lineRule="auto"/>
              <w:jc w:val="center"/>
              <w:rPr>
                <w:rFonts w:asciiTheme="minorEastAsia" w:eastAsiaTheme="minorEastAsia" w:hAnsiTheme="minorEastAsia"/>
                <w:b/>
                <w:bCs w:val="0"/>
                <w:color w:val="auto"/>
                <w:szCs w:val="21"/>
                <w:highlight w:val="none"/>
              </w:rPr>
            </w:pPr>
            <w:r>
              <w:rPr>
                <w:rFonts w:ascii="宋体" w:hAnsi="宋体" w:cs="宋体" w:hint="eastAsia"/>
                <w:b/>
                <w:bCs w:val="0"/>
                <w:color w:val="auto"/>
                <w:szCs w:val="21"/>
                <w:highlight w:val="none"/>
                <w:lang w:val="en-US" w:eastAsia="zh-CN"/>
              </w:rPr>
              <w:t>升压站</w:t>
            </w:r>
          </w:p>
        </w:tc>
        <w:tc>
          <w:tcPr>
            <w:tcW w:w="705" w:type="dxa"/>
            <w:tcBorders>
              <w:tl2br w:val="nil"/>
              <w:tr2bl w:val="nil"/>
            </w:tcBorders>
            <w:vAlign w:val="center"/>
          </w:tcPr>
          <w:p>
            <w:pPr>
              <w:adjustRightInd w:val="0"/>
              <w:snapToGrid w:val="0"/>
              <w:spacing w:line="240" w:lineRule="auto"/>
              <w:jc w:val="center"/>
              <w:rPr>
                <w:rFonts w:ascii="宋体" w:hAnsi="宋体" w:cs="宋体" w:hint="eastAsia"/>
                <w:b/>
                <w:bCs w:val="0"/>
                <w:color w:val="auto"/>
                <w:szCs w:val="21"/>
                <w:highlight w:val="none"/>
              </w:rPr>
            </w:pP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rPr>
              <w:t>1</w:t>
            </w:r>
            <w:r>
              <w:rPr>
                <w:rFonts w:asciiTheme="minorEastAsia" w:eastAsiaTheme="minorEastAsia" w:hAnsiTheme="minorEastAsia" w:hint="eastAsia"/>
                <w:color w:val="auto"/>
                <w:szCs w:val="21"/>
                <w:highlight w:val="none"/>
                <w:lang w:val="en-US" w:eastAsia="zh-CN"/>
              </w:rPr>
              <w:t>2</w:t>
            </w:r>
          </w:p>
        </w:tc>
        <w:tc>
          <w:tcPr>
            <w:tcW w:w="3937" w:type="dxa"/>
            <w:gridSpan w:val="2"/>
            <w:tcBorders>
              <w:tl2br w:val="nil"/>
              <w:tr2bl w:val="nil"/>
            </w:tcBorders>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变电站建筑物级别应符合下列规定：</w:t>
            </w:r>
          </w:p>
          <w:tbl>
            <w:tblPr>
              <w:tblStyle w:val="TableNormal"/>
              <w:tblW w:w="33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9"/>
              <w:gridCol w:w="2671"/>
            </w:tblGrid>
            <w:tr>
              <w:tblPrEx>
                <w:tblW w:w="33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09"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级别</w:t>
                  </w:r>
                </w:p>
              </w:tc>
              <w:tc>
                <w:tcPr>
                  <w:tcW w:w="267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建筑物</w:t>
                  </w:r>
                </w:p>
              </w:tc>
            </w:tr>
            <w:tr>
              <w:tblPrEx>
                <w:tblW w:w="3380" w:type="dxa"/>
                <w:tblInd w:w="0" w:type="dxa"/>
                <w:tblLayout w:type="fixed"/>
                <w:tblCellMar>
                  <w:top w:w="0" w:type="dxa"/>
                  <w:left w:w="108" w:type="dxa"/>
                  <w:bottom w:w="0" w:type="dxa"/>
                  <w:right w:w="108" w:type="dxa"/>
                </w:tblCellMar>
              </w:tblPrEx>
              <w:tc>
                <w:tcPr>
                  <w:tcW w:w="709"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w:t>
                  </w:r>
                </w:p>
              </w:tc>
              <w:tc>
                <w:tcPr>
                  <w:tcW w:w="26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500kV变电站的主要结构（主控制楼、500kV配电装置结构等）</w:t>
                  </w:r>
                </w:p>
              </w:tc>
            </w:tr>
            <w:tr>
              <w:tblPrEx>
                <w:tblW w:w="3380" w:type="dxa"/>
                <w:tblInd w:w="0" w:type="dxa"/>
                <w:tblLayout w:type="fixed"/>
                <w:tblCellMar>
                  <w:top w:w="0" w:type="dxa"/>
                  <w:left w:w="108" w:type="dxa"/>
                  <w:bottom w:w="0" w:type="dxa"/>
                  <w:right w:w="108" w:type="dxa"/>
                </w:tblCellMar>
              </w:tblPrEx>
              <w:tc>
                <w:tcPr>
                  <w:tcW w:w="709"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w:t>
                  </w:r>
                </w:p>
              </w:tc>
              <w:tc>
                <w:tcPr>
                  <w:tcW w:w="2671" w:type="dxa"/>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500kV变电站的其余结构及小于500kV变电站的所有结构</w:t>
                  </w:r>
                </w:p>
              </w:tc>
            </w:tr>
          </w:tbl>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变电站工程建筑物级别与结构安全等级的关系为：</w:t>
            </w:r>
          </w:p>
          <w:tbl>
            <w:tblPr>
              <w:tblStyle w:val="TableNormal"/>
              <w:tblW w:w="33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11"/>
              <w:gridCol w:w="1866"/>
            </w:tblGrid>
            <w:tr>
              <w:tblPrEx>
                <w:tblW w:w="33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51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结构安全等级</w:t>
                  </w:r>
                </w:p>
              </w:tc>
              <w:tc>
                <w:tcPr>
                  <w:tcW w:w="1866"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变电站建筑级别</w:t>
                  </w:r>
                </w:p>
              </w:tc>
            </w:tr>
          </w:tbl>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《风电场工程等级划分及设计安全标准》FD002-2007第5.0.3条，第6.0.2条</w:t>
            </w:r>
          </w:p>
        </w:tc>
        <w:tc>
          <w:tcPr>
            <w:tcW w:w="1560" w:type="dxa"/>
            <w:tcBorders>
              <w:tl2br w:val="nil"/>
              <w:tr2bl w:val="nil"/>
            </w:tcBorders>
            <w:vAlign w:val="center"/>
          </w:tcPr>
          <w:p>
            <w:pPr>
              <w:adjustRightInd w:val="0"/>
              <w:snapToGrid w:val="0"/>
              <w:spacing w:line="240" w:lineRule="auto"/>
              <w:jc w:val="left"/>
              <w:rPr>
                <w:rFonts w:asciiTheme="minorEastAsia" w:eastAsiaTheme="minorEastAsia" w:hAnsiTheme="minorEastAsia" w:cs="Arial" w:hint="default"/>
                <w:bCs/>
                <w:snapToGrid w:val="0"/>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6"/>
          <w:cols w:num="1" w:space="425"/>
          <w:titlePg w:val="0"/>
          <w:docGrid w:type="lines" w:linePitch="312" w:charSpace="0"/>
        </w:sectPr>
      </w:pPr>
    </w:p>
    <w:tbl>
      <w:tblPr>
        <w:tblStyle w:val="TableNormal"/>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669"/>
        <w:gridCol w:w="3937"/>
        <w:gridCol w:w="1410"/>
        <w:gridCol w:w="1560"/>
        <w:gridCol w:w="1575"/>
        <w:gridCol w:w="705"/>
      </w:tblGrid>
      <w:tr>
        <w:tblPrEx>
          <w:tblW w:w="9856"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669" w:type="dxa"/>
            <w:tcBorders>
              <w:tl2br w:val="nil"/>
              <w:tr2bl w:val="nil"/>
            </w:tcBorders>
            <w:vAlign w:val="center"/>
          </w:tcPr>
          <w:p/>
        </w:tc>
        <w:tc>
          <w:tcPr>
            <w:tcW w:w="3937" w:type="dxa"/>
            <w:tcBorders>
              <w:tl2br w:val="nil"/>
              <w:tr2bl w:val="nil"/>
            </w:tcBorders>
          </w:tcPr>
          <w:tbl>
            <w:tblPr>
              <w:tblStyle w:val="TableNormal"/>
              <w:tblW w:w="33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11"/>
              <w:gridCol w:w="1866"/>
            </w:tblGrid>
            <w:tr>
              <w:tblPrEx>
                <w:tblW w:w="337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51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一级</w:t>
                  </w:r>
                </w:p>
              </w:tc>
              <w:tc>
                <w:tcPr>
                  <w:tcW w:w="1866"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1级</w:t>
                  </w:r>
                </w:p>
              </w:tc>
            </w:tr>
            <w:tr>
              <w:tblPrEx>
                <w:tblW w:w="3377" w:type="dxa"/>
                <w:tblInd w:w="0" w:type="dxa"/>
                <w:tblLayout w:type="fixed"/>
                <w:tblCellMar>
                  <w:top w:w="0" w:type="dxa"/>
                  <w:left w:w="108" w:type="dxa"/>
                  <w:bottom w:w="0" w:type="dxa"/>
                  <w:right w:w="108" w:type="dxa"/>
                </w:tblCellMar>
              </w:tblPrEx>
              <w:tc>
                <w:tcPr>
                  <w:tcW w:w="151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二级</w:t>
                  </w:r>
                </w:p>
              </w:tc>
              <w:tc>
                <w:tcPr>
                  <w:tcW w:w="1866"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2级</w:t>
                  </w:r>
                </w:p>
              </w:tc>
            </w:tr>
          </w:tbl>
          <w:p>
            <w:pPr>
              <w:adjustRightInd w:val="0"/>
              <w:snapToGrid w:val="0"/>
              <w:spacing w:line="240" w:lineRule="auto"/>
              <w:rPr>
                <w:rFonts w:asciiTheme="minorEastAsia" w:eastAsiaTheme="minorEastAsia" w:hAnsiTheme="minorEastAsia"/>
                <w:color w:val="auto"/>
                <w:szCs w:val="21"/>
                <w:highlight w:val="none"/>
              </w:rPr>
            </w:pPr>
          </w:p>
        </w:tc>
        <w:tc>
          <w:tcPr>
            <w:tcW w:w="1410" w:type="dxa"/>
            <w:tcBorders>
              <w:tl2br w:val="nil"/>
              <w:tr2bl w:val="nil"/>
            </w:tcBorders>
            <w:vAlign w:val="center"/>
          </w:tcPr>
          <w:p/>
        </w:tc>
        <w:tc>
          <w:tcPr>
            <w:tcW w:w="1560" w:type="dxa"/>
            <w:tcBorders>
              <w:tl2br w:val="nil"/>
              <w:tr2bl w:val="nil"/>
            </w:tcBorders>
            <w:vAlign w:val="center"/>
          </w:tcPr>
          <w:p/>
        </w:tc>
        <w:tc>
          <w:tcPr>
            <w:tcW w:w="1575" w:type="dxa"/>
            <w:tcBorders>
              <w:tl2br w:val="nil"/>
              <w:tr2bl w:val="nil"/>
            </w:tcBorders>
            <w:vAlign w:val="center"/>
          </w:tcPr>
          <w:p/>
        </w:tc>
        <w:tc>
          <w:tcPr>
            <w:tcW w:w="705" w:type="dxa"/>
            <w:tcBorders>
              <w:tl2br w:val="nil"/>
              <w:tr2bl w:val="nil"/>
            </w:tcBorders>
            <w:vAlign w:val="center"/>
          </w:tcP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rPr>
              <w:t>1</w:t>
            </w:r>
            <w:r>
              <w:rPr>
                <w:rFonts w:asciiTheme="minorEastAsia" w:eastAsiaTheme="minorEastAsia" w:hAnsiTheme="minorEastAsia" w:hint="eastAsia"/>
                <w:color w:val="auto"/>
                <w:szCs w:val="21"/>
                <w:highlight w:val="none"/>
                <w:lang w:val="en-US" w:eastAsia="zh-CN"/>
              </w:rPr>
              <w:t>3</w:t>
            </w:r>
          </w:p>
        </w:tc>
        <w:tc>
          <w:tcPr>
            <w:tcW w:w="3937" w:type="dxa"/>
            <w:tcBorders>
              <w:tl2br w:val="nil"/>
              <w:tr2bl w:val="nil"/>
            </w:tcBorders>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变电站的抗震设防类别应符合下列规定：</w:t>
            </w:r>
          </w:p>
          <w:tbl>
            <w:tblPr>
              <w:tblStyle w:val="TableNormal"/>
              <w:tblW w:w="357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24"/>
              <w:gridCol w:w="350"/>
              <w:gridCol w:w="605"/>
              <w:gridCol w:w="402"/>
              <w:gridCol w:w="631"/>
              <w:gridCol w:w="767"/>
            </w:tblGrid>
            <w:tr>
              <w:tblPrEx>
                <w:tblW w:w="357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99"/>
              </w:trPr>
              <w:tc>
                <w:tcPr>
                  <w:tcW w:w="824" w:type="dxa"/>
                  <w:vMerge w:val="restart"/>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电压等级</w:t>
                  </w:r>
                </w:p>
              </w:tc>
              <w:tc>
                <w:tcPr>
                  <w:tcW w:w="2755" w:type="dxa"/>
                  <w:gridSpan w:val="5"/>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主要建（构）筑物</w:t>
                  </w:r>
                </w:p>
              </w:tc>
            </w:tr>
            <w:tr>
              <w:tblPrEx>
                <w:tblW w:w="3579" w:type="dxa"/>
                <w:tblInd w:w="0" w:type="dxa"/>
                <w:tblLayout w:type="fixed"/>
                <w:tblCellMar>
                  <w:top w:w="0" w:type="dxa"/>
                  <w:left w:w="108" w:type="dxa"/>
                  <w:bottom w:w="0" w:type="dxa"/>
                  <w:right w:w="108" w:type="dxa"/>
                </w:tblCellMar>
              </w:tblPrEx>
              <w:trPr>
                <w:trHeight w:val="275"/>
              </w:trPr>
              <w:tc>
                <w:tcPr>
                  <w:tcW w:w="824" w:type="dxa"/>
                  <w:vMerge/>
                  <w:vAlign w:val="center"/>
                </w:tcPr>
                <w:p>
                  <w:pPr>
                    <w:adjustRightInd w:val="0"/>
                    <w:snapToGrid w:val="0"/>
                    <w:spacing w:line="240" w:lineRule="auto"/>
                    <w:jc w:val="center"/>
                    <w:rPr>
                      <w:rFonts w:asciiTheme="minorEastAsia" w:eastAsiaTheme="minorEastAsia" w:hAnsiTheme="minorEastAsia"/>
                      <w:color w:val="auto"/>
                      <w:szCs w:val="21"/>
                      <w:highlight w:val="none"/>
                    </w:rPr>
                  </w:pPr>
                </w:p>
              </w:tc>
              <w:tc>
                <w:tcPr>
                  <w:tcW w:w="350"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主控室楼</w:t>
                  </w:r>
                </w:p>
              </w:tc>
              <w:tc>
                <w:tcPr>
                  <w:tcW w:w="605"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屋内配电装置楼</w:t>
                  </w:r>
                  <w:r>
                    <w:rPr>
                      <w:rFonts w:asciiTheme="minorEastAsia" w:eastAsiaTheme="minorEastAsia" w:hAnsiTheme="minorEastAsia" w:hint="eastAsia"/>
                      <w:color w:val="auto"/>
                      <w:szCs w:val="21"/>
                      <w:highlight w:val="none"/>
                      <w:lang w:eastAsia="zh-CN"/>
                    </w:rPr>
                    <w:t>（</w:t>
                  </w:r>
                  <w:r>
                    <w:rPr>
                      <w:rFonts w:asciiTheme="minorEastAsia" w:eastAsiaTheme="minorEastAsia" w:hAnsiTheme="minorEastAsia" w:hint="eastAsia"/>
                      <w:color w:val="auto"/>
                      <w:szCs w:val="21"/>
                      <w:highlight w:val="none"/>
                    </w:rPr>
                    <w:t>室</w:t>
                  </w:r>
                  <w:r>
                    <w:rPr>
                      <w:rFonts w:asciiTheme="minorEastAsia" w:eastAsiaTheme="minorEastAsia" w:hAnsiTheme="minorEastAsia" w:hint="eastAsia"/>
                      <w:color w:val="auto"/>
                      <w:szCs w:val="21"/>
                      <w:highlight w:val="none"/>
                      <w:lang w:eastAsia="zh-CN"/>
                    </w:rPr>
                    <w:t>）</w:t>
                  </w:r>
                </w:p>
              </w:tc>
              <w:tc>
                <w:tcPr>
                  <w:tcW w:w="402"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继电室</w:t>
                  </w:r>
                </w:p>
              </w:tc>
              <w:tc>
                <w:tcPr>
                  <w:tcW w:w="63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屋外配电装置构、支架</w:t>
                  </w:r>
                </w:p>
              </w:tc>
              <w:tc>
                <w:tcPr>
                  <w:tcW w:w="767"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其他主要建</w:t>
                  </w:r>
                  <w:r>
                    <w:rPr>
                      <w:rFonts w:asciiTheme="minorEastAsia" w:eastAsiaTheme="minorEastAsia" w:hAnsiTheme="minorEastAsia" w:hint="eastAsia"/>
                      <w:color w:val="auto"/>
                      <w:szCs w:val="21"/>
                      <w:highlight w:val="none"/>
                      <w:lang w:eastAsia="zh-CN"/>
                    </w:rPr>
                    <w:t>（</w:t>
                  </w:r>
                  <w:r>
                    <w:rPr>
                      <w:rFonts w:asciiTheme="minorEastAsia" w:eastAsiaTheme="minorEastAsia" w:hAnsiTheme="minorEastAsia" w:hint="eastAsia"/>
                      <w:color w:val="auto"/>
                      <w:szCs w:val="21"/>
                      <w:highlight w:val="none"/>
                    </w:rPr>
                    <w:t>构</w:t>
                  </w:r>
                  <w:r>
                    <w:rPr>
                      <w:rFonts w:asciiTheme="minorEastAsia" w:eastAsiaTheme="minorEastAsia" w:hAnsiTheme="minorEastAsia" w:hint="eastAsia"/>
                      <w:color w:val="auto"/>
                      <w:szCs w:val="21"/>
                      <w:highlight w:val="none"/>
                      <w:lang w:eastAsia="zh-CN"/>
                    </w:rPr>
                    <w:t>）</w:t>
                  </w:r>
                  <w:r>
                    <w:rPr>
                      <w:rFonts w:asciiTheme="minorEastAsia" w:eastAsiaTheme="minorEastAsia" w:hAnsiTheme="minorEastAsia" w:hint="eastAsia"/>
                      <w:color w:val="auto"/>
                      <w:szCs w:val="21"/>
                      <w:highlight w:val="none"/>
                    </w:rPr>
                    <w:t>筑物</w:t>
                  </w:r>
                </w:p>
              </w:tc>
            </w:tr>
            <w:tr>
              <w:tblPrEx>
                <w:tblW w:w="3579" w:type="dxa"/>
                <w:tblInd w:w="0" w:type="dxa"/>
                <w:tblLayout w:type="fixed"/>
                <w:tblCellMar>
                  <w:top w:w="0" w:type="dxa"/>
                  <w:left w:w="108" w:type="dxa"/>
                  <w:bottom w:w="0" w:type="dxa"/>
                  <w:right w:w="108" w:type="dxa"/>
                </w:tblCellMar>
              </w:tblPrEx>
              <w:tc>
                <w:tcPr>
                  <w:tcW w:w="824"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snapToGrid w:val="0"/>
                      <w:color w:val="auto"/>
                      <w:kern w:val="0"/>
                      <w:szCs w:val="21"/>
                      <w:highlight w:val="none"/>
                    </w:rPr>
                    <w:t>220kV及以下的变电站</w:t>
                  </w:r>
                </w:p>
              </w:tc>
              <w:tc>
                <w:tcPr>
                  <w:tcW w:w="350"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丙</w:t>
                  </w:r>
                </w:p>
              </w:tc>
              <w:tc>
                <w:tcPr>
                  <w:tcW w:w="605"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丙</w:t>
                  </w:r>
                </w:p>
              </w:tc>
              <w:tc>
                <w:tcPr>
                  <w:tcW w:w="402"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丙</w:t>
                  </w:r>
                </w:p>
              </w:tc>
              <w:tc>
                <w:tcPr>
                  <w:tcW w:w="631"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丙</w:t>
                  </w:r>
                </w:p>
              </w:tc>
              <w:tc>
                <w:tcPr>
                  <w:tcW w:w="767" w:type="dxa"/>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丙</w:t>
                  </w:r>
                </w:p>
              </w:tc>
            </w:tr>
          </w:tbl>
          <w:p>
            <w:pPr>
              <w:adjustRightInd w:val="0"/>
              <w:snapToGrid w:val="0"/>
              <w:spacing w:line="240" w:lineRule="auto"/>
              <w:rPr>
                <w:rFonts w:asciiTheme="minorEastAsia" w:eastAsiaTheme="minorEastAsia" w:hAnsiTheme="minorEastAsia"/>
                <w:color w:val="auto"/>
                <w:szCs w:val="21"/>
                <w:highlight w:val="none"/>
              </w:rPr>
            </w:pP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《风电场工程等级划分及设计安全标准》FD002-2007第8.0.3条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asciiTheme="minorEastAsia" w:eastAsiaTheme="minorEastAsia" w:hAnsiTheme="minorEastAsia" w:hint="eastAsia"/>
                <w:color w:val="auto"/>
                <w:szCs w:val="21"/>
                <w:highlight w:val="none"/>
              </w:rPr>
              <w:t>1</w:t>
            </w:r>
            <w:r>
              <w:rPr>
                <w:rFonts w:asciiTheme="minorEastAsia" w:eastAsiaTheme="minorEastAsia" w:hAnsiTheme="minorEastAsia" w:hint="eastAsia"/>
                <w:color w:val="auto"/>
                <w:szCs w:val="21"/>
                <w:highlight w:val="none"/>
                <w:lang w:val="en-US" w:eastAsia="zh-CN"/>
              </w:rPr>
              <w:t>4</w:t>
            </w:r>
          </w:p>
        </w:tc>
        <w:tc>
          <w:tcPr>
            <w:tcW w:w="3937" w:type="dxa"/>
            <w:tcBorders>
              <w:tl2br w:val="nil"/>
              <w:tr2bl w:val="nil"/>
            </w:tcBorders>
            <w:vAlign w:val="center"/>
          </w:tcPr>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各抗震设防类别建筑物的抗震设计标准，应符合下列要求：</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1、标准设防类建（构）筑物，应按本地区抗震设防烈度确定其抗震措施和地震作用，达到在遭遇高于当地</w:t>
            </w:r>
            <w:r>
              <w:rPr>
                <w:rFonts w:asciiTheme="minorEastAsia" w:eastAsiaTheme="minorEastAsia" w:hAnsiTheme="minorEastAsia" w:hint="eastAsia"/>
                <w:color w:val="auto"/>
                <w:szCs w:val="21"/>
                <w:highlight w:val="none"/>
                <w:lang w:eastAsia="zh-CN"/>
              </w:rPr>
              <w:t>抗震</w:t>
            </w:r>
            <w:r>
              <w:rPr>
                <w:rFonts w:asciiTheme="minorEastAsia" w:eastAsiaTheme="minorEastAsia" w:hAnsiTheme="minorEastAsia" w:hint="eastAsia"/>
                <w:color w:val="auto"/>
                <w:szCs w:val="21"/>
                <w:highlight w:val="none"/>
              </w:rPr>
              <w:t>防烈度的预估罕遇地震影响时不致倒塌或发生危及生命安全的严重破坏的抗震设防目标；</w:t>
            </w:r>
          </w:p>
          <w:p>
            <w:pPr>
              <w:adjustRightInd w:val="0"/>
              <w:snapToGrid w:val="0"/>
              <w:spacing w:line="240" w:lineRule="auto"/>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2、适度设防类建（构）筑物，允许比本地区抗震设防烈度的要求适当降低其抗震措施，但抗震设防烈度为6度时不应降低。一般情况下，仍应按本地区抗震设防烈度确定其地震作用。</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《建筑工程抗震设防分类标准》GB50223-2008第4.0.3条</w:t>
            </w:r>
          </w:p>
        </w:tc>
        <w:tc>
          <w:tcPr>
            <w:tcW w:w="1560" w:type="dxa"/>
            <w:tcBorders>
              <w:tl2br w:val="nil"/>
              <w:tr2bl w:val="nil"/>
            </w:tcBorders>
            <w:vAlign w:val="center"/>
          </w:tcPr>
          <w:p>
            <w:pPr>
              <w:adjustRightInd w:val="0"/>
              <w:snapToGrid w:val="0"/>
              <w:spacing w:line="240" w:lineRule="auto"/>
              <w:jc w:val="left"/>
              <w:rPr>
                <w:rFonts w:asciiTheme="minorEastAsia" w:eastAsiaTheme="minorEastAsia" w:hAnsiTheme="minorEastAsia"/>
                <w:color w:val="auto"/>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default"/>
                <w:color w:val="auto"/>
                <w:szCs w:val="21"/>
                <w:highlight w:val="none"/>
              </w:rPr>
            </w:pPr>
            <w:r>
              <w:rPr>
                <w:rFonts w:asciiTheme="minorEastAsia" w:eastAsiaTheme="minorEastAsia" w:hAnsiTheme="minorEastAsia" w:hint="eastAsia"/>
                <w:color w:val="auto"/>
                <w:szCs w:val="21"/>
                <w:highlight w:val="none"/>
                <w:lang w:val="en-US" w:eastAsia="zh-CN"/>
              </w:rPr>
              <w:t>15</w:t>
            </w:r>
          </w:p>
        </w:tc>
        <w:tc>
          <w:tcPr>
            <w:tcW w:w="3937" w:type="dxa"/>
            <w:tcBorders>
              <w:tl2br w:val="nil"/>
              <w:tr2bl w:val="nil"/>
            </w:tcBorders>
          </w:tcPr>
          <w:p>
            <w:pPr>
              <w:pStyle w:val="PlainText"/>
              <w:adjustRightInd w:val="0"/>
              <w:snapToGrid w:val="0"/>
              <w:spacing w:line="240" w:lineRule="auto"/>
              <w:rPr>
                <w:rFonts w:asciiTheme="minorEastAsia" w:hAnsiTheme="minorEastAsia" w:cs="宋体"/>
                <w:color w:val="auto"/>
                <w:szCs w:val="21"/>
                <w:highlight w:val="none"/>
              </w:rPr>
            </w:pPr>
            <w:r>
              <w:rPr>
                <w:rFonts w:asciiTheme="minorEastAsia" w:hAnsiTheme="minorEastAsia" w:hint="eastAsia"/>
                <w:color w:val="auto"/>
                <w:szCs w:val="21"/>
                <w:highlight w:val="none"/>
              </w:rPr>
              <w:t>蓄电池应装置在单独的室内，如确有困难，应在每组蓄电池之间设耐火时间大于2.0h的防火隔断。蓄电池室门应向外开。</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cs="宋体" w:hint="eastAsia"/>
                <w:color w:val="auto"/>
                <w:szCs w:val="21"/>
                <w:highlight w:val="none"/>
              </w:rPr>
              <w:t>《电力设备典型消防规程》DL5027-2015第10.6.1条3</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s="宋体"/>
                <w:color w:val="auto"/>
                <w:kern w:val="0"/>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r>
        <w:tblPrEx>
          <w:tblW w:w="9856" w:type="dxa"/>
          <w:tblInd w:w="0" w:type="dxa"/>
          <w:tblLayout w:type="fixed"/>
          <w:tblCellMar>
            <w:top w:w="0" w:type="dxa"/>
            <w:left w:w="108" w:type="dxa"/>
            <w:bottom w:w="0" w:type="dxa"/>
            <w:right w:w="108" w:type="dxa"/>
          </w:tblCellMar>
        </w:tblPrEx>
        <w:tc>
          <w:tcPr>
            <w:tcW w:w="669" w:type="dxa"/>
            <w:tcBorders>
              <w:tl2br w:val="nil"/>
              <w:tr2bl w:val="nil"/>
            </w:tcBorders>
            <w:vAlign w:val="center"/>
          </w:tcPr>
          <w:p>
            <w:pPr>
              <w:adjustRightInd w:val="0"/>
              <w:snapToGrid w:val="0"/>
              <w:spacing w:line="240" w:lineRule="auto"/>
              <w:jc w:val="center"/>
              <w:rPr>
                <w:rFonts w:asciiTheme="minorEastAsia" w:eastAsiaTheme="minorEastAsia" w:hAnsiTheme="minorEastAsia" w:hint="default"/>
                <w:color w:val="auto"/>
                <w:szCs w:val="21"/>
                <w:highlight w:val="none"/>
              </w:rPr>
            </w:pPr>
            <w:r>
              <w:rPr>
                <w:rFonts w:asciiTheme="minorEastAsia" w:eastAsiaTheme="minorEastAsia" w:hAnsiTheme="minorEastAsia" w:hint="eastAsia"/>
                <w:color w:val="auto"/>
                <w:szCs w:val="21"/>
                <w:highlight w:val="none"/>
                <w:lang w:val="en-US" w:eastAsia="zh-CN"/>
              </w:rPr>
              <w:t>16</w:t>
            </w:r>
          </w:p>
        </w:tc>
        <w:tc>
          <w:tcPr>
            <w:tcW w:w="3937" w:type="dxa"/>
            <w:tcBorders>
              <w:tl2br w:val="nil"/>
              <w:tr2bl w:val="nil"/>
            </w:tcBorders>
          </w:tcPr>
          <w:p>
            <w:pPr>
              <w:pStyle w:val="PlainText"/>
              <w:adjustRightInd w:val="0"/>
              <w:snapToGrid w:val="0"/>
              <w:spacing w:line="240" w:lineRule="auto"/>
              <w:rPr>
                <w:rFonts w:asciiTheme="minorEastAsia" w:hAnsiTheme="minorEastAsia" w:cs="宋体"/>
                <w:color w:val="auto"/>
                <w:szCs w:val="21"/>
                <w:highlight w:val="none"/>
              </w:rPr>
            </w:pPr>
            <w:r>
              <w:rPr>
                <w:rFonts w:asciiTheme="minorEastAsia" w:hAnsiTheme="minorEastAsia" w:cs="宋体" w:hint="eastAsia"/>
                <w:color w:val="auto"/>
                <w:szCs w:val="21"/>
                <w:highlight w:val="none"/>
              </w:rPr>
              <w:t>室内布置的单台电力电容器油量超过100kg时，应有贮油设施或挡油栏。</w:t>
            </w:r>
          </w:p>
          <w:p>
            <w:pPr>
              <w:pStyle w:val="PlainText"/>
              <w:adjustRightInd w:val="0"/>
              <w:snapToGrid w:val="0"/>
              <w:spacing w:line="240" w:lineRule="auto"/>
              <w:rPr>
                <w:rFonts w:asciiTheme="minorEastAsia" w:hAnsiTheme="minorEastAsia"/>
                <w:color w:val="auto"/>
                <w:szCs w:val="21"/>
                <w:highlight w:val="none"/>
              </w:rPr>
            </w:pPr>
            <w:r>
              <w:rPr>
                <w:rFonts w:asciiTheme="minorEastAsia" w:hAnsiTheme="minorEastAsia" w:cs="宋体" w:hint="eastAsia"/>
                <w:color w:val="auto"/>
                <w:szCs w:val="21"/>
                <w:highlight w:val="none"/>
              </w:rPr>
              <w:t>户外布置的电力电容器与高压电气设备需保持5.0m及以上的距离，防止事故扩大。</w:t>
            </w:r>
          </w:p>
        </w:tc>
        <w:tc>
          <w:tcPr>
            <w:tcW w:w="1410"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color w:val="auto"/>
                <w:szCs w:val="21"/>
                <w:highlight w:val="none"/>
              </w:rPr>
            </w:pPr>
            <w:r>
              <w:rPr>
                <w:rFonts w:asciiTheme="minorEastAsia" w:eastAsiaTheme="minorEastAsia" w:hAnsiTheme="minorEastAsia" w:cs="宋体" w:hint="eastAsia"/>
                <w:color w:val="auto"/>
                <w:szCs w:val="21"/>
                <w:highlight w:val="none"/>
              </w:rPr>
              <w:t>《电力设备典型消防规程》DL5027-2015第10.7.3条</w:t>
            </w:r>
          </w:p>
        </w:tc>
        <w:tc>
          <w:tcPr>
            <w:tcW w:w="1560" w:type="dxa"/>
            <w:tcBorders>
              <w:tl2br w:val="nil"/>
              <w:tr2bl w:val="nil"/>
            </w:tcBorders>
            <w:vAlign w:val="center"/>
          </w:tcPr>
          <w:p>
            <w:pPr>
              <w:adjustRightInd w:val="0"/>
              <w:snapToGrid w:val="0"/>
              <w:spacing w:line="240" w:lineRule="auto"/>
              <w:rPr>
                <w:rFonts w:asciiTheme="minorEastAsia" w:eastAsiaTheme="minorEastAsia" w:hAnsiTheme="minorEastAsia" w:cs="宋体"/>
                <w:color w:val="auto"/>
                <w:kern w:val="0"/>
                <w:szCs w:val="21"/>
                <w:highlight w:val="none"/>
              </w:rPr>
            </w:pPr>
          </w:p>
        </w:tc>
        <w:tc>
          <w:tcPr>
            <w:tcW w:w="1575" w:type="dxa"/>
            <w:tcBorders>
              <w:tl2br w:val="nil"/>
              <w:tr2bl w:val="nil"/>
            </w:tcBorders>
            <w:vAlign w:val="center"/>
          </w:tcPr>
          <w:p>
            <w:pPr>
              <w:adjustRightInd w:val="0"/>
              <w:snapToGrid w:val="0"/>
              <w:spacing w:line="240" w:lineRule="auto"/>
              <w:jc w:val="center"/>
              <w:rPr>
                <w:rFonts w:asciiTheme="minorEastAsia" w:eastAsiaTheme="minorEastAsia" w:hAnsiTheme="minorEastAsia"/>
                <w:color w:val="auto"/>
                <w:szCs w:val="21"/>
                <w:highlight w:val="none"/>
              </w:rPr>
            </w:pPr>
            <w:r>
              <w:rPr>
                <w:rFonts w:asciiTheme="minorEastAsia" w:eastAsiaTheme="minorEastAsia" w:hAnsiTheme="minorEastAsia" w:hint="eastAsia"/>
                <w:color w:val="auto"/>
                <w:szCs w:val="21"/>
                <w:highlight w:val="none"/>
              </w:rPr>
              <w:t>符合</w:t>
            </w:r>
          </w:p>
        </w:tc>
        <w:tc>
          <w:tcPr>
            <w:tcW w:w="705" w:type="dxa"/>
            <w:tcBorders>
              <w:tl2br w:val="nil"/>
              <w:tr2bl w:val="nil"/>
            </w:tcBorders>
            <w:vAlign w:val="center"/>
          </w:tcPr>
          <w:p>
            <w:pPr>
              <w:adjustRightInd w:val="0"/>
              <w:snapToGrid w:val="0"/>
              <w:spacing w:line="240" w:lineRule="auto"/>
              <w:jc w:val="center"/>
              <w:rPr>
                <w:rFonts w:asciiTheme="minorEastAsia" w:eastAsiaTheme="minorEastAsia" w:hAnsiTheme="minorEastAsia" w:hint="eastAsia"/>
                <w:color w:val="auto"/>
                <w:szCs w:val="21"/>
                <w:highlight w:val="none"/>
              </w:rPr>
            </w:pPr>
            <w:r>
              <w:rPr>
                <w:rFonts w:eastAsiaTheme="minorEastAsia" w:hint="eastAsia"/>
                <w:color w:val="auto"/>
                <w:szCs w:val="21"/>
                <w:highlight w:val="none"/>
                <w:lang w:val="en-US" w:eastAsia="zh-CN"/>
              </w:rPr>
              <w:t>/</w:t>
            </w:r>
          </w:p>
        </w:tc>
      </w:tr>
    </w:tbl>
    <w:p>
      <w:pPr>
        <w:keepNext w:val="0"/>
        <w:keepLines w:val="0"/>
        <w:pageBreakBefore w:val="0"/>
        <w:widowControl w:val="0"/>
        <w:kinsoku/>
        <w:wordWrap/>
        <w:overflowPunct/>
        <w:topLinePunct/>
        <w:autoSpaceDE/>
        <w:autoSpaceDN/>
        <w:bidi w:val="0"/>
        <w:adjustRightInd w:val="0"/>
        <w:snapToGrid w:val="0"/>
        <w:spacing w:before="156" w:beforeLines="50" w:after="157" w:afterLines="50" w:line="560" w:lineRule="exact"/>
        <w:jc w:val="center"/>
        <w:textAlignment w:val="auto"/>
        <w:outlineLvl w:val="1"/>
        <w:rPr>
          <w:rFonts w:ascii="楷体" w:eastAsia="楷体" w:hAnsi="楷体" w:hint="eastAsia"/>
          <w:b/>
          <w:bCs/>
          <w:snapToGrid w:val="0"/>
          <w:color w:val="auto"/>
          <w:kern w:val="0"/>
          <w:sz w:val="32"/>
          <w:szCs w:val="32"/>
          <w:highlight w:val="none"/>
          <w:lang w:val="zh-CN"/>
        </w:rPr>
      </w:pPr>
      <w:bookmarkStart w:id="22" w:name="_Toc19821"/>
      <w:bookmarkStart w:id="23" w:name="_Toc26208"/>
      <w:bookmarkStart w:id="24" w:name="_Toc407003131"/>
      <w:bookmarkStart w:id="25" w:name="_Toc416792500"/>
      <w:bookmarkStart w:id="26" w:name="_Toc414285580"/>
      <w:bookmarkStart w:id="27" w:name="_Toc22870"/>
      <w:bookmarkStart w:id="28" w:name="_Toc10342"/>
      <w:r>
        <w:rPr>
          <w:rFonts w:ascii="楷体" w:eastAsia="楷体" w:hAnsi="楷体" w:cs="Times New Roman" w:hint="eastAsia"/>
          <w:b/>
          <w:bCs/>
          <w:snapToGrid w:val="0"/>
          <w:color w:val="auto"/>
          <w:kern w:val="0"/>
          <w:sz w:val="32"/>
          <w:szCs w:val="32"/>
          <w:highlight w:val="none"/>
          <w:lang w:val="en-US" w:eastAsia="zh-CN"/>
        </w:rPr>
        <w:t>1</w:t>
      </w:r>
      <w:r>
        <w:rPr>
          <w:rFonts w:ascii="楷体" w:eastAsia="楷体" w:hAnsi="楷体" w:cs="Times New Roman" w:hint="eastAsia"/>
          <w:b/>
          <w:bCs/>
          <w:snapToGrid w:val="0"/>
          <w:color w:val="auto"/>
          <w:kern w:val="0"/>
          <w:sz w:val="32"/>
          <w:szCs w:val="32"/>
          <w:highlight w:val="none"/>
          <w:lang w:val="zh-CN" w:eastAsia="zh-CN"/>
        </w:rPr>
        <w:t>.</w:t>
      </w:r>
      <w:r>
        <w:rPr>
          <w:rFonts w:ascii="楷体" w:eastAsia="楷体" w:hAnsi="楷体" w:cs="Times New Roman" w:hint="eastAsia"/>
          <w:b/>
          <w:bCs/>
          <w:snapToGrid w:val="0"/>
          <w:color w:val="auto"/>
          <w:kern w:val="0"/>
          <w:sz w:val="32"/>
          <w:szCs w:val="32"/>
          <w:highlight w:val="none"/>
          <w:lang w:val="en-US" w:eastAsia="zh-CN"/>
        </w:rPr>
        <w:t xml:space="preserve">4  </w:t>
      </w:r>
      <w:r>
        <w:rPr>
          <w:rFonts w:ascii="楷体" w:eastAsia="楷体" w:hAnsi="楷体" w:cs="Times New Roman" w:hint="eastAsia"/>
          <w:b/>
          <w:bCs/>
          <w:snapToGrid w:val="0"/>
          <w:color w:val="auto"/>
          <w:kern w:val="0"/>
          <w:sz w:val="32"/>
          <w:szCs w:val="32"/>
          <w:highlight w:val="none"/>
          <w:lang w:val="zh-CN" w:eastAsia="zh-CN"/>
        </w:rPr>
        <w:t>风力发电机组</w:t>
      </w:r>
      <w:bookmarkEnd w:id="22"/>
      <w:bookmarkEnd w:id="23"/>
      <w:bookmarkEnd w:id="24"/>
      <w:bookmarkEnd w:id="25"/>
      <w:bookmarkEnd w:id="26"/>
      <w:bookmarkEnd w:id="27"/>
      <w:bookmarkEnd w:id="28"/>
    </w:p>
    <w:p>
      <w:pPr>
        <w:adjustRightInd w:val="0"/>
        <w:snapToGrid w:val="0"/>
        <w:spacing w:line="560" w:lineRule="exact"/>
        <w:jc w:val="center"/>
        <w:rPr>
          <w:rFonts w:hint="default"/>
          <w:b/>
          <w:bCs/>
          <w:color w:val="auto"/>
          <w:sz w:val="24"/>
          <w:szCs w:val="24"/>
          <w:highlight w:val="none"/>
        </w:rPr>
      </w:pPr>
      <w:r>
        <w:rPr>
          <w:rFonts w:ascii="Times New Roman" w:hAnsi="Times New Roman" w:cs="Times New Roman" w:hint="default"/>
          <w:b/>
          <w:bCs/>
          <w:color w:val="auto"/>
          <w:sz w:val="24"/>
          <w:szCs w:val="24"/>
          <w:highlight w:val="none"/>
        </w:rPr>
        <w:t>风力发电机组安全检查表</w:t>
      </w:r>
    </w:p>
    <w:tbl>
      <w:tblPr>
        <w:tblStyle w:val="TableNormal"/>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14"/>
        <w:gridCol w:w="2869"/>
        <w:gridCol w:w="1935"/>
        <w:gridCol w:w="2055"/>
        <w:gridCol w:w="715"/>
        <w:gridCol w:w="860"/>
        <w:gridCol w:w="708"/>
      </w:tblGrid>
      <w:tr>
        <w:tblPrEx>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425"/>
          <w:jc w:val="center"/>
        </w:trPr>
        <w:tc>
          <w:tcPr>
            <w:tcW w:w="715" w:type="dxa"/>
            <w:vMerge w:val="restart"/>
            <w:tcBorders>
              <w:tl2br w:val="nil"/>
              <w:tr2bl w:val="nil"/>
            </w:tcBorders>
            <w:noWrap/>
            <w:vAlign w:val="center"/>
          </w:tcPr>
          <w:p>
            <w:pPr>
              <w:spacing w:line="240" w:lineRule="auto"/>
              <w:jc w:val="center"/>
              <w:rPr>
                <w:rFonts w:ascii="宋体" w:hAnsi="宋体" w:cs="宋体"/>
                <w:b/>
                <w:bCs/>
                <w:snapToGrid w:val="0"/>
                <w:color w:val="auto"/>
                <w:kern w:val="0"/>
                <w:szCs w:val="21"/>
                <w:highlight w:val="none"/>
                <w:lang w:val="en-GB"/>
              </w:rPr>
            </w:pPr>
            <w:r>
              <w:rPr>
                <w:rFonts w:ascii="宋体" w:eastAsia="宋体" w:hAnsi="宋体" w:cs="宋体" w:hint="eastAsia"/>
                <w:b/>
                <w:bCs/>
                <w:color w:val="auto"/>
                <w:szCs w:val="21"/>
                <w:highlight w:val="none"/>
              </w:rPr>
              <w:t>序号</w:t>
            </w:r>
          </w:p>
        </w:tc>
        <w:tc>
          <w:tcPr>
            <w:tcW w:w="2869" w:type="dxa"/>
            <w:vMerge w:val="restart"/>
            <w:tcBorders>
              <w:tl2br w:val="nil"/>
              <w:tr2bl w:val="nil"/>
            </w:tcBorders>
            <w:noWrap/>
            <w:vAlign w:val="center"/>
          </w:tcPr>
          <w:p>
            <w:pPr>
              <w:spacing w:line="240" w:lineRule="auto"/>
              <w:jc w:val="center"/>
              <w:rPr>
                <w:rFonts w:ascii="宋体" w:hAnsi="宋体" w:cs="宋体"/>
                <w:b/>
                <w:bCs/>
                <w:snapToGrid w:val="0"/>
                <w:color w:val="auto"/>
                <w:kern w:val="0"/>
                <w:szCs w:val="21"/>
                <w:highlight w:val="none"/>
                <w:lang w:val="en-GB"/>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项目和内容</w:t>
            </w:r>
          </w:p>
        </w:tc>
        <w:tc>
          <w:tcPr>
            <w:tcW w:w="1935" w:type="dxa"/>
            <w:vMerge w:val="restart"/>
            <w:tcBorders>
              <w:tl2br w:val="nil"/>
              <w:tr2bl w:val="nil"/>
            </w:tcBorders>
            <w:noWrap/>
            <w:vAlign w:val="center"/>
          </w:tcPr>
          <w:p>
            <w:pPr>
              <w:spacing w:line="240" w:lineRule="auto"/>
              <w:jc w:val="center"/>
              <w:rPr>
                <w:rFonts w:ascii="宋体" w:hAnsi="宋体" w:cs="宋体"/>
                <w:b/>
                <w:bCs/>
                <w:snapToGrid w:val="0"/>
                <w:color w:val="auto"/>
                <w:kern w:val="0"/>
                <w:szCs w:val="21"/>
                <w:highlight w:val="none"/>
                <w:lang w:val="en-GB"/>
              </w:rPr>
            </w:pPr>
            <w:r>
              <w:rPr>
                <w:rFonts w:ascii="宋体" w:eastAsia="宋体" w:hAnsi="宋体" w:cs="宋体" w:hint="eastAsia"/>
                <w:b/>
                <w:bCs/>
                <w:color w:val="auto"/>
                <w:szCs w:val="21"/>
                <w:highlight w:val="none"/>
                <w:lang w:val="en-US" w:eastAsia="zh-CN"/>
              </w:rPr>
              <w:t>标准</w:t>
            </w:r>
            <w:r>
              <w:rPr>
                <w:rFonts w:ascii="宋体" w:eastAsia="宋体" w:hAnsi="宋体" w:cs="宋体" w:hint="eastAsia"/>
                <w:b/>
                <w:bCs/>
                <w:color w:val="auto"/>
                <w:szCs w:val="21"/>
                <w:highlight w:val="none"/>
              </w:rPr>
              <w:t>依据</w:t>
            </w:r>
          </w:p>
        </w:tc>
        <w:tc>
          <w:tcPr>
            <w:tcW w:w="2055" w:type="dxa"/>
            <w:vMerge w:val="restart"/>
            <w:tcBorders>
              <w:tl2br w:val="nil"/>
              <w:tr2bl w:val="nil"/>
            </w:tcBorders>
            <w:noWrap/>
            <w:vAlign w:val="center"/>
          </w:tcPr>
          <w:p>
            <w:pPr>
              <w:spacing w:line="240" w:lineRule="auto"/>
              <w:jc w:val="center"/>
              <w:rPr>
                <w:rFonts w:ascii="宋体" w:hAnsi="宋体" w:cs="宋体"/>
                <w:b/>
                <w:bCs/>
                <w:snapToGrid w:val="0"/>
                <w:color w:val="auto"/>
                <w:kern w:val="0"/>
                <w:szCs w:val="21"/>
                <w:highlight w:val="none"/>
                <w:lang w:val="en-GB"/>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记录</w:t>
            </w:r>
          </w:p>
        </w:tc>
        <w:tc>
          <w:tcPr>
            <w:tcW w:w="1575" w:type="dxa"/>
            <w:gridSpan w:val="2"/>
            <w:tcBorders>
              <w:tl2br w:val="nil"/>
              <w:tr2bl w:val="nil"/>
            </w:tcBorders>
            <w:noWrap/>
            <w:vAlign w:val="center"/>
          </w:tcPr>
          <w:p>
            <w:pPr>
              <w:spacing w:line="240" w:lineRule="auto"/>
              <w:jc w:val="center"/>
              <w:rPr>
                <w:rFonts w:ascii="宋体" w:hAnsi="宋体" w:cs="宋体"/>
                <w:b/>
                <w:bCs/>
                <w:snapToGrid w:val="0"/>
                <w:color w:val="auto"/>
                <w:kern w:val="0"/>
                <w:szCs w:val="21"/>
                <w:highlight w:val="none"/>
                <w:lang w:val="en-GB"/>
              </w:rPr>
            </w:pPr>
            <w:r>
              <w:rPr>
                <w:rFonts w:ascii="宋体" w:eastAsia="宋体" w:hAnsi="宋体" w:cs="宋体" w:hint="eastAsia"/>
                <w:b/>
                <w:bCs/>
                <w:color w:val="auto"/>
                <w:szCs w:val="21"/>
                <w:highlight w:val="none"/>
                <w:lang w:val="en-US" w:eastAsia="zh-CN"/>
              </w:rPr>
              <w:t>检查结果</w:t>
            </w:r>
          </w:p>
        </w:tc>
        <w:tc>
          <w:tcPr>
            <w:tcW w:w="708" w:type="dxa"/>
            <w:vMerge w:val="restart"/>
            <w:tcBorders>
              <w:tl2br w:val="nil"/>
              <w:tr2bl w:val="nil"/>
            </w:tcBorders>
            <w:noWrap/>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改进</w:t>
            </w:r>
          </w:p>
          <w:p>
            <w:pPr>
              <w:spacing w:line="240" w:lineRule="auto"/>
              <w:jc w:val="center"/>
              <w:rPr>
                <w:rFonts w:ascii="宋体" w:hAnsi="宋体" w:cs="宋体" w:hint="eastAsia"/>
                <w:b/>
                <w:bCs/>
                <w:snapToGrid w:val="0"/>
                <w:color w:val="auto"/>
                <w:kern w:val="0"/>
                <w:szCs w:val="21"/>
                <w:highlight w:val="none"/>
              </w:rPr>
            </w:pPr>
            <w:r>
              <w:rPr>
                <w:rFonts w:ascii="宋体" w:eastAsia="宋体" w:hAnsi="宋体" w:cs="宋体" w:hint="eastAsia"/>
                <w:b/>
                <w:bCs/>
                <w:color w:val="auto"/>
                <w:szCs w:val="21"/>
                <w:highlight w:val="none"/>
                <w:lang w:val="en-US" w:eastAsia="zh-CN"/>
              </w:rPr>
              <w:t>措施</w:t>
            </w:r>
          </w:p>
        </w:tc>
      </w:tr>
      <w:tr>
        <w:tblPrEx>
          <w:tblW w:w="4947" w:type="pct"/>
          <w:jc w:val="center"/>
          <w:tblLayout w:type="fixed"/>
          <w:tblCellMar>
            <w:top w:w="0" w:type="dxa"/>
            <w:left w:w="108" w:type="dxa"/>
            <w:bottom w:w="0" w:type="dxa"/>
            <w:right w:w="108" w:type="dxa"/>
          </w:tblCellMar>
        </w:tblPrEx>
        <w:trPr>
          <w:trHeight w:val="425"/>
          <w:jc w:val="center"/>
        </w:trPr>
        <w:tc>
          <w:tcPr>
            <w:tcW w:w="715" w:type="dxa"/>
            <w:vMerge/>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p>
        </w:tc>
        <w:tc>
          <w:tcPr>
            <w:tcW w:w="2869" w:type="dxa"/>
            <w:vMerge/>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p>
        </w:tc>
        <w:tc>
          <w:tcPr>
            <w:tcW w:w="1935" w:type="dxa"/>
            <w:vMerge/>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p>
        </w:tc>
        <w:tc>
          <w:tcPr>
            <w:tcW w:w="2055" w:type="dxa"/>
            <w:vMerge/>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p>
        </w:tc>
        <w:tc>
          <w:tcPr>
            <w:tcW w:w="715" w:type="dxa"/>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r>
              <w:rPr>
                <w:rFonts w:ascii="宋体" w:hAnsi="宋体" w:cs="宋体" w:hint="eastAsia"/>
                <w:b/>
                <w:bCs/>
                <w:snapToGrid w:val="0"/>
                <w:color w:val="auto"/>
                <w:kern w:val="0"/>
                <w:szCs w:val="21"/>
                <w:highlight w:val="none"/>
                <w:lang w:val="en-US" w:eastAsia="zh-CN"/>
              </w:rPr>
              <w:t>符合</w:t>
            </w:r>
          </w:p>
        </w:tc>
        <w:tc>
          <w:tcPr>
            <w:tcW w:w="860" w:type="dxa"/>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r>
              <w:rPr>
                <w:rFonts w:ascii="宋体" w:hAnsi="宋体" w:cs="宋体" w:hint="eastAsia"/>
                <w:b/>
                <w:bCs/>
                <w:snapToGrid w:val="0"/>
                <w:color w:val="auto"/>
                <w:kern w:val="0"/>
                <w:szCs w:val="21"/>
                <w:highlight w:val="none"/>
                <w:lang w:val="en-US" w:eastAsia="zh-CN"/>
              </w:rPr>
              <w:t>不符合</w:t>
            </w:r>
          </w:p>
        </w:tc>
        <w:tc>
          <w:tcPr>
            <w:tcW w:w="708" w:type="dxa"/>
            <w:vMerge/>
            <w:tcBorders>
              <w:tl2br w:val="nil"/>
              <w:tr2bl w:val="nil"/>
            </w:tcBorders>
            <w:noWrap/>
            <w:vAlign w:val="center"/>
          </w:tcPr>
          <w:p>
            <w:pPr>
              <w:snapToGrid w:val="0"/>
              <w:spacing w:line="240" w:lineRule="auto"/>
              <w:jc w:val="center"/>
              <w:rPr>
                <w:rFonts w:ascii="宋体" w:hAnsi="宋体" w:cs="宋体" w:hint="eastAsia"/>
                <w:b/>
                <w:bCs/>
                <w:snapToGrid w:val="0"/>
                <w:color w:val="auto"/>
                <w:kern w:val="0"/>
                <w:szCs w:val="21"/>
                <w:highlight w:val="none"/>
              </w:rPr>
            </w:pPr>
          </w:p>
        </w:tc>
      </w:tr>
    </w:tbl>
    <w:p>
      <w:pPr>
        <w:sectPr>
          <w:type w:val="nextPage"/>
          <w:pgSz w:w="11906" w:h="16838"/>
          <w:pgMar w:top="1440" w:right="1080" w:bottom="1440" w:left="1080" w:header="851" w:footer="992" w:gutter="0"/>
          <w:pgNumType w:start="7"/>
          <w:cols w:num="1" w:space="425"/>
          <w:titlePg w:val="0"/>
          <w:docGrid w:type="lines" w:linePitch="312" w:charSpace="0"/>
        </w:sectPr>
      </w:pPr>
    </w:p>
    <w:tbl>
      <w:tblPr>
        <w:tblStyle w:val="TableNormal"/>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14"/>
        <w:gridCol w:w="2869"/>
        <w:gridCol w:w="1935"/>
        <w:gridCol w:w="2055"/>
        <w:gridCol w:w="1575"/>
        <w:gridCol w:w="708"/>
      </w:tblGrid>
      <w:tr>
        <w:tblPrEx>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一</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风电机组及其附属设备</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1</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风电机组及其附属设备均应有设备制造厂的铭牌，应有风电场内唯一的设备名称和设备编号，并标示在明显位置。</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第6.1.1条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2</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机组及部件所有外露部分应涂漆或镀层，涂镀层应表面光滑、牢固和色泽一致。用在风沙低温区或近海盐雾区的机组，其涂层应考虑风沙或盐雾的影响。</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第4.7条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3</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每年在雷雨季节前对避雷系统检测一次。</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《风力发电场安全规程》（DL/T796-2012）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第7.3.6条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4</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接地</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1.风力发电机组接地电阻应满足风机制造厂对设备接地要求。</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2.风力发电机组和变压器组及箱式变压器组使用一个总的接地体时，接地电阻应符合其中最小值的要求。</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3.风力发电机组的变压器组及箱式变压器组周围应设置均压带。</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4.风力发电机组塔架、控制柜、变压器组及箱式变压器组应接地。</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《风力发电场设计技术规范》（DL/T5383-2007）</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第6.5.2条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trHeight w:val="266"/>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二</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塔架和机舱</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5</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塔架应设攀登设施，中间应设休息平台，攀登设施应有可靠的防止坠落的措施，以保证人身安全。</w:t>
            </w:r>
            <w:r>
              <w:rPr>
                <w:rFonts w:ascii="宋体" w:hAnsi="宋体" w:cs="宋体" w:hint="eastAsia"/>
                <w:snapToGrid w:val="0"/>
                <w:color w:val="auto"/>
                <w:kern w:val="0"/>
                <w:szCs w:val="21"/>
                <w:highlight w:val="none"/>
                <w:lang w:eastAsia="zh-CN"/>
              </w:rPr>
              <w:t>机舱</w:t>
            </w:r>
            <w:r>
              <w:rPr>
                <w:rFonts w:ascii="宋体" w:hAnsi="宋体" w:cs="宋体" w:hint="eastAsia"/>
                <w:snapToGrid w:val="0"/>
                <w:color w:val="auto"/>
                <w:kern w:val="0"/>
                <w:szCs w:val="21"/>
                <w:highlight w:val="none"/>
              </w:rPr>
              <w:t>内部应有消音措施，并应有良好的通风条件，塔架和</w:t>
            </w:r>
            <w:r>
              <w:rPr>
                <w:rFonts w:ascii="宋体" w:hAnsi="宋体" w:cs="宋体" w:hint="eastAsia"/>
                <w:snapToGrid w:val="0"/>
                <w:color w:val="auto"/>
                <w:kern w:val="0"/>
                <w:szCs w:val="21"/>
                <w:highlight w:val="none"/>
                <w:lang w:eastAsia="zh-CN"/>
              </w:rPr>
              <w:t>机舱</w:t>
            </w:r>
            <w:r>
              <w:rPr>
                <w:rFonts w:ascii="宋体" w:hAnsi="宋体" w:cs="宋体" w:hint="eastAsia"/>
                <w:snapToGrid w:val="0"/>
                <w:color w:val="auto"/>
                <w:kern w:val="0"/>
                <w:szCs w:val="21"/>
                <w:highlight w:val="none"/>
              </w:rPr>
              <w:t>内部照明设备齐全，亮度满足工作需求。塔架和机舱应满足到防盐雾腐蚀、防沙尘暴的要求，机舱、控制箱和筒式塔架应有防小动物进入的措施。</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第3.1.2条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lang w:val="en-US" w:eastAsia="zh-CN"/>
              </w:rPr>
              <w:t>6</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制动系统</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风电机组至少应具有两种不同原理的能独立有效制动的制动系统。</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第3.1.4条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lang w:val="en-US" w:eastAsia="zh-CN"/>
              </w:rPr>
              <w:t>7</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机组中所有的机械零部件应无损坏、松动现象；在运行或静止时均应无异常响声和振动。</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8"/>
          <w:cols w:num="1" w:space="425"/>
          <w:titlePg w:val="0"/>
          <w:docGrid w:type="lines" w:linePitch="312" w:charSpace="0"/>
        </w:sectPr>
      </w:pPr>
    </w:p>
    <w:tbl>
      <w:tblPr>
        <w:tblStyle w:val="TableNormal"/>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14"/>
        <w:gridCol w:w="2869"/>
        <w:gridCol w:w="1935"/>
        <w:gridCol w:w="2055"/>
        <w:gridCol w:w="1575"/>
        <w:gridCol w:w="708"/>
      </w:tblGrid>
      <w:tr>
        <w:tblPrEx>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tc>
        <w:tc>
          <w:tcPr>
            <w:tcW w:w="2869" w:type="dxa"/>
            <w:tcBorders>
              <w:tl2br w:val="nil"/>
              <w:tr2bl w:val="nil"/>
            </w:tcBorders>
            <w:noWrap/>
            <w:vAlign w:val="center"/>
          </w:tcP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第5.1.2条</w:t>
            </w:r>
          </w:p>
        </w:tc>
        <w:tc>
          <w:tcPr>
            <w:tcW w:w="2055" w:type="dxa"/>
            <w:tcBorders>
              <w:tl2br w:val="nil"/>
              <w:tr2bl w:val="nil"/>
            </w:tcBorders>
            <w:noWrap/>
            <w:vAlign w:val="center"/>
          </w:tcPr>
          <w:p/>
        </w:tc>
        <w:tc>
          <w:tcPr>
            <w:tcW w:w="1575" w:type="dxa"/>
            <w:tcBorders>
              <w:tl2br w:val="nil"/>
              <w:tr2bl w:val="nil"/>
            </w:tcBorders>
            <w:noWrap/>
            <w:vAlign w:val="center"/>
          </w:tcPr>
          <w:p/>
        </w:tc>
        <w:tc>
          <w:tcPr>
            <w:tcW w:w="708" w:type="dxa"/>
            <w:tcBorders>
              <w:tl2br w:val="nil"/>
              <w:tr2bl w:val="nil"/>
            </w:tcBorders>
            <w:noWrap/>
            <w:vAlign w:val="center"/>
          </w:tcPr>
          <w:p/>
        </w:tc>
      </w:tr>
      <w:tr>
        <w:tblPrEx>
          <w:tblW w:w="4947" w:type="pct"/>
          <w:jc w:val="center"/>
          <w:tblLayout w:type="fixed"/>
          <w:tblCellMar>
            <w:top w:w="0" w:type="dxa"/>
            <w:left w:w="108" w:type="dxa"/>
            <w:bottom w:w="0" w:type="dxa"/>
            <w:right w:w="108" w:type="dxa"/>
          </w:tblCellMar>
        </w:tblPrEx>
        <w:trPr>
          <w:trHeight w:val="841"/>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lang w:val="en-US" w:eastAsia="zh-CN"/>
              </w:rPr>
              <w:t>8</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远程通讯装置处于正常状态。</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 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第6.1.3条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lang w:val="en-US" w:eastAsia="zh-CN"/>
              </w:rPr>
              <w:t>9</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监控系统装置自检信息正常，不间断电源（UPS）工作正常。</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 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第6.2.1条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三</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控制系统</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0</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风电机组的控制系统应能监测以下主要数据并设有主要报警信号：</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（1）发电机温度、有功与无功功率、电流、电压、频率、转速、功率因数。</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（2）风轮转速、变桨距角度。</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（3）齿轮箱油位及油温。</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（4）液压装置油位及油压</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（5）风速、风向、气温、气压。</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（6）机舱温度、塔内控制箱温度。</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《风力发电场运行规程》（DL/T666-2012）第3.1.6条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1</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控制系统应能自动、手动调整风轮的方位。</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第5.3.4条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2</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在故障情况下，控制系统应能及时保护停机并显示相应的故障类型及参数。</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第5.3.5条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四</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机械系统</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3</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机组中所有的机械零部件应无损坏、松动现象；在运动或静止时均应无异常响声和振动。</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第5.1.2条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4</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机组在偏航过程中机舱应平稳，无异常响声。</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第5.1.3条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trHeight w:val="142"/>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五</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液压系统</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5</w:t>
            </w:r>
          </w:p>
        </w:tc>
        <w:tc>
          <w:tcPr>
            <w:tcW w:w="2869" w:type="dxa"/>
            <w:tcBorders>
              <w:tl2br w:val="nil"/>
              <w:tr2bl w:val="nil"/>
            </w:tcBorders>
            <w:noWrap/>
            <w:vAlign w:val="center"/>
          </w:tcPr>
          <w:p>
            <w:pPr>
              <w:adjustRightInd w:val="0"/>
              <w:snapToGrid w:val="0"/>
              <w:spacing w:after="0" w:line="240" w:lineRule="auto"/>
              <w:rPr>
                <w:rFonts w:ascii="宋体" w:hAnsi="宋体" w:cs="宋体"/>
                <w:snapToGrid w:val="0"/>
                <w:color w:val="auto"/>
                <w:kern w:val="0"/>
                <w:szCs w:val="21"/>
                <w:highlight w:val="none"/>
              </w:rPr>
            </w:pPr>
          </w:p>
        </w:tc>
        <w:tc>
          <w:tcPr>
            <w:tcW w:w="1935" w:type="dxa"/>
            <w:tcBorders>
              <w:tl2br w:val="nil"/>
              <w:tr2bl w:val="nil"/>
            </w:tcBorders>
            <w:noWrap/>
            <w:vAlign w:val="center"/>
          </w:tcPr>
          <w:p>
            <w:pPr>
              <w:adjustRightInd w:val="0"/>
              <w:snapToGrid w:val="0"/>
              <w:spacing w:after="0"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9"/>
          <w:cols w:num="1" w:space="425"/>
          <w:titlePg w:val="0"/>
          <w:docGrid w:type="lines" w:linePitch="312" w:charSpace="0"/>
        </w:sectPr>
      </w:pPr>
    </w:p>
    <w:tbl>
      <w:tblPr>
        <w:tblStyle w:val="TableNormal"/>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14"/>
        <w:gridCol w:w="2869"/>
        <w:gridCol w:w="1935"/>
        <w:gridCol w:w="2055"/>
        <w:gridCol w:w="1575"/>
        <w:gridCol w:w="708"/>
      </w:tblGrid>
      <w:tr>
        <w:tblPrEx>
          <w:tblW w:w="494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tc>
        <w:tc>
          <w:tcPr>
            <w:tcW w:w="2869" w:type="dxa"/>
            <w:tcBorders>
              <w:tl2br w:val="nil"/>
              <w:tr2bl w:val="nil"/>
            </w:tcBorders>
            <w:noWrap/>
            <w:vAlign w:val="center"/>
          </w:tcPr>
          <w:p>
            <w:pPr>
              <w:adjustRightInd w:val="0"/>
              <w:snapToGrid w:val="0"/>
              <w:spacing w:before="0"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液压系统应无漏油现象，自动补压次数应不大于2次/min。</w:t>
            </w:r>
          </w:p>
        </w:tc>
        <w:tc>
          <w:tcPr>
            <w:tcW w:w="1935" w:type="dxa"/>
            <w:tcBorders>
              <w:tl2br w:val="nil"/>
              <w:tr2bl w:val="nil"/>
            </w:tcBorders>
            <w:noWrap/>
            <w:vAlign w:val="center"/>
          </w:tcPr>
          <w:p>
            <w:pPr>
              <w:adjustRightInd w:val="0"/>
              <w:snapToGrid w:val="0"/>
              <w:spacing w:before="0"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 xml:space="preserve">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第5.2.2条</w:t>
            </w:r>
          </w:p>
        </w:tc>
        <w:tc>
          <w:tcPr>
            <w:tcW w:w="2055" w:type="dxa"/>
            <w:tcBorders>
              <w:tl2br w:val="nil"/>
              <w:tr2bl w:val="nil"/>
            </w:tcBorders>
            <w:noWrap/>
            <w:vAlign w:val="center"/>
          </w:tcPr>
          <w:p/>
        </w:tc>
        <w:tc>
          <w:tcPr>
            <w:tcW w:w="1575" w:type="dxa"/>
            <w:tcBorders>
              <w:tl2br w:val="nil"/>
              <w:tr2bl w:val="nil"/>
            </w:tcBorders>
            <w:noWrap/>
            <w:vAlign w:val="center"/>
          </w:tcPr>
          <w:p/>
        </w:tc>
        <w:tc>
          <w:tcPr>
            <w:tcW w:w="708" w:type="dxa"/>
            <w:tcBorders>
              <w:tl2br w:val="nil"/>
              <w:tr2bl w:val="nil"/>
            </w:tcBorders>
            <w:noWrap/>
            <w:vAlign w:val="center"/>
          </w:tcP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lang w:val="en-US" w:eastAsia="zh-CN"/>
              </w:rPr>
              <w:t>16</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停机、自检、启动、并网运行、制动过程中，液压系统的动作应及时、准确。</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 第1部分：通用技术条件》（GB/T19960.1-2005）</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第5.2.3条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六</w:t>
            </w:r>
          </w:p>
        </w:tc>
        <w:tc>
          <w:tcPr>
            <w:tcW w:w="8434" w:type="dxa"/>
            <w:gridSpan w:val="4"/>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其他</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7</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每半年对塔架内安全钢丝绳、爬梯、工作平台、门防风挂钩检查一次。</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《风力发电场安全规程》（DL/T796-2012）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第7.3.6条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1</w:t>
            </w:r>
            <w:r>
              <w:rPr>
                <w:rFonts w:ascii="宋体" w:hAnsi="宋体" w:cs="宋体" w:hint="eastAsia"/>
                <w:snapToGrid w:val="0"/>
                <w:color w:val="auto"/>
                <w:kern w:val="0"/>
                <w:szCs w:val="21"/>
                <w:highlight w:val="none"/>
                <w:lang w:val="en-US" w:eastAsia="zh-CN"/>
              </w:rPr>
              <w:t>8</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风电机组的巡视应遵照DL/T796的规定组织实施。</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《风力发电场运行规程》（DL/T666-2012）</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6.1.7.1</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default"/>
                <w:snapToGrid w:val="0"/>
                <w:color w:val="auto"/>
                <w:kern w:val="0"/>
                <w:szCs w:val="21"/>
                <w:highlight w:val="none"/>
              </w:rPr>
            </w:pPr>
            <w:r>
              <w:rPr>
                <w:rFonts w:ascii="宋体" w:hAnsi="宋体" w:cs="宋体" w:hint="eastAsia"/>
                <w:snapToGrid w:val="0"/>
                <w:color w:val="auto"/>
                <w:kern w:val="0"/>
                <w:szCs w:val="21"/>
                <w:highlight w:val="none"/>
                <w:lang w:val="en-US" w:eastAsia="zh-CN"/>
              </w:rPr>
              <w:t>19</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风力发电机组变压器</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1普通变压器线距离风力发电机组的距离满足本规范5.1.5中的规定。箱式变压器组距离风力发电机组不小于10m。</w:t>
            </w:r>
          </w:p>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2普通变压器组周围应设安全围栏和警示牌，防止人员误入带电区域。</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《风力发电场设计技术规范》（DL/T5383-2007）</w:t>
            </w:r>
          </w:p>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第6.4.3条</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7" w:type="pct"/>
          <w:jc w:val="center"/>
          <w:tblLayout w:type="fixed"/>
          <w:tblCellMar>
            <w:top w:w="0" w:type="dxa"/>
            <w:left w:w="108" w:type="dxa"/>
            <w:bottom w:w="0" w:type="dxa"/>
            <w:right w:w="108" w:type="dxa"/>
          </w:tblCellMar>
        </w:tblPrEx>
        <w:trPr>
          <w:jc w:val="center"/>
        </w:trPr>
        <w:tc>
          <w:tcPr>
            <w:tcW w:w="715"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ascii="宋体" w:hAnsi="宋体" w:cs="宋体" w:hint="eastAsia"/>
                <w:snapToGrid w:val="0"/>
                <w:color w:val="auto"/>
                <w:kern w:val="0"/>
                <w:szCs w:val="21"/>
                <w:highlight w:val="none"/>
              </w:rPr>
              <w:t>2</w:t>
            </w:r>
            <w:r>
              <w:rPr>
                <w:rFonts w:ascii="宋体" w:hAnsi="宋体" w:cs="宋体" w:hint="eastAsia"/>
                <w:snapToGrid w:val="0"/>
                <w:color w:val="auto"/>
                <w:kern w:val="0"/>
                <w:szCs w:val="21"/>
                <w:highlight w:val="none"/>
                <w:lang w:val="en-US" w:eastAsia="zh-CN"/>
              </w:rPr>
              <w:t>0</w:t>
            </w:r>
          </w:p>
        </w:tc>
        <w:tc>
          <w:tcPr>
            <w:tcW w:w="2869"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风电企业应选择经挂网试运行且检测合格的风电机型。并网风电机组应具备低电压穿越能力，并具备一定的过电压能力。规划总装机容量百万千瓦以上的风电基地，各风电场应具备一定的动态无功支撑能力。</w:t>
            </w:r>
          </w:p>
        </w:tc>
        <w:tc>
          <w:tcPr>
            <w:tcW w:w="193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《关于加强风电安全工作的意见》（电监安全[2012]16号）（八）</w:t>
            </w:r>
          </w:p>
        </w:tc>
        <w:tc>
          <w:tcPr>
            <w:tcW w:w="2055" w:type="dxa"/>
            <w:tcBorders>
              <w:tl2br w:val="nil"/>
              <w:tr2bl w:val="nil"/>
            </w:tcBorders>
            <w:noWrap/>
            <w:vAlign w:val="center"/>
          </w:tcPr>
          <w:p>
            <w:pPr>
              <w:adjustRightInd w:val="0"/>
              <w:snapToGrid w:val="0"/>
              <w:spacing w:line="240" w:lineRule="auto"/>
              <w:rPr>
                <w:rFonts w:ascii="宋体" w:hAnsi="宋体" w:cs="宋体"/>
                <w:snapToGrid w:val="0"/>
                <w:color w:val="auto"/>
                <w:kern w:val="0"/>
                <w:szCs w:val="21"/>
                <w:highlight w:val="none"/>
              </w:rPr>
            </w:pPr>
          </w:p>
        </w:tc>
        <w:tc>
          <w:tcPr>
            <w:tcW w:w="1575" w:type="dxa"/>
            <w:tcBorders>
              <w:tl2br w:val="nil"/>
              <w:tr2bl w:val="nil"/>
            </w:tcBorders>
            <w:noWrap/>
            <w:vAlign w:val="center"/>
          </w:tcPr>
          <w:p>
            <w:pPr>
              <w:adjustRightInd w:val="0"/>
              <w:snapToGrid w:val="0"/>
              <w:spacing w:line="240" w:lineRule="auto"/>
              <w:jc w:val="center"/>
              <w:rPr>
                <w:rFonts w:ascii="宋体" w:hAnsi="宋体" w:cs="宋体"/>
                <w:snapToGrid w:val="0"/>
                <w:color w:val="auto"/>
                <w:kern w:val="0"/>
                <w:szCs w:val="21"/>
                <w:highlight w:val="none"/>
              </w:rPr>
            </w:pPr>
            <w:r>
              <w:rPr>
                <w:rFonts w:ascii="宋体" w:hAnsi="宋体" w:cs="宋体" w:hint="eastAsia"/>
                <w:snapToGrid w:val="0"/>
                <w:color w:val="auto"/>
                <w:kern w:val="0"/>
                <w:szCs w:val="21"/>
                <w:highlight w:val="none"/>
              </w:rPr>
              <w:t>符合</w:t>
            </w:r>
          </w:p>
        </w:tc>
        <w:tc>
          <w:tcPr>
            <w:tcW w:w="708" w:type="dxa"/>
            <w:tcBorders>
              <w:tl2br w:val="nil"/>
              <w:tr2bl w:val="nil"/>
            </w:tcBorders>
            <w:noWrap/>
            <w:vAlign w:val="center"/>
          </w:tcPr>
          <w:p>
            <w:pPr>
              <w:adjustRightInd w:val="0"/>
              <w:snapToGrid w:val="0"/>
              <w:spacing w:line="240" w:lineRule="auto"/>
              <w:jc w:val="center"/>
              <w:rPr>
                <w:rFonts w:ascii="宋体" w:hAnsi="宋体"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keepNext w:val="0"/>
        <w:keepLines w:val="0"/>
        <w:pageBreakBefore w:val="0"/>
        <w:widowControl w:val="0"/>
        <w:kinsoku/>
        <w:wordWrap/>
        <w:overflowPunct/>
        <w:topLinePunct/>
        <w:autoSpaceDE/>
        <w:autoSpaceDN/>
        <w:bidi w:val="0"/>
        <w:adjustRightInd w:val="0"/>
        <w:snapToGrid w:val="0"/>
        <w:spacing w:before="156" w:beforeLines="50" w:after="157" w:afterLines="50" w:line="560" w:lineRule="exact"/>
        <w:jc w:val="center"/>
        <w:textAlignment w:val="auto"/>
        <w:outlineLvl w:val="1"/>
        <w:rPr>
          <w:rFonts w:ascii="楷体" w:eastAsia="楷体" w:hAnsi="楷体" w:hint="eastAsia"/>
          <w:b/>
          <w:bCs/>
          <w:snapToGrid w:val="0"/>
          <w:color w:val="auto"/>
          <w:kern w:val="0"/>
          <w:sz w:val="32"/>
          <w:szCs w:val="32"/>
          <w:highlight w:val="none"/>
          <w:lang w:val="zh-CN"/>
        </w:rPr>
      </w:pPr>
      <w:bookmarkStart w:id="29" w:name="_Toc29166"/>
      <w:bookmarkStart w:id="30" w:name="_Toc13767"/>
      <w:bookmarkStart w:id="31" w:name="_Toc531"/>
      <w:bookmarkStart w:id="32" w:name="_Toc409451254"/>
      <w:bookmarkStart w:id="33" w:name="_Toc407003132"/>
      <w:bookmarkStart w:id="34" w:name="_Toc414285581"/>
      <w:bookmarkStart w:id="35" w:name="_Toc416792501"/>
      <w:r>
        <w:rPr>
          <w:rFonts w:ascii="楷体" w:eastAsia="楷体" w:hAnsi="楷体" w:cs="Times New Roman" w:hint="eastAsia"/>
          <w:b/>
          <w:bCs/>
          <w:snapToGrid w:val="0"/>
          <w:color w:val="auto"/>
          <w:kern w:val="0"/>
          <w:sz w:val="32"/>
          <w:szCs w:val="32"/>
          <w:highlight w:val="none"/>
          <w:lang w:val="en-US" w:eastAsia="zh-CN"/>
        </w:rPr>
        <w:t>1</w:t>
      </w:r>
      <w:r>
        <w:rPr>
          <w:rFonts w:ascii="楷体" w:eastAsia="楷体" w:hAnsi="楷体" w:cs="Times New Roman" w:hint="eastAsia"/>
          <w:b/>
          <w:bCs/>
          <w:snapToGrid w:val="0"/>
          <w:color w:val="auto"/>
          <w:kern w:val="0"/>
          <w:sz w:val="32"/>
          <w:szCs w:val="32"/>
          <w:highlight w:val="none"/>
          <w:lang w:val="zh-CN" w:eastAsia="zh-CN"/>
        </w:rPr>
        <w:t>.</w:t>
      </w:r>
      <w:r>
        <w:rPr>
          <w:rFonts w:ascii="楷体" w:eastAsia="楷体" w:hAnsi="楷体" w:cs="Times New Roman" w:hint="eastAsia"/>
          <w:b/>
          <w:bCs/>
          <w:snapToGrid w:val="0"/>
          <w:color w:val="auto"/>
          <w:kern w:val="0"/>
          <w:sz w:val="32"/>
          <w:szCs w:val="32"/>
          <w:highlight w:val="none"/>
          <w:lang w:val="en-US" w:eastAsia="zh-CN"/>
        </w:rPr>
        <w:t>5  风电场</w:t>
      </w:r>
      <w:r>
        <w:rPr>
          <w:rFonts w:ascii="楷体" w:eastAsia="楷体" w:hAnsi="楷体" w:cs="Times New Roman" w:hint="eastAsia"/>
          <w:b/>
          <w:bCs/>
          <w:snapToGrid w:val="0"/>
          <w:color w:val="auto"/>
          <w:kern w:val="0"/>
          <w:sz w:val="32"/>
          <w:szCs w:val="32"/>
          <w:highlight w:val="none"/>
          <w:lang w:val="zh-CN" w:eastAsia="zh-CN"/>
        </w:rPr>
        <w:t>电气设备及保护系统</w:t>
      </w:r>
      <w:bookmarkEnd w:id="29"/>
      <w:bookmarkEnd w:id="30"/>
      <w:bookmarkEnd w:id="31"/>
    </w:p>
    <w:bookmarkEnd w:id="32"/>
    <w:bookmarkEnd w:id="33"/>
    <w:bookmarkEnd w:id="34"/>
    <w:bookmarkEnd w:id="35"/>
    <w:p>
      <w:pPr>
        <w:spacing w:line="560" w:lineRule="exact"/>
        <w:jc w:val="center"/>
        <w:rPr>
          <w:rFonts w:eastAsiaTheme="minorEastAsia" w:hint="default"/>
          <w:b/>
          <w:bCs/>
          <w:snapToGrid w:val="0"/>
          <w:color w:val="auto"/>
          <w:kern w:val="0"/>
          <w:sz w:val="24"/>
          <w:szCs w:val="24"/>
          <w:highlight w:val="none"/>
        </w:rPr>
      </w:pPr>
      <w:r>
        <w:rPr>
          <w:rFonts w:ascii="Times New Roman" w:hAnsi="Times New Roman" w:eastAsiaTheme="minorEastAsia" w:cs="Times New Roman" w:hint="default"/>
          <w:b/>
          <w:bCs/>
          <w:snapToGrid w:val="0"/>
          <w:color w:val="auto"/>
          <w:kern w:val="0"/>
          <w:sz w:val="24"/>
          <w:szCs w:val="24"/>
          <w:highlight w:val="none"/>
        </w:rPr>
        <w:t>风力发电场电气设备及系统安全检查表</w:t>
      </w: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720"/>
        <w:gridCol w:w="89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vMerge w:val="restart"/>
            <w:tcBorders>
              <w:tl2br w:val="nil"/>
              <w:tr2bl w:val="nil"/>
            </w:tcBorders>
            <w:vAlign w:val="center"/>
          </w:tcPr>
          <w:p>
            <w:pPr>
              <w:spacing w:line="240" w:lineRule="auto"/>
              <w:jc w:val="center"/>
              <w:rPr>
                <w:rFonts w:asciiTheme="minorEastAsia" w:eastAsiaTheme="minorEastAsia" w:hAnsiTheme="minorEastAsia" w:cs="宋体"/>
                <w:b/>
                <w:bCs/>
                <w:snapToGrid w:val="0"/>
                <w:color w:val="auto"/>
                <w:kern w:val="0"/>
                <w:szCs w:val="21"/>
                <w:highlight w:val="none"/>
              </w:rPr>
            </w:pPr>
            <w:r>
              <w:rPr>
                <w:rFonts w:ascii="宋体" w:eastAsia="宋体" w:hAnsi="宋体" w:cs="宋体" w:hint="eastAsia"/>
                <w:b/>
                <w:bCs/>
                <w:color w:val="auto"/>
                <w:szCs w:val="21"/>
                <w:highlight w:val="none"/>
              </w:rPr>
              <w:t>序号</w:t>
            </w:r>
          </w:p>
        </w:tc>
        <w:tc>
          <w:tcPr>
            <w:tcW w:w="2869" w:type="dxa"/>
            <w:vMerge w:val="restart"/>
            <w:tcBorders>
              <w:tl2br w:val="nil"/>
              <w:tr2bl w:val="nil"/>
            </w:tcBorders>
            <w:vAlign w:val="center"/>
          </w:tcPr>
          <w:p>
            <w:pPr>
              <w:spacing w:line="240" w:lineRule="auto"/>
              <w:jc w:val="center"/>
              <w:rPr>
                <w:rFonts w:asciiTheme="minorEastAsia" w:eastAsiaTheme="minorEastAsia" w:hAnsiTheme="minorEastAsia" w:cs="宋体"/>
                <w:b/>
                <w:bCs/>
                <w:snapToGrid w:val="0"/>
                <w:color w:val="auto"/>
                <w:kern w:val="0"/>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项目和内容</w:t>
            </w:r>
          </w:p>
        </w:tc>
        <w:tc>
          <w:tcPr>
            <w:tcW w:w="1935" w:type="dxa"/>
            <w:vMerge w:val="restart"/>
            <w:tcBorders>
              <w:tl2br w:val="nil"/>
              <w:tr2bl w:val="nil"/>
            </w:tcBorders>
            <w:vAlign w:val="center"/>
          </w:tcPr>
          <w:p>
            <w:pPr>
              <w:spacing w:line="240" w:lineRule="auto"/>
              <w:jc w:val="center"/>
              <w:rPr>
                <w:rFonts w:asciiTheme="minorEastAsia" w:eastAsiaTheme="minorEastAsia" w:hAnsiTheme="minorEastAsia" w:cs="宋体"/>
                <w:b/>
                <w:bCs/>
                <w:snapToGrid w:val="0"/>
                <w:color w:val="auto"/>
                <w:kern w:val="0"/>
                <w:szCs w:val="21"/>
                <w:highlight w:val="none"/>
              </w:rPr>
            </w:pPr>
            <w:r>
              <w:rPr>
                <w:rFonts w:ascii="宋体" w:eastAsia="宋体" w:hAnsi="宋体" w:cs="宋体" w:hint="eastAsia"/>
                <w:b/>
                <w:bCs/>
                <w:color w:val="auto"/>
                <w:szCs w:val="21"/>
                <w:highlight w:val="none"/>
                <w:lang w:val="en-US" w:eastAsia="zh-CN"/>
              </w:rPr>
              <w:t>标准</w:t>
            </w:r>
            <w:r>
              <w:rPr>
                <w:rFonts w:ascii="宋体" w:eastAsia="宋体" w:hAnsi="宋体" w:cs="宋体" w:hint="eastAsia"/>
                <w:b/>
                <w:bCs/>
                <w:color w:val="auto"/>
                <w:szCs w:val="21"/>
                <w:highlight w:val="none"/>
              </w:rPr>
              <w:t>依据</w:t>
            </w:r>
          </w:p>
        </w:tc>
        <w:tc>
          <w:tcPr>
            <w:tcW w:w="1965" w:type="dxa"/>
            <w:vMerge w:val="restart"/>
            <w:tcBorders>
              <w:tl2br w:val="nil"/>
              <w:tr2bl w:val="nil"/>
            </w:tcBorders>
            <w:vAlign w:val="center"/>
          </w:tcPr>
          <w:p>
            <w:pPr>
              <w:spacing w:line="240" w:lineRule="auto"/>
              <w:jc w:val="center"/>
              <w:rPr>
                <w:rFonts w:asciiTheme="minorEastAsia" w:eastAsiaTheme="minorEastAsia" w:hAnsiTheme="minorEastAsia" w:cs="宋体"/>
                <w:b/>
                <w:bCs/>
                <w:snapToGrid w:val="0"/>
                <w:color w:val="auto"/>
                <w:kern w:val="0"/>
                <w:szCs w:val="21"/>
                <w:highlight w:val="none"/>
              </w:rPr>
            </w:pPr>
            <w:r>
              <w:rPr>
                <w:rFonts w:ascii="宋体" w:eastAsia="宋体" w:hAnsi="宋体" w:cs="宋体" w:hint="eastAsia"/>
                <w:b/>
                <w:bCs/>
                <w:color w:val="auto"/>
                <w:szCs w:val="21"/>
                <w:highlight w:val="none"/>
              </w:rPr>
              <w:t>检查</w:t>
            </w:r>
            <w:r>
              <w:rPr>
                <w:rFonts w:ascii="宋体" w:eastAsia="宋体" w:hAnsi="宋体" w:cs="宋体" w:hint="eastAsia"/>
                <w:b/>
                <w:bCs/>
                <w:color w:val="auto"/>
                <w:szCs w:val="21"/>
                <w:highlight w:val="none"/>
                <w:lang w:val="en-US" w:eastAsia="zh-CN"/>
              </w:rPr>
              <w:t>记录</w:t>
            </w:r>
          </w:p>
        </w:tc>
        <w:tc>
          <w:tcPr>
            <w:tcW w:w="1612" w:type="dxa"/>
            <w:gridSpan w:val="2"/>
            <w:tcBorders>
              <w:tl2br w:val="nil"/>
              <w:tr2bl w:val="nil"/>
            </w:tcBorders>
            <w:vAlign w:val="center"/>
          </w:tcPr>
          <w:p>
            <w:pPr>
              <w:spacing w:line="240" w:lineRule="auto"/>
              <w:jc w:val="center"/>
              <w:rPr>
                <w:rFonts w:asciiTheme="minorEastAsia" w:eastAsiaTheme="minorEastAsia" w:hAnsiTheme="minorEastAsia" w:cs="宋体"/>
                <w:b/>
                <w:bCs/>
                <w:snapToGrid w:val="0"/>
                <w:color w:val="auto"/>
                <w:kern w:val="0"/>
                <w:szCs w:val="21"/>
                <w:highlight w:val="none"/>
              </w:rPr>
            </w:pPr>
            <w:r>
              <w:rPr>
                <w:rFonts w:ascii="宋体" w:eastAsia="宋体" w:hAnsi="宋体" w:cs="宋体" w:hint="eastAsia"/>
                <w:b/>
                <w:bCs/>
                <w:color w:val="auto"/>
                <w:szCs w:val="21"/>
                <w:highlight w:val="none"/>
                <w:lang w:val="en-US" w:eastAsia="zh-CN"/>
              </w:rPr>
              <w:t>检查结果</w:t>
            </w:r>
          </w:p>
        </w:tc>
        <w:tc>
          <w:tcPr>
            <w:tcW w:w="761" w:type="dxa"/>
            <w:vMerge w:val="restart"/>
            <w:tcBorders>
              <w:tl2br w:val="nil"/>
              <w:tr2bl w:val="nil"/>
            </w:tcBorders>
            <w:vAlign w:val="center"/>
          </w:tcPr>
          <w:p>
            <w:pPr>
              <w:spacing w:line="240" w:lineRule="auto"/>
              <w:jc w:val="center"/>
              <w:rPr>
                <w:rFonts w:ascii="宋体" w:hAnsi="宋体" w:cs="宋体" w:hint="eastAsia"/>
                <w:b/>
                <w:bCs/>
                <w:color w:val="auto"/>
                <w:szCs w:val="21"/>
                <w:highlight w:val="none"/>
              </w:rPr>
            </w:pPr>
            <w:r>
              <w:rPr>
                <w:rFonts w:ascii="宋体" w:eastAsia="宋体" w:hAnsi="宋体" w:cs="宋体" w:hint="eastAsia"/>
                <w:b/>
                <w:bCs/>
                <w:color w:val="auto"/>
                <w:szCs w:val="21"/>
                <w:highlight w:val="none"/>
                <w:lang w:val="en-US" w:eastAsia="zh-CN"/>
              </w:rPr>
              <w:t>改进</w:t>
            </w:r>
          </w:p>
          <w:p>
            <w:pPr>
              <w:spacing w:line="240" w:lineRule="auto"/>
              <w:jc w:val="center"/>
              <w:rPr>
                <w:rFonts w:asciiTheme="minorEastAsia" w:eastAsiaTheme="minorEastAsia" w:hAnsiTheme="minorEastAsia" w:cs="宋体" w:hint="eastAsia"/>
                <w:b/>
                <w:bCs/>
                <w:snapToGrid w:val="0"/>
                <w:color w:val="auto"/>
                <w:kern w:val="0"/>
                <w:szCs w:val="21"/>
                <w:highlight w:val="none"/>
              </w:rPr>
            </w:pPr>
            <w:r>
              <w:rPr>
                <w:rFonts w:ascii="宋体" w:eastAsia="宋体" w:hAnsi="宋体" w:cs="宋体" w:hint="eastAsia"/>
                <w:b/>
                <w:bCs/>
                <w:color w:val="auto"/>
                <w:szCs w:val="21"/>
                <w:highlight w:val="none"/>
                <w:lang w:val="en-US" w:eastAsia="zh-CN"/>
              </w:rPr>
              <w:t>措施</w:t>
            </w:r>
          </w:p>
        </w:tc>
      </w:tr>
      <w:tr>
        <w:tblPrEx>
          <w:tblW w:w="4942" w:type="pct"/>
          <w:jc w:val="center"/>
          <w:tblLayout w:type="fixed"/>
          <w:tblCellMar>
            <w:top w:w="0" w:type="dxa"/>
            <w:left w:w="108" w:type="dxa"/>
            <w:bottom w:w="0" w:type="dxa"/>
            <w:right w:w="108" w:type="dxa"/>
          </w:tblCellMar>
        </w:tblPrEx>
        <w:trPr>
          <w:jc w:val="center"/>
        </w:trPr>
        <w:tc>
          <w:tcPr>
            <w:tcW w:w="705" w:type="dxa"/>
            <w:vMerge/>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p>
        </w:tc>
        <w:tc>
          <w:tcPr>
            <w:tcW w:w="2869" w:type="dxa"/>
            <w:vMerge/>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p>
        </w:tc>
        <w:tc>
          <w:tcPr>
            <w:tcW w:w="1935" w:type="dxa"/>
            <w:vMerge/>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p>
        </w:tc>
        <w:tc>
          <w:tcPr>
            <w:tcW w:w="1965" w:type="dxa"/>
            <w:vMerge/>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p>
        </w:tc>
        <w:tc>
          <w:tcPr>
            <w:tcW w:w="720" w:type="dxa"/>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r>
              <w:rPr>
                <w:rFonts w:asciiTheme="minorEastAsia" w:eastAsiaTheme="minorEastAsia" w:hAnsiTheme="minorEastAsia" w:cs="宋体" w:hint="eastAsia"/>
                <w:b/>
                <w:bCs/>
                <w:snapToGrid w:val="0"/>
                <w:color w:val="auto"/>
                <w:kern w:val="0"/>
                <w:szCs w:val="21"/>
                <w:highlight w:val="none"/>
                <w:lang w:val="en-US" w:eastAsia="zh-CN"/>
              </w:rPr>
              <w:t>符合</w:t>
            </w:r>
          </w:p>
        </w:tc>
        <w:tc>
          <w:tcPr>
            <w:tcW w:w="892" w:type="dxa"/>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r>
              <w:rPr>
                <w:rFonts w:asciiTheme="minorEastAsia" w:eastAsiaTheme="minorEastAsia" w:hAnsiTheme="minorEastAsia" w:cs="宋体" w:hint="eastAsia"/>
                <w:b/>
                <w:bCs/>
                <w:snapToGrid w:val="0"/>
                <w:color w:val="auto"/>
                <w:kern w:val="0"/>
                <w:szCs w:val="21"/>
                <w:highlight w:val="none"/>
                <w:lang w:val="en-US" w:eastAsia="zh-CN"/>
              </w:rPr>
              <w:t>不符合</w:t>
            </w:r>
          </w:p>
        </w:tc>
        <w:tc>
          <w:tcPr>
            <w:tcW w:w="761" w:type="dxa"/>
            <w:vMerge/>
            <w:tcBorders>
              <w:tl2br w:val="nil"/>
              <w:tr2bl w:val="nil"/>
            </w:tcBorders>
          </w:tcPr>
          <w:p>
            <w:pPr>
              <w:snapToGrid w:val="0"/>
              <w:spacing w:line="320" w:lineRule="exact"/>
              <w:jc w:val="center"/>
              <w:rPr>
                <w:rFonts w:asciiTheme="minorEastAsia" w:eastAsiaTheme="minorEastAsia" w:hAnsiTheme="minorEastAsia" w:cs="宋体" w:hint="eastAsia"/>
                <w:b/>
                <w:bCs/>
                <w:snapToGrid w:val="0"/>
                <w:color w:val="auto"/>
                <w:kern w:val="0"/>
                <w:szCs w:val="21"/>
                <w:highlight w:val="none"/>
              </w:rPr>
            </w:p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tcPr>
          <w:p>
            <w:pPr>
              <w:snapToGrid w:val="0"/>
              <w:spacing w:line="320" w:lineRule="exact"/>
              <w:jc w:val="center"/>
              <w:rPr>
                <w:rFonts w:asciiTheme="minorEastAsia" w:eastAsiaTheme="minorEastAsia" w:hAnsiTheme="minorEastAsia" w:cs="宋体"/>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一</w:t>
            </w:r>
          </w:p>
        </w:tc>
        <w:tc>
          <w:tcPr>
            <w:tcW w:w="8381" w:type="dxa"/>
            <w:gridSpan w:val="5"/>
            <w:tcBorders>
              <w:tl2br w:val="nil"/>
              <w:tr2bl w:val="nil"/>
            </w:tcBorders>
            <w:vAlign w:val="center"/>
          </w:tcPr>
          <w:p>
            <w:pPr>
              <w:snapToGrid w:val="0"/>
              <w:spacing w:line="320" w:lineRule="exact"/>
              <w:jc w:val="center"/>
              <w:rPr>
                <w:rFonts w:asciiTheme="minorEastAsia" w:eastAsiaTheme="minorEastAsia" w:hAnsiTheme="minorEastAsia" w:cs="宋体" w:hint="eastAsia"/>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风力发电机</w:t>
            </w:r>
            <w:r>
              <w:rPr>
                <w:rFonts w:asciiTheme="minorEastAsia" w:eastAsiaTheme="minorEastAsia" w:hAnsiTheme="minorEastAsia" w:cs="宋体" w:hint="eastAsia"/>
                <w:b/>
                <w:snapToGrid w:val="0"/>
                <w:color w:val="auto"/>
                <w:kern w:val="0"/>
                <w:szCs w:val="21"/>
                <w:highlight w:val="none"/>
                <w:lang w:val="en-US" w:eastAsia="zh-CN"/>
              </w:rPr>
              <w:t>组</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b/>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在设计风力电场接线上应满足以下要求：</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《风力发电场设计技术规范》DL/T5383-2007第6.2.1条3</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gridSpan w:val="2"/>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0"/>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1.配电变压器应该能够与电网安全隔离，满足设备的检修需要。</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2.如果是架空线网络，应考虑防雷设施。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3、接线系统应满足设备和安全的要求</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风力发电机组电气设备布置应为运行检修及施工安装人员创造良好的工作环境，场区内的电气设备布置应采取相应的防护措施，符合防触电、防火、防爆、防潮、防尘、防腐、防冻等相关要求。</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《风力发电场设计技术规范》DL/T5383-2007第6.4.1(2</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eastAsia="zh-CN"/>
              </w:rPr>
              <w:t>箱式变压器</w:t>
            </w:r>
            <w:r>
              <w:rPr>
                <w:rFonts w:asciiTheme="minorEastAsia" w:eastAsiaTheme="minorEastAsia" w:hAnsiTheme="minorEastAsia" w:cs="宋体" w:hint="eastAsia"/>
                <w:snapToGrid w:val="0"/>
                <w:color w:val="auto"/>
                <w:kern w:val="0"/>
                <w:szCs w:val="21"/>
                <w:highlight w:val="none"/>
              </w:rPr>
              <w:t>距离风力发电机的距离不应小于10m。</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《风力发电场设计技术规范》DL/T5383-2007第6.4.3条1</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普通变压器周围应设安全围栏和警示牌，防止人员误入带电区域。</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《风力发电场设计技术规范》DL/T5383-2007第6.4.3条2</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风力发电机组的变压器或</w:t>
            </w:r>
            <w:r>
              <w:rPr>
                <w:rFonts w:asciiTheme="minorEastAsia" w:eastAsiaTheme="minorEastAsia" w:hAnsiTheme="minorEastAsia" w:cs="宋体" w:hint="eastAsia"/>
                <w:snapToGrid w:val="0"/>
                <w:color w:val="auto"/>
                <w:kern w:val="0"/>
                <w:szCs w:val="21"/>
                <w:highlight w:val="none"/>
                <w:lang w:eastAsia="zh-CN"/>
              </w:rPr>
              <w:t>箱式变压器</w:t>
            </w:r>
            <w:r>
              <w:rPr>
                <w:rFonts w:asciiTheme="minorEastAsia" w:eastAsiaTheme="minorEastAsia" w:hAnsiTheme="minorEastAsia" w:cs="宋体" w:hint="eastAsia"/>
                <w:snapToGrid w:val="0"/>
                <w:color w:val="auto"/>
                <w:kern w:val="0"/>
                <w:szCs w:val="21"/>
                <w:highlight w:val="none"/>
              </w:rPr>
              <w:t>存在雷电侵入波过电压以及操作过电压的可能，应设避雷器进行保护。</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《风力发电场设计技术规范》DL/T5383-2007第6.5.1条1</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6</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风力发电机组塔架、控制柜、变压器及箱式变压器均应接地。</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《风力发电场设计技术规范》DL/T5383-2007第6.5.2条4</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7</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除了IEC 60364</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所有部分</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的要求外，风力发电机组电气系统还应有适当的装置，以防止因机组内部设备、部件和元件故障或外部电气系统故障致使其处于不安全状态。这些装置的保护功能包括:短路、过流、接地故障、过温和电弧故障。</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《风力发电机组</w:t>
            </w:r>
            <w:r>
              <w:rPr>
                <w:rFonts w:asciiTheme="minorEastAsia" w:eastAsiaTheme="minorEastAsia" w:hAnsiTheme="minorEastAsia" w:cs="宋体" w:hint="eastAsia"/>
                <w:snapToGrid w:val="0"/>
                <w:color w:val="auto"/>
                <w:kern w:val="0"/>
                <w:szCs w:val="21"/>
                <w:highlight w:val="none"/>
                <w:lang w:val="en-US" w:eastAsia="zh-CN"/>
              </w:rPr>
              <w:t>设计</w:t>
            </w:r>
            <w:r>
              <w:rPr>
                <w:rFonts w:asciiTheme="minorEastAsia" w:eastAsiaTheme="minorEastAsia" w:hAnsiTheme="minorEastAsia" w:cs="宋体" w:hint="eastAsia"/>
                <w:snapToGrid w:val="0"/>
                <w:color w:val="auto"/>
                <w:kern w:val="0"/>
                <w:szCs w:val="21"/>
                <w:highlight w:val="none"/>
              </w:rPr>
              <w:t>要求》GB18451.1-20</w:t>
            </w:r>
            <w:r>
              <w:rPr>
                <w:rFonts w:asciiTheme="minorEastAsia" w:eastAsiaTheme="minorEastAsia" w:hAnsiTheme="minorEastAsia" w:cs="宋体" w:hint="eastAsia"/>
                <w:snapToGrid w:val="0"/>
                <w:color w:val="auto"/>
                <w:kern w:val="0"/>
                <w:szCs w:val="21"/>
                <w:highlight w:val="none"/>
                <w:lang w:val="en-US" w:eastAsia="zh-CN"/>
              </w:rPr>
              <w:t>2</w:t>
            </w:r>
            <w:r>
              <w:rPr>
                <w:rFonts w:asciiTheme="minorEastAsia" w:eastAsiaTheme="minorEastAsia" w:hAnsiTheme="minorEastAsia" w:cs="宋体" w:hint="eastAsia"/>
                <w:snapToGrid w:val="0"/>
                <w:color w:val="auto"/>
                <w:kern w:val="0"/>
                <w:szCs w:val="21"/>
                <w:highlight w:val="none"/>
              </w:rPr>
              <w:t>2第10.</w:t>
            </w:r>
            <w:r>
              <w:rPr>
                <w:rFonts w:asciiTheme="minorEastAsia" w:eastAsiaTheme="minorEastAsia" w:hAnsiTheme="minorEastAsia" w:cs="宋体" w:hint="eastAsia"/>
                <w:snapToGrid w:val="0"/>
                <w:color w:val="auto"/>
                <w:kern w:val="0"/>
                <w:szCs w:val="21"/>
                <w:highlight w:val="none"/>
                <w:lang w:val="en-US" w:eastAsia="zh-CN"/>
              </w:rPr>
              <w:t>4</w:t>
            </w:r>
            <w:r>
              <w:rPr>
                <w:rFonts w:asciiTheme="minorEastAsia" w:eastAsiaTheme="minorEastAsia" w:hAnsiTheme="minorEastAsia" w:cs="宋体" w:hint="eastAsia"/>
                <w:snapToGrid w:val="0"/>
                <w:color w:val="auto"/>
                <w:kern w:val="0"/>
                <w:szCs w:val="21"/>
                <w:highlight w:val="none"/>
              </w:rPr>
              <w:t>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8</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应提供一个或多个可锁定断开装置,可将设备与具有危险电压或超过危险能量限值的电源，或可传导危险电乐或能量的电气连接断开</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《风力发电机组</w:t>
            </w:r>
            <w:r>
              <w:rPr>
                <w:rFonts w:asciiTheme="minorEastAsia" w:eastAsiaTheme="minorEastAsia" w:hAnsiTheme="minorEastAsia" w:cs="宋体" w:hint="eastAsia"/>
                <w:snapToGrid w:val="0"/>
                <w:color w:val="auto"/>
                <w:kern w:val="0"/>
                <w:szCs w:val="21"/>
                <w:highlight w:val="none"/>
                <w:lang w:val="en-US" w:eastAsia="zh-CN"/>
              </w:rPr>
              <w:t>设计</w:t>
            </w:r>
            <w:r>
              <w:rPr>
                <w:rFonts w:asciiTheme="minorEastAsia" w:eastAsiaTheme="minorEastAsia" w:hAnsiTheme="minorEastAsia" w:cs="宋体" w:hint="eastAsia"/>
                <w:snapToGrid w:val="0"/>
                <w:color w:val="auto"/>
                <w:kern w:val="0"/>
                <w:szCs w:val="21"/>
                <w:highlight w:val="none"/>
              </w:rPr>
              <w:t>要求》GB18451.1-20</w:t>
            </w:r>
            <w:r>
              <w:rPr>
                <w:rFonts w:asciiTheme="minorEastAsia" w:eastAsiaTheme="minorEastAsia" w:hAnsiTheme="minorEastAsia" w:cs="宋体" w:hint="eastAsia"/>
                <w:snapToGrid w:val="0"/>
                <w:color w:val="auto"/>
                <w:kern w:val="0"/>
                <w:szCs w:val="21"/>
                <w:highlight w:val="none"/>
                <w:lang w:val="en-US" w:eastAsia="zh-CN"/>
              </w:rPr>
              <w:t>2</w:t>
            </w:r>
            <w:r>
              <w:rPr>
                <w:rFonts w:asciiTheme="minorEastAsia" w:eastAsiaTheme="minorEastAsia" w:hAnsiTheme="minorEastAsia" w:cs="宋体" w:hint="eastAsia"/>
                <w:snapToGrid w:val="0"/>
                <w:color w:val="auto"/>
                <w:kern w:val="0"/>
                <w:szCs w:val="21"/>
                <w:highlight w:val="none"/>
              </w:rPr>
              <w:t>2第10.</w:t>
            </w:r>
            <w:r>
              <w:rPr>
                <w:rFonts w:asciiTheme="minorEastAsia" w:eastAsiaTheme="minorEastAsia" w:hAnsiTheme="minorEastAsia" w:cs="宋体" w:hint="eastAsia"/>
                <w:snapToGrid w:val="0"/>
                <w:color w:val="auto"/>
                <w:kern w:val="0"/>
                <w:szCs w:val="21"/>
                <w:highlight w:val="none"/>
                <w:lang w:val="en-US" w:eastAsia="zh-CN"/>
              </w:rPr>
              <w:t>5</w:t>
            </w:r>
            <w:r>
              <w:rPr>
                <w:rFonts w:asciiTheme="minorEastAsia" w:eastAsiaTheme="minorEastAsia" w:hAnsiTheme="minorEastAsia" w:cs="宋体" w:hint="eastAsia"/>
                <w:snapToGrid w:val="0"/>
                <w:color w:val="auto"/>
                <w:kern w:val="0"/>
                <w:szCs w:val="21"/>
                <w:highlight w:val="none"/>
              </w:rPr>
              <w:t>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1"/>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维护过程中，为安全起见有必要使用照明或其他电气设备的情况下，应提供配有独立断开装置的辅助电路。这样，当其他电路断电时,这些电路能够保持供电。</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二</w:t>
            </w:r>
          </w:p>
        </w:tc>
        <w:tc>
          <w:tcPr>
            <w:tcW w:w="8381" w:type="dxa"/>
            <w:gridSpan w:val="4"/>
            <w:tcBorders>
              <w:tl2br w:val="nil"/>
              <w:tr2bl w:val="nil"/>
            </w:tcBorders>
            <w:vAlign w:val="center"/>
          </w:tcPr>
          <w:p>
            <w:pPr>
              <w:snapToGrid w:val="0"/>
              <w:spacing w:line="320" w:lineRule="exact"/>
              <w:jc w:val="center"/>
              <w:rPr>
                <w:rFonts w:asciiTheme="minorEastAsia" w:eastAsiaTheme="minorEastAsia" w:hAnsiTheme="minorEastAsia" w:cs="宋体"/>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变压器</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b/>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9</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箱式变压器以下项目应合格</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eastAsia="zh-CN"/>
              </w:rPr>
              <w:t>箱式变压器</w:t>
            </w:r>
            <w:r>
              <w:rPr>
                <w:rFonts w:asciiTheme="minorEastAsia" w:eastAsiaTheme="minorEastAsia" w:hAnsiTheme="minorEastAsia" w:cs="宋体" w:hint="eastAsia"/>
                <w:snapToGrid w:val="0"/>
                <w:color w:val="auto"/>
                <w:kern w:val="0"/>
                <w:szCs w:val="21"/>
                <w:highlight w:val="none"/>
              </w:rPr>
              <w:t>的电压等级、铭牌出力、回路电阻、油温应符合设计要求。</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2.绕组、套管和绝缘油等试验均应遵照GB50150的规定进行。</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3.部件和零件应完整齐全，压力释放阀、负荷开关、接地开关、低压配电装置、避雷装置等电气和机械性能应良好，无接触不良和卡涩现象。</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4.冷却装置运行正常，散热器及风扇齐全。</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5.主要表计、显示部件完好准确，熔丝保护、防爆装置和信号装置等部件应完好、动作可靠。</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6.一次回路设备绝缘及运行情况良好。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7.变压器本身及周围环境整洁、无渗油，照明良好，标志齐全。</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《风力发电场项目建设工程验收规程》DL/T5191-2004第6.2.2条6</w:t>
            </w:r>
          </w:p>
        </w:tc>
        <w:tc>
          <w:tcPr>
            <w:tcW w:w="1965" w:type="dxa"/>
            <w:tcBorders>
              <w:tl2br w:val="nil"/>
              <w:tr2bl w:val="nil"/>
            </w:tcBorders>
            <w:vAlign w:val="center"/>
          </w:tcPr>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0</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主变压器验收应检查项目：</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1.本体、冷却装置及所有附件应无缺陷，且不渗油。</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2.油漆应完整，相色标志正确。</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3.变压器顶盖上应无遗留杂物，环境清洁无杂物。</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4.事故排油设施应完好，消防设施安全。</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5.储油柜、冷却装置、净油器等油系统上的油门均应打开，且指示正确。</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6.接地引下线及其与主接地网的连接应满足设计要求，接地应可靠。</w:t>
            </w:r>
          </w:p>
          <w:p>
            <w:pPr>
              <w:autoSpaceDE w:val="0"/>
              <w:autoSpaceDN w:val="0"/>
              <w:adjustRightInd w:val="0"/>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《风力发电场项目建设工程验收规程》DL/T5191-2004第6.3.2条2</w:t>
            </w:r>
          </w:p>
        </w:tc>
        <w:tc>
          <w:tcPr>
            <w:tcW w:w="1965" w:type="dxa"/>
            <w:tcBorders>
              <w:tl2br w:val="nil"/>
              <w:tr2bl w:val="nil"/>
            </w:tcBorders>
            <w:vAlign w:val="center"/>
          </w:tcPr>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2"/>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autoSpaceDE w:val="0"/>
              <w:autoSpaceDN w:val="0"/>
              <w:adjustRightInd w:val="0"/>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7.分接头的位置应符合运行要求。有载调压切换装置远方操作应动作可靠，指示位置正确。</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8.变压器的相位及绕组的接线组别应符合并列运行要求。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9.测温装置指示正确，整定值符合要求。</w:t>
            </w:r>
          </w:p>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10.全部电气试验应合格，保护装置整定值符合规定，操作及联动试验正确。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11.冷却装置运行正常，散热装置齐全。</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1</w:t>
            </w:r>
          </w:p>
        </w:tc>
        <w:tc>
          <w:tcPr>
            <w:tcW w:w="2869" w:type="dxa"/>
            <w:tcBorders>
              <w:tl2br w:val="nil"/>
              <w:tr2bl w:val="nil"/>
            </w:tcBorders>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电力变压器的试验项目，应包括下列内容：</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1.绝缘油试验或SF6气体试验；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2.测量绕组连同套管的直流电阻；</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3.检查所有分接头的电压比；</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4.检查变压器的三相接线组别和单相变压器引出线的极性；</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5.测量与铁芯及夹件绝缘电阻；</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6.非纯瓷套管的试验；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7.有载调压切换装置的检查和试验；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8.测量绕组连同套管的绝缘电阻、吸收比或极化指数；</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9.测量绕组连同套管的介质损耗因素（</w:t>
            </w:r>
            <m:oMath>
              <m:func>
                <m:funcPr>
                  <m:ctrlPr>
                    <w:rPr>
                      <w:rFonts w:ascii="Cambria Math" w:eastAsiaTheme="minorEastAsia" w:hAnsiTheme="minorEastAsia" w:cs="宋体" w:hint="eastAsia"/>
                      <w:snapToGrid w:val="0"/>
                      <w:color w:val="auto"/>
                      <w:kern w:val="0"/>
                      <w:szCs w:val="21"/>
                      <w:highlight w:val="none"/>
                    </w:rPr>
                  </m:ctrlPr>
                </m:funcPr>
                <m:fName>
                  <m:ctrlPr>
                    <w:rPr>
                      <w:rFonts w:ascii="Cambria Math" w:eastAsiaTheme="minorEastAsia" w:hAnsiTheme="minorEastAsia" w:cs="宋体" w:hint="eastAsia"/>
                      <w:snapToGrid w:val="0"/>
                      <w:color w:val="auto"/>
                      <w:kern w:val="0"/>
                      <w:szCs w:val="21"/>
                      <w:highlight w:val="none"/>
                    </w:rPr>
                  </m:ctrlPr>
                  <m:r>
                    <m:rPr>
                      <m:sty m:val="p"/>
                    </m:rPr>
                    <w:rPr>
                      <w:rFonts w:ascii="Cambria Math" w:eastAsiaTheme="minorEastAsia" w:hAnsiTheme="minorEastAsia" w:cs="宋体" w:hint="eastAsia"/>
                      <w:snapToGrid w:val="0"/>
                      <w:color w:val="auto"/>
                      <w:kern w:val="0"/>
                      <w:szCs w:val="21"/>
                      <w:highlight w:val="none"/>
                    </w:rPr>
                    <m:t>tan</m:t>
                  </m:r>
                </m:fName>
                <m:e>
                  <m:ctrlPr>
                    <w:rPr>
                      <w:rFonts w:ascii="Cambria Math" w:eastAsiaTheme="minorEastAsia" w:hAnsiTheme="minorEastAsia" w:cs="宋体" w:hint="eastAsia"/>
                      <w:snapToGrid w:val="0"/>
                      <w:color w:val="auto"/>
                      <w:kern w:val="0"/>
                      <w:szCs w:val="21"/>
                      <w:highlight w:val="none"/>
                    </w:rPr>
                  </m:ctrlPr>
                  <m:r>
                    <w:rPr>
                      <w:rFonts w:ascii="Cambria Math" w:hAnsi="Cambria Math" w:eastAsiaTheme="minorEastAsia" w:cs="宋体" w:hint="eastAsia"/>
                      <w:snapToGrid w:val="0"/>
                      <w:color w:val="auto"/>
                      <w:kern w:val="0"/>
                      <w:szCs w:val="21"/>
                      <w:highlight w:val="none"/>
                    </w:rPr>
                    <m:t>δ</m:t>
                  </m:r>
                </m:e>
              </m:func>
            </m:oMath>
            <w:r>
              <w:rPr>
                <w:rFonts w:asciiTheme="minorEastAsia" w:eastAsiaTheme="minorEastAsia" w:hAnsiTheme="minorEastAsia" w:cs="宋体" w:hint="eastAsia"/>
                <w:snapToGrid w:val="0"/>
                <w:color w:val="auto"/>
                <w:kern w:val="0"/>
                <w:szCs w:val="21"/>
                <w:highlight w:val="none"/>
              </w:rPr>
              <w:t>）与电容量；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10.变压器绕组变形试验；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11.绕组连同套管的交流耐压试验；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12.绕组连同套管的长时感应电压试验带局部放电测量；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13.额定电压下的冲击合闸试验；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14.检查相位；</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15.测量噪音。</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《电气装置安装工程电气设备交接试验标准》GB50150-2016第8.0.1条；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2</w:t>
            </w:r>
          </w:p>
        </w:tc>
        <w:tc>
          <w:tcPr>
            <w:tcW w:w="2869" w:type="dxa"/>
            <w:tcBorders>
              <w:tl2br w:val="nil"/>
              <w:tr2bl w:val="nil"/>
            </w:tcBorders>
            <w:vAlign w:val="center"/>
          </w:tcPr>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after="0"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《火力发电厂</w:t>
            </w:r>
            <w:r>
              <w:rPr>
                <w:rFonts w:asciiTheme="minorEastAsia" w:eastAsiaTheme="minorEastAsia" w:hAnsiTheme="minorEastAsia" w:hint="eastAsia"/>
                <w:bCs/>
                <w:snapToGrid w:val="0"/>
                <w:color w:val="auto"/>
                <w:kern w:val="0"/>
                <w:szCs w:val="21"/>
                <w:highlight w:val="none"/>
              </w:rPr>
              <w:t>火力发电厂与变电站设计防火标准</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hint="default"/>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3"/>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油量为2500kg及以上的户外油浸变压器或电抗器与本回路油量为600kg以上且2500kg以下的带油电气设备之间的防火间距不应小于5m。</w:t>
            </w:r>
          </w:p>
        </w:tc>
        <w:tc>
          <w:tcPr>
            <w:tcW w:w="1935" w:type="dxa"/>
            <w:tcBorders>
              <w:tl2br w:val="nil"/>
              <w:tr2bl w:val="nil"/>
            </w:tcBorders>
            <w:vAlign w:val="center"/>
          </w:tcPr>
          <w:p>
            <w:pPr>
              <w:snapToGrid w:val="0"/>
              <w:spacing w:before="0"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》（GB50229-2019）</w:t>
            </w:r>
          </w:p>
          <w:p>
            <w:pPr>
              <w:pStyle w:val="BodyTextFirstIndent2"/>
              <w:snapToGrid w:val="0"/>
              <w:spacing w:after="0" w:line="320" w:lineRule="exact"/>
              <w:ind w:left="0" w:firstLine="0" w:leftChars="0" w:firstLineChars="0"/>
              <w:jc w:val="center"/>
              <w:rPr>
                <w:rFonts w:asciiTheme="minorEastAsia" w:eastAsiaTheme="minorEastAsia" w:hAnsiTheme="minor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w:t>
            </w:r>
            <w:r>
              <w:rPr>
                <w:rFonts w:asciiTheme="minorEastAsia" w:eastAsiaTheme="minorEastAsia" w:hAnsiTheme="minorEastAsia" w:hint="eastAsia"/>
                <w:snapToGrid w:val="0"/>
                <w:color w:val="auto"/>
                <w:kern w:val="0"/>
                <w:szCs w:val="21"/>
                <w:highlight w:val="none"/>
              </w:rPr>
              <w:t>6.7.5</w:t>
            </w:r>
            <w:r>
              <w:rPr>
                <w:rFonts w:asciiTheme="minorEastAsia" w:eastAsiaTheme="minorEastAsia" w:hAnsiTheme="minorEastAsia" w:cs="宋体" w:hint="eastAsia"/>
                <w:snapToGrid w:val="0"/>
                <w:color w:val="auto"/>
                <w:kern w:val="0"/>
                <w:szCs w:val="21"/>
                <w:highlight w:val="none"/>
              </w:rPr>
              <w:t>条</w:t>
            </w: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3</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室外油浸变压器围栏上，应装设“禁止烟火”禁止标志牌和“防火重点部位”文字标志牌。</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《火力发电企业生产安全设施配置》DL/T1123-2009第5.4.2.3条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4</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室外变压器本体醒目位置，应装设设备标志牌。</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《火力发电企业生产安全设施配置》DL/T1123-2009第5.4.2.4条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15</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室外变压器本体爬梯上，应装设“禁止攀登，高压危险”禁止标志牌。</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《火力发电企业生产安全设施配置》DL/T1123-2009第5.4.2.5条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16</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变压器有下列情况之一者应立即停运：</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1.变压器声响明显增大，很不正常，内部有爆裂声；</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2.严重漏油或喷油，使油位下降到低于油位计的指示限度；</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3.套管有严重的破损和放电现象；</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4.变压器冒烟着火；</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5.干式变压器温度突升至120℃。</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《电力变压器运行规程》DL/T572-2010</w:t>
            </w:r>
          </w:p>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第6.1.2条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三</w:t>
            </w:r>
          </w:p>
        </w:tc>
        <w:tc>
          <w:tcPr>
            <w:tcW w:w="8381" w:type="dxa"/>
            <w:gridSpan w:val="4"/>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高低压配电装置</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b/>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w:t>
            </w:r>
            <w:r>
              <w:rPr>
                <w:rFonts w:asciiTheme="minorEastAsia" w:eastAsiaTheme="minorEastAsia" w:hAnsiTheme="minorEastAsia" w:cs="宋体" w:hint="eastAsia"/>
                <w:snapToGrid w:val="0"/>
                <w:color w:val="auto"/>
                <w:kern w:val="0"/>
                <w:szCs w:val="21"/>
                <w:highlight w:val="none"/>
                <w:lang w:val="en-US" w:eastAsia="zh-CN"/>
              </w:rPr>
              <w:t>7</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1.电器外观完好，绝缘器件无裂纹，绝缘电阻值符合要求，绝缘良好；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2.相色正确。电器接零、接地正确；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3.电器排列整齐，连接可靠，接触良好，外表清洁完整；</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4.开关操动机构、传动装置、辅助开关及闭锁装置应安装牢靠，动作灵活可靠，位置指示正确；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5.电抗器支柱完整，无裂纹，支柱绝缘子接地应良好；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6.电容器布置接线正确，端子连接可靠，外壳完好无渗油现象，支架外壳应接地可靠；</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《风力发电场项目建设工程验收规程》DL/T5191-2004第6.3.2条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4"/>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7.油式互感器无渗油，油位正常，互感器外观完整无缺损，相色正确，接地良好；</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18</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断路器在验收时，应进行下列检查：</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1.断路器应固定牢靠，外表应清洁完整；动作性能应符合产品技术文件的要求。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2.螺栓紧固力矩应达到产品技术文件的要求。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3.电气连接应可靠且接触良好。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4.断路器及其操动机构的联动应正常，无卡阻现象；分、合闸指示应正确；辅助开关动作应正确可靠。</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5.密度继电器的报警、闭锁值应符合产品技术文件的要求，电气回路传动应正确。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6、六氟化硫气体压力、泄漏率和含水量应符合现行国家标准《电气装置安装工程电气设备交接试验标准GB50150及产品技术文件的规定。</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7.瓷套应完整无损，表面应清洁。</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8.所有柜、箱防雨防潮性能应良好，本体电缆防护应良好。</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9.接地应良好，接地标识清楚。</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10.交接试验应合格。</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11.设备引下线连接应可靠且不应使设备接线端子承受超过允许的应力。</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12.油漆应完整，相色标志应正确。</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《电气装置安装工程高压电器施工及验收规范》GB50147-2010第4.4.1条；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19</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互感器的试验项目，应包括下列内容：</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1.绝缘电阻的测量；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2.测量35kV及以上电压等级的互感器的介质损耗因素（</w:t>
            </w:r>
            <m:oMath>
              <m:func>
                <m:funcPr>
                  <m:ctrlPr>
                    <w:rPr>
                      <w:rFonts w:ascii="Cambria Math" w:eastAsiaTheme="minorEastAsia" w:hAnsiTheme="minorEastAsia" w:cs="宋体" w:hint="eastAsia"/>
                      <w:snapToGrid w:val="0"/>
                      <w:color w:val="auto"/>
                      <w:kern w:val="0"/>
                      <w:szCs w:val="21"/>
                      <w:highlight w:val="none"/>
                    </w:rPr>
                  </m:ctrlPr>
                </m:funcPr>
                <m:fName>
                  <m:ctrlPr>
                    <w:rPr>
                      <w:rFonts w:ascii="Cambria Math" w:eastAsiaTheme="minorEastAsia" w:hAnsiTheme="minorEastAsia" w:cs="宋体" w:hint="eastAsia"/>
                      <w:snapToGrid w:val="0"/>
                      <w:color w:val="auto"/>
                      <w:kern w:val="0"/>
                      <w:szCs w:val="21"/>
                      <w:highlight w:val="none"/>
                    </w:rPr>
                  </m:ctrlPr>
                  <m:r>
                    <m:rPr>
                      <m:sty m:val="p"/>
                    </m:rPr>
                    <w:rPr>
                      <w:rFonts w:ascii="Cambria Math" w:eastAsiaTheme="minorEastAsia" w:hAnsiTheme="minorEastAsia" w:cs="宋体" w:hint="eastAsia"/>
                      <w:snapToGrid w:val="0"/>
                      <w:color w:val="auto"/>
                      <w:kern w:val="0"/>
                      <w:szCs w:val="21"/>
                      <w:highlight w:val="none"/>
                    </w:rPr>
                    <m:t>tan</m:t>
                  </m:r>
                </m:fName>
                <m:e>
                  <m:ctrlPr>
                    <w:rPr>
                      <w:rFonts w:ascii="Cambria Math" w:eastAsiaTheme="minorEastAsia" w:hAnsiTheme="minorEastAsia" w:cs="宋体" w:hint="eastAsia"/>
                      <w:snapToGrid w:val="0"/>
                      <w:color w:val="auto"/>
                      <w:kern w:val="0"/>
                      <w:szCs w:val="21"/>
                      <w:highlight w:val="none"/>
                    </w:rPr>
                  </m:ctrlPr>
                  <m:r>
                    <w:rPr>
                      <w:rFonts w:ascii="Cambria Math" w:hAnsi="Cambria Math" w:eastAsiaTheme="minorEastAsia" w:cs="宋体" w:hint="eastAsia"/>
                      <w:snapToGrid w:val="0"/>
                      <w:color w:val="auto"/>
                      <w:kern w:val="0"/>
                      <w:szCs w:val="21"/>
                      <w:highlight w:val="none"/>
                    </w:rPr>
                    <m:t>δ</m:t>
                  </m:r>
                </m:e>
              </m:func>
            </m:oMath>
            <w:r>
              <w:rPr>
                <w:rFonts w:asciiTheme="minorEastAsia" w:eastAsiaTheme="minorEastAsia" w:hAnsiTheme="minorEastAsia" w:cs="宋体" w:hint="eastAsia"/>
                <w:snapToGrid w:val="0"/>
                <w:color w:val="auto"/>
                <w:kern w:val="0"/>
                <w:szCs w:val="21"/>
                <w:highlight w:val="none"/>
              </w:rPr>
              <w:t>）及电容量；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3.局部放电试验；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4.交流耐压试验；</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5.绝缘介质性能试验；</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《电气装置安装工程电气设备交接试验标准》GB50150-2016第10.0.1条</w:t>
            </w:r>
          </w:p>
          <w:p>
            <w:pPr>
              <w:snapToGrid w:val="0"/>
              <w:spacing w:line="320" w:lineRule="exact"/>
              <w:jc w:val="center"/>
              <w:rPr>
                <w:rFonts w:asciiTheme="minorEastAsia" w:eastAsiaTheme="minorEastAsia" w:hAnsiTheme="minorEastAsia" w:cs="宋体"/>
                <w:snapToGrid w:val="0"/>
                <w:color w:val="auto"/>
                <w:kern w:val="0"/>
                <w:szCs w:val="21"/>
                <w:highlight w:val="none"/>
              </w:rPr>
            </w:pP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5"/>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6.测量绕组的直流电阻；</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7.检查接线绕组组别和极性；</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8.误差及变比测量；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9.测量电流互感器的励磁特性曲线；</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10.测量电磁式电压互感器的励磁特性；</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11.电容式电压互感器</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CVT</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的检测；</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12.密封性能检查。</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0</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防雷接地装置。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1.整个接地网外露部分的连接应可靠，接地线规格正确，防腐层应完好，标志齐全明显。</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2.避雷针</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罩</w:t>
            </w:r>
            <w:r>
              <w:rPr>
                <w:rFonts w:asciiTheme="minorEastAsia" w:eastAsiaTheme="minorEastAsia" w:hAnsiTheme="minorEastAsia" w:cs="宋体" w:hint="eastAsia"/>
                <w:snapToGrid w:val="0"/>
                <w:color w:val="auto"/>
                <w:kern w:val="0"/>
                <w:szCs w:val="21"/>
                <w:highlight w:val="none"/>
                <w:lang w:eastAsia="zh-CN"/>
              </w:rPr>
              <w:t>）</w:t>
            </w:r>
            <w:r>
              <w:rPr>
                <w:rFonts w:asciiTheme="minorEastAsia" w:eastAsiaTheme="minorEastAsia" w:hAnsiTheme="minorEastAsia" w:cs="宋体" w:hint="eastAsia"/>
                <w:snapToGrid w:val="0"/>
                <w:color w:val="auto"/>
                <w:kern w:val="0"/>
                <w:szCs w:val="21"/>
                <w:highlight w:val="none"/>
              </w:rPr>
              <w:t>的安装位置及高度应符合设计要求。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3.工频接地电阻值及设计要求的其他测试参数应符合设计规定。</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《风力发电场项目建设工程验收规程》DL/T5191—2004第6.3.2条7</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1</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隔离开关、负荷开关及高压熔断器在验收时，应进行下列检查：</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1.操动机构、传动装置、辅助开关及闭锁装置应安装牢固、动作灵活可靠、位置指示正确。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2.合闸时三相不同期值，应符合产品技术文件要求。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3.相间距离及分闸时触头打开角度和距离，应符合产品技术文件要求。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4.触头接触应紧密良好，接触尺寸应符合产品技术文件要求。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5.隔离开关分合闸限位应正确。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6.垂直连杆应无扭曲变形。</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7.螺栓紧固力矩应达到产品技术文件和相关标准要求。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8.合闸直流电阻测试应符合产品技术文件要求。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9.交接试验应合格。</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《电气装置安装工程高压电器施工及验收规范》GB50147-2010第8.3.1条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6"/>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10.隔离开关、接地开关底座及垂直连杆、接地端子及操动机构箱应接地可靠。</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11.油漆应完整、相色标识正确，设备应清洁。</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2</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隔离开关相应技术资料应齐全：</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1.变更设计的证明文件；</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2.制造厂提供的产品说明书、装箱单、试验记录、合格证明文件及安装图纸等技术文件；</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3.检验及质量验收资料；</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4.试验报告；</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5.备品、备件及专用工具及测试仪器清单。</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《电气装置安装工程高压电器施工及验收规范》GB50147-2010第8.3.2条</w:t>
            </w:r>
          </w:p>
        </w:tc>
        <w:tc>
          <w:tcPr>
            <w:tcW w:w="1965" w:type="dxa"/>
            <w:tcBorders>
              <w:tl2br w:val="nil"/>
              <w:tr2bl w:val="nil"/>
            </w:tcBorders>
            <w:vAlign w:val="center"/>
          </w:tcPr>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3</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电气设备和防雷设施的接地装置的试验项目，应包括下列内容：</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1.接地网电气完整性测试；</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2.接地阻抗；</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3.场区地表电位梯度、接触电位差、跨步电压和转移电位测量。</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25.0.2 接地网电气完整性测试，应符合下列规定：</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1.应测量同一接地网的各相邻设备接地地线之间的电气导通情况，以直流电阻值表示；</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2.直流电阻值不宜大于0.05Ω。</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25.0.3 接地阻抗测量，应符合下列规定：</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1.接地阻抗值应符合设计文件规定，当设计文件没有规定时应符合表25.0.3的要求；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2.试验方法可按现行行业标准《接地装置工频特性参数测试导则》DL 475的有关规定执行，试验时应排除与接地网连接的架空地线、电缆的影响；</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3.应在扩建接地网与原接地网连接后进行全场全面测试。</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《电气装置安装工程电气设备交接试验标准》GB50150-2016</w:t>
            </w:r>
          </w:p>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第25.0.1条、第25.0.2条、第25.0.3条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4</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电力系统、装置或设备的下列部分（给定点）应接地：</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snapToGrid w:val="0"/>
              <w:spacing w:after="0" w:line="320" w:lineRule="exact"/>
              <w:jc w:val="center"/>
              <w:rPr>
                <w:rFonts w:asciiTheme="minorEastAsia" w:eastAsiaTheme="minorEastAsia" w:hAnsiTheme="minorEastAsia" w:cs="宋体"/>
                <w:snapToGrid w:val="0"/>
                <w:color w:val="auto"/>
                <w:kern w:val="0"/>
                <w:szCs w:val="21"/>
                <w:highlight w:val="none"/>
              </w:rPr>
            </w:pPr>
          </w:p>
        </w:tc>
        <w:tc>
          <w:tcPr>
            <w:tcW w:w="1965" w:type="dxa"/>
            <w:tcBorders>
              <w:tl2br w:val="nil"/>
              <w:tr2bl w:val="nil"/>
            </w:tcBorders>
            <w:vAlign w:val="center"/>
          </w:tcPr>
          <w:p>
            <w:pPr>
              <w:autoSpaceDE w:val="0"/>
              <w:autoSpaceDN w:val="0"/>
              <w:adjustRightInd w:val="0"/>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7"/>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1.有效接地系统中部分变压器的中性点和有效接地系统中部分变压器、谐振接地、谐振‐低电阻</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接地、低电阻接地以及高电阻接地系统的中性点所接设备的接地端子；</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2.高压并联电抗器中性点接地电抗器的接地端子；</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3.电机、变压器和高压电器等的底座和外壳；</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4.发电机中性点柜的外壳、发电机出线柜、封闭母线的外壳和变压器、开关柜等（配套）的金</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属母线槽等；</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5.气体绝缘金属封闭开关设备的接地端子；</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6.配电、控制和保护用的屏（柜、箱）等的金属框架；</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w:t>
            </w:r>
            <w:r>
              <w:rPr>
                <w:rFonts w:asciiTheme="minorEastAsia" w:eastAsiaTheme="minorEastAsia" w:hAnsiTheme="minorEastAsia" w:cs="宋体" w:hint="eastAsia"/>
                <w:snapToGrid w:val="0"/>
                <w:color w:val="auto"/>
                <w:kern w:val="0"/>
                <w:szCs w:val="21"/>
                <w:highlight w:val="none"/>
                <w:lang w:eastAsia="zh-CN"/>
              </w:rPr>
              <w:t>箱式变压器</w:t>
            </w:r>
            <w:r>
              <w:rPr>
                <w:rFonts w:asciiTheme="minorEastAsia" w:eastAsiaTheme="minorEastAsia" w:hAnsiTheme="minorEastAsia" w:cs="宋体" w:hint="eastAsia"/>
                <w:snapToGrid w:val="0"/>
                <w:color w:val="auto"/>
                <w:kern w:val="0"/>
                <w:szCs w:val="21"/>
                <w:highlight w:val="none"/>
              </w:rPr>
              <w:t>和环网柜的金属箱体等；</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8.发电厂、变电站电缆沟和电缆隧道内，以及地上各种电缆金属支架等；</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9.屋内外配电装置的金属架构和钢筋混凝土架构，以及靠近带电部分的金属围栏和金属门；</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10.电力电缆接线盒、终端盒的外壳，电力电缆的金属护套或屏蔽层，穿线的钢管和电缆桥架</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等；</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11.装有地线的架空线路杆塔；</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12.除沥青地面的居民区外，其他居民区内，不接地、谐振接地、谐振‐低电阻接地和高电阻接</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地系统中无地线架空线路的金属杆塔和钢筋混凝土杆塔；</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13.装在配电线路杆塔上的开关设备、电容器等电气装置；</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14.高压电气装置传动装置；</w:t>
            </w:r>
          </w:p>
        </w:tc>
        <w:tc>
          <w:tcPr>
            <w:tcW w:w="1935" w:type="dxa"/>
            <w:tcBorders>
              <w:tl2br w:val="nil"/>
              <w:tr2bl w:val="nil"/>
            </w:tcBorders>
            <w:vAlign w:val="center"/>
          </w:tcPr>
          <w:p>
            <w:pPr>
              <w:snapToGrid w:val="0"/>
              <w:spacing w:before="0"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《交流电气装置的接地设计规范》GB50065-2011第3.2.1条</w:t>
            </w: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bl>
    <w:p>
      <w:pPr>
        <w:sectPr>
          <w:type w:val="nextPage"/>
          <w:pgSz w:w="11906" w:h="16838"/>
          <w:pgMar w:top="1440" w:right="1080" w:bottom="1440" w:left="1080" w:header="851" w:footer="992" w:gutter="0"/>
          <w:pgNumType w:start="18"/>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15.附属于高压电气装置的互感器的二次绕组和铠装控制电缆的外皮。</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5</w:t>
            </w:r>
          </w:p>
        </w:tc>
        <w:tc>
          <w:tcPr>
            <w:tcW w:w="2869" w:type="dxa"/>
            <w:tcBorders>
              <w:tl2br w:val="nil"/>
              <w:tr2bl w:val="nil"/>
            </w:tcBorders>
            <w:vAlign w:val="center"/>
          </w:tcPr>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附属于高压电气装置和电力生产设施的二次设备等的下列金属部分可不接地：</w:t>
            </w:r>
          </w:p>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1.在木质、沥青等不良导电地面的干燥房间内，交流标称电压380V 及以下、直流标称电压220V</w:t>
            </w:r>
          </w:p>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及以下的电气装置外壳，但当维护人员可能同时触及电气装置外壳和接地物件时除外；</w:t>
            </w:r>
          </w:p>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2.安装在配电屏、控制屏和配电装置上的电测量仪表、继电器和其他低压电器等的外壳，以及</w:t>
            </w:r>
          </w:p>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当发生绝缘损坏时在支持物上不会引起危险电压的绝缘子金属底座等；</w:t>
            </w:r>
          </w:p>
          <w:p>
            <w:pPr>
              <w:autoSpaceDE w:val="0"/>
              <w:autoSpaceDN w:val="0"/>
              <w:adjustRightInd w:val="0"/>
              <w:snapToGrid w:val="0"/>
              <w:spacing w:line="320" w:lineRule="exact"/>
              <w:jc w:val="lef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3.安装在已接地的金属架构上，且保证电气接触良好的设备；</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4.标称电压220V及以下的蓄电池室内的支架；</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《交流电气装置的接地设计规范》GB50065-2011第3.2.2条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w:t>
            </w:r>
            <w:r>
              <w:rPr>
                <w:rFonts w:asciiTheme="minorEastAsia" w:eastAsiaTheme="minorEastAsia" w:hAnsiTheme="minorEastAsia" w:cs="宋体" w:hint="eastAsia"/>
                <w:snapToGrid w:val="0"/>
                <w:color w:val="auto"/>
                <w:kern w:val="0"/>
                <w:szCs w:val="21"/>
                <w:highlight w:val="none"/>
                <w:lang w:val="en-US" w:eastAsia="zh-CN"/>
              </w:rPr>
              <w:t>6</w:t>
            </w:r>
          </w:p>
        </w:tc>
        <w:tc>
          <w:tcPr>
            <w:tcW w:w="2869"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配电室入口醒目位置应配置标明电压等级、编号、名称的建筑物标志牌（直流配电室还应注明电源性质）和“未经许可，不得入内”禁止标志牌。配电室出入口门应向外开启，并选用室内开门不用钥匙的自动门锁。配电室出入口应加装高度不低于400mm防小动物板，需要或特殊情况易于取下。</w:t>
            </w:r>
          </w:p>
        </w:tc>
        <w:tc>
          <w:tcPr>
            <w:tcW w:w="193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《火力发电企业生产安全设施配置》DL/T1123-2009第5.4.1.1条、第5.4.1.2条、第5.4.1.3条</w:t>
            </w:r>
          </w:p>
          <w:p>
            <w:pPr>
              <w:snapToGrid w:val="0"/>
              <w:spacing w:line="320" w:lineRule="exact"/>
              <w:jc w:val="center"/>
              <w:rPr>
                <w:rFonts w:asciiTheme="minorEastAsia" w:eastAsiaTheme="minorEastAsia" w:hAnsiTheme="minorEastAsia" w:cs="宋体"/>
                <w:snapToGrid w:val="0"/>
                <w:color w:val="auto"/>
                <w:kern w:val="0"/>
                <w:szCs w:val="21"/>
                <w:highlight w:val="none"/>
              </w:rPr>
            </w:pP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b/>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四</w:t>
            </w:r>
          </w:p>
        </w:tc>
        <w:tc>
          <w:tcPr>
            <w:tcW w:w="8381" w:type="dxa"/>
            <w:gridSpan w:val="4"/>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b/>
                <w:snapToGrid w:val="0"/>
                <w:color w:val="auto"/>
                <w:kern w:val="0"/>
                <w:szCs w:val="21"/>
                <w:highlight w:val="none"/>
              </w:rPr>
              <w:t>继电保护</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b/>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29</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继电保护二次回路接线应满足以下要求：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1.二次回路接线固定和接线应可靠，漆层完好、清洁整齐；</w:t>
            </w:r>
          </w:p>
          <w:p>
            <w:pPr>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《风力发电场项目建设工程验收规程》DL/T5191-2004第6.3.2条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19"/>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2.电器元件应齐全完好，安装位置正确、接线准确，固定连接可靠，标志齐全清晰，绝缘符合要求；</w:t>
            </w:r>
          </w:p>
          <w:p>
            <w:pPr>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3.所有二次回路应接线准确，连接可靠，标志齐全清晰，绝缘符合要求。</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30</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继电保护和安全自动装置的配置要满足电力网结构和厂站主接线的要求，应优先选用具有成熟运行经验的数字式装置。</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《继电保护和安全自动装置技术规程》GB/T14285-20</w:t>
            </w:r>
            <w:r>
              <w:rPr>
                <w:rFonts w:asciiTheme="minorEastAsia" w:eastAsiaTheme="minorEastAsia" w:hAnsiTheme="minorEastAsia" w:cs="宋体" w:hint="eastAsia"/>
                <w:snapToGrid w:val="0"/>
                <w:color w:val="auto"/>
                <w:kern w:val="0"/>
                <w:szCs w:val="21"/>
                <w:highlight w:val="none"/>
                <w:lang w:val="en-US" w:eastAsia="zh-CN"/>
              </w:rPr>
              <w:t>0</w:t>
            </w:r>
            <w:r>
              <w:rPr>
                <w:rFonts w:asciiTheme="minorEastAsia" w:eastAsiaTheme="minorEastAsia" w:hAnsiTheme="minorEastAsia" w:cs="宋体" w:hint="eastAsia"/>
                <w:snapToGrid w:val="0"/>
                <w:color w:val="auto"/>
                <w:kern w:val="0"/>
                <w:szCs w:val="21"/>
                <w:highlight w:val="none"/>
              </w:rPr>
              <w:t xml:space="preserve">6第3.3条 </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第3.4条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1</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为了分析电力系统事故和安全自动装置在事故过程中的动作情况，</w:t>
            </w:r>
            <w:r>
              <w:rPr>
                <w:rFonts w:asciiTheme="minorEastAsia" w:eastAsiaTheme="minorEastAsia" w:hAnsiTheme="minorEastAsia" w:cs="宋体" w:hint="eastAsia"/>
                <w:snapToGrid w:val="0"/>
                <w:color w:val="auto"/>
                <w:kern w:val="0"/>
                <w:szCs w:val="21"/>
                <w:highlight w:val="none"/>
                <w:lang w:eastAsia="zh-CN"/>
              </w:rPr>
              <w:t>极为迅速</w:t>
            </w:r>
            <w:r>
              <w:rPr>
                <w:rFonts w:asciiTheme="minorEastAsia" w:eastAsiaTheme="minorEastAsia" w:hAnsiTheme="minorEastAsia" w:cs="宋体" w:hint="eastAsia"/>
                <w:snapToGrid w:val="0"/>
                <w:color w:val="auto"/>
                <w:kern w:val="0"/>
                <w:szCs w:val="21"/>
                <w:highlight w:val="none"/>
              </w:rPr>
              <w:t>判定线路故障点的位置，在220kV变电所和110kV重要变电所应装设专用故障记录装置。</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《继电保护和安全自动装置技术规程》GB/T14285-20</w:t>
            </w:r>
            <w:r>
              <w:rPr>
                <w:rFonts w:asciiTheme="minorEastAsia" w:eastAsiaTheme="minorEastAsia" w:hAnsiTheme="minorEastAsia" w:cs="宋体" w:hint="eastAsia"/>
                <w:snapToGrid w:val="0"/>
                <w:color w:val="auto"/>
                <w:kern w:val="0"/>
                <w:szCs w:val="21"/>
                <w:highlight w:val="none"/>
                <w:lang w:val="en-US" w:eastAsia="zh-CN"/>
              </w:rPr>
              <w:t>0</w:t>
            </w:r>
            <w:r>
              <w:rPr>
                <w:rFonts w:asciiTheme="minorEastAsia" w:eastAsiaTheme="minorEastAsia" w:hAnsiTheme="minorEastAsia" w:cs="宋体" w:hint="eastAsia"/>
                <w:snapToGrid w:val="0"/>
                <w:color w:val="auto"/>
                <w:kern w:val="0"/>
                <w:szCs w:val="21"/>
                <w:highlight w:val="none"/>
              </w:rPr>
              <w:t>6第5.8.1条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2</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为使调度端能全面、准确、实时地了解系统事故过程中继电保护装置的动作行为，应逐步建立继电保护及故障信息管理系统。</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继电保护及故障信息管理系统功能要求：</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1.系统能自动直接接收直调厂、站的故障录波信息和继电保护运行信息；</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2.能对直调厂、站的保护装置、故障录波装置进行分类查询、管理和报告提取等操作；</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3.能够进行波形分析、相序相量分析、谐波分析、测距、参数修改等；</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4.利用双端测距软件准确判断故障点，给出巡线范围；</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5.利用录波信息分析电网运行状态及继电保护装置动作行为，提出分析报告；</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6.子站端系统主要是完成数据收集和分类检出等工作，以提供调度端对数据分析的原始数据和事</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件记录量。</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故障信息传送原则要求：</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《继电保护和安全自动装置技术规程》GB/T14285-20</w:t>
            </w:r>
            <w:r>
              <w:rPr>
                <w:rFonts w:asciiTheme="minorEastAsia" w:eastAsiaTheme="minorEastAsia" w:hAnsiTheme="minorEastAsia" w:cs="宋体" w:hint="eastAsia"/>
                <w:snapToGrid w:val="0"/>
                <w:color w:val="auto"/>
                <w:kern w:val="0"/>
                <w:szCs w:val="21"/>
                <w:highlight w:val="none"/>
                <w:lang w:val="en-US" w:eastAsia="zh-CN"/>
              </w:rPr>
              <w:t>0</w:t>
            </w:r>
            <w:r>
              <w:rPr>
                <w:rFonts w:asciiTheme="minorEastAsia" w:eastAsiaTheme="minorEastAsia" w:hAnsiTheme="minorEastAsia" w:cs="宋体" w:hint="eastAsia"/>
                <w:snapToGrid w:val="0"/>
                <w:color w:val="auto"/>
                <w:kern w:val="0"/>
                <w:szCs w:val="21"/>
                <w:highlight w:val="none"/>
              </w:rPr>
              <w:t>6第5.8.4条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20"/>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1.全网的故障信息，必须在时间上同步。在每一事件报告中应标定事件发生的时间；</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2.传送的所有信息，均应采用标准规约；</w:t>
            </w:r>
          </w:p>
        </w:tc>
        <w:tc>
          <w:tcPr>
            <w:tcW w:w="1935" w:type="dxa"/>
            <w:tcBorders>
              <w:tl2br w:val="nil"/>
              <w:tr2bl w:val="nil"/>
            </w:tcBorders>
            <w:vAlign w:val="center"/>
          </w:tcPr>
          <w:p/>
        </w:tc>
        <w:tc>
          <w:tcPr>
            <w:tcW w:w="1965" w:type="dxa"/>
            <w:tcBorders>
              <w:tl2br w:val="nil"/>
              <w:tr2bl w:val="nil"/>
            </w:tcBorders>
            <w:vAlign w:val="center"/>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3</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端子箱安装应牢固，封闭良好，并应能防潮、防尘。安装的位置应便于检查；成列安装时，应排列整齐。</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《电气装置安装工程盘、柜及二次回路接线施工及验收规范》(GB50171-2012)</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第4.0.5条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4</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新设计的发、变电工程中采用的防误装置，应做到与主设备同时投运。</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《防止电气误操作装置管理规定》（试行）（能源安保[1990]）1110号文附件第十九条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5</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防误装置所用的电源应与继电保护、控制回路的电源分开。</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《防止电气误操作装置管理规定》（试行）能源安保[1990]1110号文第二十条六</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6</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保护装置必须具有故障记录功能，以记录保护的动作过程，为分析保护动作行为提供详细、全面的数据信息，但不要求代替专用的故障录波器。</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保护装置故障记录的要求是：</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1.记录内容应为故障时的输入模拟量和开关量、输出开关量、动作元件、动作时间、返回时间、</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相别。</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2.应能保证发生故障时不丢失故障记录信息。</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3.应能保证在装置直流电源消失时，不丢失已记录信息。</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《继电保护和安全自动装置技术规程》(GB/T14285-20</w:t>
            </w:r>
            <w:r>
              <w:rPr>
                <w:rFonts w:asciiTheme="minorEastAsia" w:eastAsiaTheme="minorEastAsia" w:hAnsiTheme="minorEastAsia" w:cs="宋体" w:hint="eastAsia"/>
                <w:snapToGrid w:val="0"/>
                <w:color w:val="auto"/>
                <w:kern w:val="0"/>
                <w:szCs w:val="21"/>
                <w:highlight w:val="none"/>
                <w:lang w:val="en-US" w:eastAsia="zh-CN"/>
              </w:rPr>
              <w:t>0</w:t>
            </w:r>
            <w:r>
              <w:rPr>
                <w:rFonts w:asciiTheme="minorEastAsia" w:eastAsiaTheme="minorEastAsia" w:hAnsiTheme="minorEastAsia" w:cs="宋体" w:hint="eastAsia"/>
                <w:snapToGrid w:val="0"/>
                <w:color w:val="auto"/>
                <w:kern w:val="0"/>
                <w:szCs w:val="21"/>
                <w:highlight w:val="none"/>
              </w:rPr>
              <w:t>6)</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第4.1.12.7条</w:t>
            </w:r>
          </w:p>
        </w:tc>
        <w:tc>
          <w:tcPr>
            <w:tcW w:w="1965" w:type="dxa"/>
            <w:tcBorders>
              <w:tl2br w:val="nil"/>
              <w:tr2bl w:val="nil"/>
            </w:tcBorders>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eastAsia"/>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w:t>
            </w:r>
            <w:r>
              <w:rPr>
                <w:rFonts w:asciiTheme="minorEastAsia" w:eastAsiaTheme="minorEastAsia" w:hAnsiTheme="minorEastAsia" w:cs="宋体" w:hint="eastAsia"/>
                <w:snapToGrid w:val="0"/>
                <w:color w:val="auto"/>
                <w:kern w:val="0"/>
                <w:szCs w:val="21"/>
                <w:highlight w:val="none"/>
                <w:lang w:val="en-US" w:eastAsia="zh-CN"/>
              </w:rPr>
              <w:t>7</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盘、柜的正面及背面各电器、端子牌等应标明编号、名称、用途及操作位置，其标明的字迹应清晰、工整，且不易脱色。</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《电气装置安装工程盘、柜及二次回路接线施工及验收规范》GB50171-2012第5.0.4条</w:t>
            </w:r>
          </w:p>
        </w:tc>
        <w:tc>
          <w:tcPr>
            <w:tcW w:w="1965"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38</w:t>
            </w:r>
          </w:p>
        </w:tc>
        <w:tc>
          <w:tcPr>
            <w:tcW w:w="2869" w:type="dxa"/>
            <w:tcBorders>
              <w:tl2br w:val="nil"/>
              <w:tr2bl w:val="nil"/>
            </w:tcBorders>
            <w:vAlign w:val="center"/>
          </w:tcPr>
          <w:p>
            <w:pPr>
              <w:tabs>
                <w:tab w:val="left" w:pos="360"/>
              </w:tabs>
              <w:snapToGrid w:val="0"/>
              <w:spacing w:after="0" w:line="320" w:lineRule="exact"/>
              <w:rPr>
                <w:rFonts w:asciiTheme="minorEastAsia" w:eastAsiaTheme="minorEastAsia" w:hAnsiTheme="minorEastAsia" w:cs="宋体"/>
                <w:snapToGrid w:val="0"/>
                <w:color w:val="auto"/>
                <w:kern w:val="0"/>
                <w:szCs w:val="21"/>
                <w:highlight w:val="none"/>
              </w:rPr>
            </w:pPr>
          </w:p>
        </w:tc>
        <w:tc>
          <w:tcPr>
            <w:tcW w:w="1935" w:type="dxa"/>
            <w:tcBorders>
              <w:tl2br w:val="nil"/>
              <w:tr2bl w:val="nil"/>
            </w:tcBorders>
            <w:vAlign w:val="center"/>
          </w:tcPr>
          <w:p>
            <w:pPr>
              <w:tabs>
                <w:tab w:val="left" w:pos="360"/>
              </w:tabs>
              <w:snapToGrid w:val="0"/>
              <w:spacing w:after="0" w:line="320" w:lineRule="exact"/>
              <w:jc w:val="center"/>
              <w:rPr>
                <w:rFonts w:asciiTheme="minorEastAsia" w:eastAsiaTheme="minorEastAsia" w:hAnsiTheme="minorEastAsia" w:cs="宋体"/>
                <w:snapToGrid w:val="0"/>
                <w:color w:val="auto"/>
                <w:kern w:val="0"/>
                <w:szCs w:val="21"/>
                <w:highlight w:val="none"/>
              </w:rPr>
            </w:pPr>
          </w:p>
        </w:tc>
        <w:tc>
          <w:tcPr>
            <w:tcW w:w="1965" w:type="dxa"/>
            <w:tcBorders>
              <w:tl2br w:val="nil"/>
              <w:tr2bl w:val="nil"/>
            </w:tcBorders>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pPr>
        <w:sectPr>
          <w:type w:val="nextPage"/>
          <w:pgSz w:w="11906" w:h="16838"/>
          <w:pgMar w:top="1440" w:right="1080" w:bottom="1440" w:left="1080" w:header="851" w:footer="992" w:gutter="0"/>
          <w:pgNumType w:start="21"/>
          <w:cols w:num="1" w:space="425"/>
          <w:titlePg w:val="0"/>
          <w:docGrid w:type="lines" w:linePitch="312" w:charSpace="0"/>
        </w:sectPr>
      </w:pPr>
    </w:p>
    <w:tbl>
      <w:tblPr>
        <w:tblStyle w:val="TableNormal"/>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704"/>
        <w:gridCol w:w="2869"/>
        <w:gridCol w:w="1935"/>
        <w:gridCol w:w="1965"/>
        <w:gridCol w:w="1612"/>
        <w:gridCol w:w="761"/>
      </w:tblGrid>
      <w:tr>
        <w:tblPrEx>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tcBorders>
              <w:tl2br w:val="nil"/>
              <w:tr2bl w:val="nil"/>
            </w:tcBorders>
            <w:vAlign w:val="center"/>
          </w:tcPr>
          <w:p/>
        </w:tc>
        <w:tc>
          <w:tcPr>
            <w:tcW w:w="2869" w:type="dxa"/>
            <w:tcBorders>
              <w:tl2br w:val="nil"/>
              <w:tr2bl w:val="nil"/>
            </w:tcBorders>
            <w:vAlign w:val="center"/>
          </w:tcPr>
          <w:p>
            <w:pPr>
              <w:tabs>
                <w:tab w:val="left" w:pos="360"/>
              </w:tabs>
              <w:snapToGrid w:val="0"/>
              <w:spacing w:before="0"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静态保护和控制装置的屏柜下部应设有截面不小于100mm</w:t>
            </w:r>
            <w:r>
              <w:rPr>
                <w:rFonts w:asciiTheme="minorEastAsia" w:eastAsiaTheme="minorEastAsia" w:hAnsiTheme="minorEastAsia" w:cs="宋体" w:hint="eastAsia"/>
                <w:snapToGrid w:val="0"/>
                <w:color w:val="auto"/>
                <w:kern w:val="0"/>
                <w:szCs w:val="21"/>
                <w:highlight w:val="none"/>
                <w:vertAlign w:val="superscript"/>
              </w:rPr>
              <w:t>2</w:t>
            </w:r>
            <w:r>
              <w:rPr>
                <w:rFonts w:asciiTheme="minorEastAsia" w:eastAsiaTheme="minorEastAsia" w:hAnsiTheme="minorEastAsia" w:cs="宋体" w:hint="eastAsia"/>
                <w:snapToGrid w:val="0"/>
                <w:color w:val="auto"/>
                <w:kern w:val="0"/>
                <w:szCs w:val="21"/>
                <w:highlight w:val="none"/>
              </w:rPr>
              <w:t>的接地铜排。屏柜上装置的接地端子应用截面不小于4mm</w:t>
            </w:r>
            <w:r>
              <w:rPr>
                <w:rFonts w:asciiTheme="minorEastAsia" w:eastAsiaTheme="minorEastAsia" w:hAnsiTheme="minorEastAsia" w:cs="宋体" w:hint="eastAsia"/>
                <w:snapToGrid w:val="0"/>
                <w:color w:val="auto"/>
                <w:kern w:val="0"/>
                <w:szCs w:val="21"/>
                <w:highlight w:val="none"/>
                <w:vertAlign w:val="superscript"/>
              </w:rPr>
              <w:t>2</w:t>
            </w:r>
            <w:r>
              <w:rPr>
                <w:rFonts w:asciiTheme="minorEastAsia" w:eastAsiaTheme="minorEastAsia" w:hAnsiTheme="minorEastAsia" w:cs="宋体" w:hint="eastAsia"/>
                <w:snapToGrid w:val="0"/>
                <w:color w:val="auto"/>
                <w:kern w:val="0"/>
                <w:szCs w:val="21"/>
                <w:highlight w:val="none"/>
              </w:rPr>
              <w:t>的多股铜线和接地铜排相连。接地铜排应用截面不小于50mm</w:t>
            </w:r>
            <w:r>
              <w:rPr>
                <w:rFonts w:asciiTheme="minorEastAsia" w:eastAsiaTheme="minorEastAsia" w:hAnsiTheme="minorEastAsia" w:cs="宋体" w:hint="eastAsia"/>
                <w:snapToGrid w:val="0"/>
                <w:color w:val="auto"/>
                <w:kern w:val="0"/>
                <w:szCs w:val="21"/>
                <w:highlight w:val="none"/>
                <w:vertAlign w:val="superscript"/>
              </w:rPr>
              <w:t>2</w:t>
            </w:r>
            <w:r>
              <w:rPr>
                <w:rFonts w:asciiTheme="minorEastAsia" w:eastAsiaTheme="minorEastAsia" w:hAnsiTheme="minorEastAsia" w:cs="宋体" w:hint="eastAsia"/>
                <w:snapToGrid w:val="0"/>
                <w:color w:val="auto"/>
                <w:kern w:val="0"/>
                <w:szCs w:val="21"/>
                <w:highlight w:val="none"/>
              </w:rPr>
              <w:t>的铜排与地面下的等电位接地母线相连。</w:t>
            </w:r>
          </w:p>
        </w:tc>
        <w:tc>
          <w:tcPr>
            <w:tcW w:w="1935" w:type="dxa"/>
            <w:tcBorders>
              <w:tl2br w:val="nil"/>
              <w:tr2bl w:val="nil"/>
            </w:tcBorders>
            <w:vAlign w:val="center"/>
          </w:tcPr>
          <w:p>
            <w:pPr>
              <w:tabs>
                <w:tab w:val="left" w:pos="360"/>
              </w:tabs>
              <w:snapToGrid w:val="0"/>
              <w:spacing w:before="0"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(GB/T14285-2006)</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第6.5.3.2条</w:t>
            </w:r>
          </w:p>
        </w:tc>
        <w:tc>
          <w:tcPr>
            <w:tcW w:w="1965" w:type="dxa"/>
            <w:tcBorders>
              <w:tl2br w:val="nil"/>
              <w:tr2bl w:val="nil"/>
            </w:tcBorders>
          </w:tcPr>
          <w:p/>
        </w:tc>
        <w:tc>
          <w:tcPr>
            <w:tcW w:w="1612" w:type="dxa"/>
            <w:tcBorders>
              <w:tl2br w:val="nil"/>
              <w:tr2bl w:val="nil"/>
            </w:tcBorders>
            <w:vAlign w:val="center"/>
          </w:tcPr>
          <w:p/>
        </w:tc>
        <w:tc>
          <w:tcPr>
            <w:tcW w:w="761" w:type="dxa"/>
            <w:tcBorders>
              <w:tl2br w:val="nil"/>
              <w:tr2bl w:val="nil"/>
            </w:tcBorders>
            <w:vAlign w:val="center"/>
          </w:tcPr>
          <w:p/>
        </w:tc>
      </w:tr>
      <w:tr>
        <w:tblPrEx>
          <w:tblW w:w="4942" w:type="pct"/>
          <w:jc w:val="center"/>
          <w:tblLayout w:type="fixed"/>
          <w:tblCellMar>
            <w:top w:w="0" w:type="dxa"/>
            <w:left w:w="108" w:type="dxa"/>
            <w:bottom w:w="0" w:type="dxa"/>
            <w:right w:w="108" w:type="dxa"/>
          </w:tblCellMar>
        </w:tblPrEx>
        <w:trPr>
          <w:jc w:val="center"/>
        </w:trPr>
        <w:tc>
          <w:tcPr>
            <w:tcW w:w="705" w:type="dxa"/>
            <w:tcBorders>
              <w:tl2br w:val="nil"/>
              <w:tr2bl w:val="nil"/>
            </w:tcBorders>
            <w:vAlign w:val="center"/>
          </w:tcPr>
          <w:p>
            <w:pPr>
              <w:snapToGrid w:val="0"/>
              <w:spacing w:line="320" w:lineRule="exact"/>
              <w:jc w:val="center"/>
              <w:rPr>
                <w:rFonts w:asciiTheme="minorEastAsia" w:eastAsiaTheme="minorEastAsia" w:hAnsiTheme="minorEastAsia" w:cs="宋体" w:hint="default"/>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lang w:val="en-US" w:eastAsia="zh-CN"/>
              </w:rPr>
              <w:t>39</w:t>
            </w:r>
          </w:p>
        </w:tc>
        <w:tc>
          <w:tcPr>
            <w:tcW w:w="2869" w:type="dxa"/>
            <w:tcBorders>
              <w:tl2br w:val="nil"/>
              <w:tr2bl w:val="nil"/>
            </w:tcBorders>
            <w:vAlign w:val="center"/>
          </w:tcPr>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保护和控制设备的直流电源、交流电流、电压及信号引入回路应采用屏蔽电缆。</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控制电缆应具有必要的屏蔽措施并妥善接地。</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1.在电缆敷设时，应充分利用自然屏蔽物的屏蔽作用。必要时，可与保护用电缆平行设置专用屏蔽线。</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2.屏蔽电缆的屏蔽层应在开关场和控制室内两端接地。在控制室内屏蔽层宜在保护屏上接于屏柜内的接地铜排；在开关场屏蔽层应与高压设备有一定距离的端子箱接地。互感器每相二次回路经两芯屏蔽电缆从高压箱体引至端子箱，该电缆屏蔽层在高压箱体和端子箱两端接地。</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3.电力线载波用同轴电缆屏蔽层应在两端分别接地，并紧靠同轴电缆敷设截面不小于100mm</w:t>
            </w:r>
            <w:r>
              <w:rPr>
                <w:rFonts w:asciiTheme="minorEastAsia" w:eastAsiaTheme="minorEastAsia" w:hAnsiTheme="minorEastAsia" w:cs="宋体" w:hint="eastAsia"/>
                <w:snapToGrid w:val="0"/>
                <w:color w:val="auto"/>
                <w:kern w:val="0"/>
                <w:szCs w:val="21"/>
                <w:highlight w:val="none"/>
                <w:vertAlign w:val="superscript"/>
              </w:rPr>
              <w:t>2</w:t>
            </w:r>
            <w:r>
              <w:rPr>
                <w:rFonts w:asciiTheme="minorEastAsia" w:eastAsiaTheme="minorEastAsia" w:hAnsiTheme="minorEastAsia" w:cs="宋体" w:hint="eastAsia"/>
                <w:snapToGrid w:val="0"/>
                <w:color w:val="auto"/>
                <w:kern w:val="0"/>
                <w:szCs w:val="21"/>
                <w:highlight w:val="none"/>
              </w:rPr>
              <w:t>两端接地的铜导线。</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4.传送音频信号应采用屏蔽双绞线，其屏蔽层应在两端接地。</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5.传送数字信号的保护与通信设备间的距离大于50m时，应采用光缆。</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6.对于低频、低电平模拟信号的电缆，如热电偶用电缆，屏蔽层必须在最不平衡端或电路本身接地处一点接地。</w:t>
            </w:r>
          </w:p>
          <w:p>
            <w:pPr>
              <w:tabs>
                <w:tab w:val="left" w:pos="360"/>
              </w:tabs>
              <w:snapToGrid w:val="0"/>
              <w:spacing w:line="320" w:lineRule="exact"/>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7.对于双层屏蔽电缆，内屏蔽应一端接地，外屏蔽应两端接地。</w:t>
            </w:r>
          </w:p>
        </w:tc>
        <w:tc>
          <w:tcPr>
            <w:tcW w:w="1935" w:type="dxa"/>
            <w:tcBorders>
              <w:tl2br w:val="nil"/>
              <w:tr2bl w:val="nil"/>
            </w:tcBorders>
            <w:vAlign w:val="center"/>
          </w:tcPr>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《继电保护和安全自动装置技术规程》(GB/T14285-2006)</w:t>
            </w:r>
          </w:p>
          <w:p>
            <w:pPr>
              <w:tabs>
                <w:tab w:val="left" w:pos="360"/>
              </w:tabs>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第6.1.9条；6.5.3.3条；</w:t>
            </w:r>
          </w:p>
        </w:tc>
        <w:tc>
          <w:tcPr>
            <w:tcW w:w="1965" w:type="dxa"/>
            <w:tcBorders>
              <w:tl2br w:val="nil"/>
              <w:tr2bl w:val="nil"/>
            </w:tcBorders>
            <w:vAlign w:val="center"/>
          </w:tcPr>
          <w:p>
            <w:pPr>
              <w:snapToGrid w:val="0"/>
              <w:spacing w:line="320" w:lineRule="exact"/>
              <w:rPr>
                <w:rFonts w:asciiTheme="minorEastAsia" w:eastAsiaTheme="minorEastAsia" w:hAnsiTheme="minorEastAsia" w:cs="宋体"/>
                <w:snapToGrid w:val="0"/>
                <w:color w:val="auto"/>
                <w:kern w:val="0"/>
                <w:szCs w:val="21"/>
                <w:highlight w:val="none"/>
              </w:rPr>
            </w:pPr>
          </w:p>
        </w:tc>
        <w:tc>
          <w:tcPr>
            <w:tcW w:w="1612" w:type="dxa"/>
            <w:tcBorders>
              <w:tl2br w:val="nil"/>
              <w:tr2bl w:val="nil"/>
            </w:tcBorders>
            <w:vAlign w:val="center"/>
          </w:tcPr>
          <w:p>
            <w:pPr>
              <w:snapToGrid w:val="0"/>
              <w:spacing w:line="320" w:lineRule="exact"/>
              <w:jc w:val="center"/>
              <w:rPr>
                <w:rFonts w:asciiTheme="minorEastAsia" w:eastAsiaTheme="minorEastAsia" w:hAnsiTheme="minorEastAsia" w:cs="宋体"/>
                <w:snapToGrid w:val="0"/>
                <w:color w:val="auto"/>
                <w:kern w:val="0"/>
                <w:szCs w:val="21"/>
                <w:highlight w:val="none"/>
              </w:rPr>
            </w:pPr>
            <w:r>
              <w:rPr>
                <w:rFonts w:asciiTheme="minorEastAsia" w:eastAsiaTheme="minorEastAsia" w:hAnsiTheme="minorEastAsia" w:cs="宋体" w:hint="eastAsia"/>
                <w:snapToGrid w:val="0"/>
                <w:color w:val="auto"/>
                <w:kern w:val="0"/>
                <w:szCs w:val="21"/>
                <w:highlight w:val="none"/>
              </w:rPr>
              <w:t>符合</w:t>
            </w:r>
          </w:p>
        </w:tc>
        <w:tc>
          <w:tcPr>
            <w:tcW w:w="761" w:type="dxa"/>
            <w:tcBorders>
              <w:tl2br w:val="nil"/>
              <w:tr2bl w:val="nil"/>
            </w:tcBorders>
            <w:vAlign w:val="center"/>
          </w:tcPr>
          <w:p>
            <w:pPr>
              <w:adjustRightInd w:val="0"/>
              <w:snapToGrid w:val="0"/>
              <w:spacing w:line="240" w:lineRule="auto"/>
              <w:jc w:val="center"/>
              <w:rPr>
                <w:rFonts w:asciiTheme="minorEastAsia" w:eastAsiaTheme="minorEastAsia" w:hAnsiTheme="minorEastAsia" w:cs="宋体" w:hint="eastAsia"/>
                <w:snapToGrid w:val="0"/>
                <w:color w:val="auto"/>
                <w:kern w:val="0"/>
                <w:szCs w:val="21"/>
                <w:highlight w:val="none"/>
              </w:rPr>
            </w:pPr>
            <w:r>
              <w:rPr>
                <w:rFonts w:eastAsiaTheme="minorEastAsia" w:hint="eastAsia"/>
                <w:color w:val="auto"/>
                <w:szCs w:val="21"/>
                <w:highlight w:val="none"/>
                <w:lang w:val="en-US" w:eastAsia="zh-CN"/>
              </w:rPr>
              <w:t>/</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https://d.book118.com/225123302204011112</w:t>
        </w:r>
      </w:hyperlink>
    </w:p>
    <w:p/>
    <w:sectPr>
      <w:type w:val="nextPage"/>
      <w:pgSz w:w="11906" w:h="16838"/>
      <w:pgMar w:top="1440" w:right="1080" w:bottom="1440" w:left="1080" w:header="851" w:footer="992" w:gutter="0"/>
      <w:pgNumType w:start="2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0"/>
    <w:family w:val="auto"/>
    <w:pitch w:val="default"/>
    <w:sig w:usb0="E0002AFF" w:usb1="C0007841" w:usb2="00000009" w:usb3="00000000" w:csb0="400201FF" w:csb1="FFFF0000"/>
  </w:font>
  <w:font w:name="宋体">
    <w:panose1 w:val="02010600030101010101"/>
    <w:charset w:val="88"/>
    <w:family w:val="auto"/>
    <w:pitch w:val="default"/>
    <w:sig w:usb0="00000003" w:usb1="288F0000" w:usb2="00000006" w:usb3="00000000" w:csb0="001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556CA14"/>
    <w:multiLevelType w:val="singleLevel"/>
    <w:tmpl w:val="F556CA14"/>
    <w:lvl w:ilvl="0">
      <w:start w:val="1"/>
      <w:numFmt w:val="upperLetter"/>
      <w:suff w:val="nothing"/>
      <w:lvlText w:val="%1）"/>
      <w:lvlJc w:val="left"/>
    </w:lvl>
  </w:abstractNum>
  <w:abstractNum w:abstractNumId="1">
    <w:nsid w:val="24B8322C"/>
    <w:multiLevelType w:val="singleLevel"/>
    <w:tmpl w:val="24B8322C"/>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E041F3"/>
    <w:rsid w:val="22065FA2"/>
    <w:rsid w:val="2BB97427"/>
    <w:rsid w:val="4FA8299C"/>
    <w:rsid w:val="76E041F3"/>
  </w:rsids>
  <w:docVars>
    <w:docVar w:name="commondata" w:val="eyJoZGlkIjoiNDNmNmQ5NzYxMGYwNzNmZjc0NGQxYzhmMDcyYWZiNG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nhideWhenUsed="0" w:qFormat="1"/>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Note Heading" w:semiHidden="0" w:uiPriority="0" w:unhideWhenUsed="0"/>
    <w:lsdException w:name="Body Text 2" w:semiHidden="0" w:uiPriority="0" w:unhideWhenUsed="0" w:qFormat="1"/>
    <w:lsdException w:name="Body Text 3" w:semiHidden="0" w:uiPriority="0" w:unhideWhenUsed="0"/>
    <w:lsdException w:name="Body Text Indent 2" w:semiHidden="0" w:uiPriority="0" w:unhideWhenUsed="0" w:qFormat="1"/>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2"/>
    <w:qFormat/>
    <w:pPr>
      <w:widowControl w:val="0"/>
      <w:jc w:val="both"/>
    </w:pPr>
    <w:rPr>
      <w:rFonts w:ascii="Times New Roman" w:eastAsia="宋体" w:hAnsi="Times New Roman" w:cs="Times New Roman"/>
      <w:kern w:val="2"/>
      <w:sz w:val="21"/>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BodyText2">
    <w:name w:val="Body Text 2"/>
    <w:basedOn w:val="Normal"/>
    <w:qFormat/>
    <w:rPr>
      <w:sz w:val="24"/>
    </w:rPr>
  </w:style>
  <w:style w:type="paragraph" w:styleId="BodyTextIndent">
    <w:name w:val="Body Text Indent"/>
    <w:basedOn w:val="Normal"/>
    <w:next w:val="Normal"/>
    <w:uiPriority w:val="99"/>
    <w:qFormat/>
    <w:pPr>
      <w:widowControl/>
      <w:spacing w:line="480" w:lineRule="exact"/>
      <w:ind w:firstLine="560"/>
      <w:jc w:val="left"/>
    </w:pPr>
    <w:rPr>
      <w:rFonts w:ascii="宋体" w:hAnsi="宋体"/>
      <w:kern w:val="0"/>
      <w:sz w:val="28"/>
    </w:rPr>
  </w:style>
  <w:style w:type="paragraph" w:styleId="PlainText">
    <w:name w:val="Plain Text"/>
    <w:basedOn w:val="Normal"/>
    <w:qFormat/>
    <w:pPr>
      <w:spacing w:line="500" w:lineRule="atLeast"/>
    </w:pPr>
    <w:rPr>
      <w:rFonts w:ascii="宋体" w:hAnsi="Courier New" w:eastAsiaTheme="minorEastAsia" w:cstheme="minorBidi"/>
      <w:szCs w:val="22"/>
    </w:rPr>
  </w:style>
  <w:style w:type="paragraph" w:styleId="BodyTextIndent2">
    <w:name w:val="Body Text Indent 2"/>
    <w:basedOn w:val="Normal"/>
    <w:qFormat/>
    <w:pPr>
      <w:spacing w:line="440" w:lineRule="exact"/>
      <w:ind w:firstLine="480" w:firstLineChars="200"/>
    </w:pPr>
    <w:rPr>
      <w:rFonts w:ascii="宋体" w:hAnsi="宋体" w:eastAsiaTheme="minorEastAsia" w:cstheme="minorBidi"/>
      <w:sz w:val="24"/>
      <w:szCs w:val="22"/>
    </w:rPr>
  </w:style>
  <w:style w:type="paragraph" w:styleId="EndnoteText">
    <w:name w:val="endnote text"/>
    <w:basedOn w:val="Normal"/>
    <w:uiPriority w:val="99"/>
    <w:qFormat/>
    <w:pPr>
      <w:snapToGrid w:val="0"/>
    </w:pPr>
  </w:style>
  <w:style w:type="paragraph" w:styleId="NormalWeb">
    <w:name w:val="Normal (Web)"/>
    <w:basedOn w:val="Normal"/>
    <w:qFormat/>
    <w:pPr>
      <w:widowControl/>
      <w:spacing w:before="100" w:beforeAutospacing="1" w:after="100" w:afterAutospacing="1"/>
      <w:jc w:val="left"/>
    </w:pPr>
    <w:rPr>
      <w:rFonts w:ascii="宋体" w:hAnsi="宋体"/>
      <w:kern w:val="0"/>
      <w:sz w:val="24"/>
    </w:rPr>
  </w:style>
  <w:style w:type="paragraph" w:styleId="BodyTextFirstIndent2">
    <w:name w:val="Body Text First Indent 2"/>
    <w:basedOn w:val="BodyTextIndent"/>
    <w:next w:val="Normal"/>
    <w:qFormat/>
    <w:pPr>
      <w:widowControl w:val="0"/>
      <w:spacing w:after="120" w:line="240" w:lineRule="auto"/>
      <w:ind w:left="420" w:firstLine="420" w:leftChars="200" w:firstLineChars="200"/>
      <w:jc w:val="both"/>
    </w:pPr>
    <w:rPr>
      <w:rFonts w:ascii="Times New Roman" w:hAnsi="Times New Roman"/>
      <w:kern w:val="2"/>
      <w:sz w:val="21"/>
      <w:szCs w:val="24"/>
    </w:rPr>
  </w:style>
  <w:style w:type="character" w:styleId="Hyperlink">
    <w:name w:val="Hyperlink"/>
    <w:basedOn w:val="DefaultParagraphFont"/>
    <w:uiPriority w:val="99"/>
    <w:qFormat/>
    <w:rPr>
      <w:color w:val="0000FF"/>
      <w:u w:val="single"/>
    </w:rPr>
  </w:style>
  <w:style w:type="character" w:customStyle="1" w:styleId="zisiblack2">
    <w:name w:val="zisiblack2"/>
    <w:basedOn w:val="DefaultParagraphFont"/>
    <w:qFormat/>
  </w:style>
  <w:style w:type="paragraph" w:customStyle="1" w:styleId="Default">
    <w:name w:val="Default"/>
    <w:next w:val="Normal"/>
    <w:qFormat/>
    <w:pPr>
      <w:widowControl w:val="0"/>
      <w:autoSpaceDE w:val="0"/>
      <w:autoSpaceDN w:val="0"/>
    </w:pPr>
    <w:rPr>
      <w:rFonts w:ascii="宋体" w:eastAsia="宋体" w:hAnsi="宋体" w:cs="Times New Roman" w:hint="eastAsia"/>
      <w:color w:val="000000"/>
      <w:sz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dpc.gov.cn/zcfb/zcfbl/2011ling/t20110426_408008.htm" TargetMode="External" /><Relationship Id="rId5" Type="http://schemas.openxmlformats.org/officeDocument/2006/relationships/hyperlink" Target="https://d.book118.com/22512330220401111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WPS_1608017073</dc:creator>
  <cp:lastModifiedBy>WPS_1608017073</cp:lastModifiedBy>
  <cp:revision>1</cp:revision>
  <dcterms:created xsi:type="dcterms:W3CDTF">2023-11-27T03:06:00Z</dcterms:created>
  <dcterms:modified xsi:type="dcterms:W3CDTF">2023-11-27T03:14:34Z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AAEFDDD6B10B4C12837CF8A8B2FBF16D_11</vt:lpwstr>
  </property>
  <property fmtid="{D5CDD505-2E9C-101B-9397-08002B2CF9AE}" pid="3" name="KSOProductBuildVer">
    <vt:lpwstr>2052-12.1.0.15712</vt:lpwstr>
  </property>
</Properties>
</file>