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电力电子元器件相关行业公司成立方案及可行性研究报告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(七)、电力电子元器件项目建设必要性分析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(一)、电力电子元器件项目选址原则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_Toc3341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(五)、电力电子元器件项目选址综合评价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五、电力电子元器件筹建公司基本信息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六、电力电子元器件项目风险分析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(一)、电力电子元器件项目风险分析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(二)、电力电子元器件项目风险对策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5" w:history="1">
        <w:r>
          <w:rPr>
            <w:rFonts w:ascii="仿宋" w:eastAsia="仿宋" w:hAnsi="仿宋" w:cs="仿宋" w:hint="eastAsia"/>
            <w:lang w:eastAsia="zh-CN"/>
          </w:rPr>
          <w:t>(一)、电力电子元器件项目进度安排</w:t>
        </w:r>
        <w:r>
          <w:tab/>
        </w:r>
        <w:r>
          <w:fldChar w:fldCharType="begin"/>
        </w:r>
        <w:r>
          <w:instrText xml:space="preserve"> PAGEREF _Toc17595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(二)、电力电子元器件项目实施保障措施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八、电力电子元器件项目经济效益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7" w:history="1">
        <w:r>
          <w:rPr>
            <w:rFonts w:ascii="仿宋" w:eastAsia="仿宋" w:hAnsi="仿宋" w:cs="仿宋" w:hint="eastAsia"/>
            <w:lang w:eastAsia="zh-CN"/>
          </w:rPr>
          <w:t>(三)、电力电子元器件项目盈利能力分析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_Toc13479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(五)、电力电子元器件项目总投资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_Toc7951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_Toc5612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(二)、合作电力电子元器件项目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_Toc8334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6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4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7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https://d.book118.com/225233204332011043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电力电子元器件相关行业公司成立方案及可行性研究报告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电力电子元器件相关行业公司成立方案及可行性研究报告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电力电子元器件相关行业公司成立方案及可行性研究报告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电力电子元器件相关行业公司成立方案及可行性研究报告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电力电子元器件相关行业公司成立方案及可行性研究报告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5233204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2024-01-03T22:43:00Z</dcterms:created>
  <dcterms:modified xsi:type="dcterms:W3CDTF">2024-01-03T22:43:46Z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A7752C27A8F1482D8F489CDDF80EBF54_11</vt:lpwstr>
  </property>
  <property fmtid="{D5CDD505-2E9C-101B-9397-08002B2CF9AE}" pid="3" name="KSOProductBuildVer">
    <vt:lpwstr>2052-12.1.0.16120</vt:lpwstr>
  </property>
</Properties>
</file>