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NormalWeb"/>
        <w:jc w:val="center"/>
        <w:outlineLvl w:val="0"/>
        <w:rPr>
          <w:rFonts w:ascii="黑体" w:eastAsia="黑体" w:hAnsi="黑体" w:hint="eastAsia"/>
          <w:snapToGrid w:val="0"/>
          <w:sz w:val="30"/>
          <w:szCs w:val="30"/>
        </w:rPr>
      </w:pPr>
      <w:r>
        <w:rPr>
          <w:rFonts w:ascii="黑体" w:eastAsia="黑体" w:hAnsi="黑体" w:hint="eastAsia"/>
          <w:snapToGrid w:val="0"/>
          <w:sz w:val="30"/>
          <w:szCs w:val="30"/>
        </w:rPr>
        <w:t>一、建设项目基本情况</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0" w:type="dxa"/>
          <w:bottom w:w="0" w:type="dxa"/>
          <w:right w:w="0" w:type="dxa"/>
        </w:tblCellMar>
        <w:tblLook w:val="0000"/>
      </w:tblPr>
      <w:tblGrid>
        <w:gridCol w:w="1771"/>
        <w:gridCol w:w="2192"/>
        <w:gridCol w:w="35"/>
        <w:gridCol w:w="2073"/>
        <w:gridCol w:w="73"/>
        <w:gridCol w:w="2726"/>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0" w:type="dxa"/>
            <w:bottom w:w="0" w:type="dxa"/>
            <w:right w:w="0" w:type="dxa"/>
          </w:tblCellMar>
          <w:tblLook w:val="0000"/>
        </w:tblPrEx>
        <w:trPr>
          <w:trHeight w:val="497"/>
          <w:jc w:val="center"/>
        </w:trPr>
        <w:tc>
          <w:tcPr>
            <w:tcW w:w="1771" w:type="dxa"/>
            <w:tcMar>
              <w:top w:w="16" w:type="dxa"/>
              <w:left w:w="16" w:type="dxa"/>
              <w:right w:w="16" w:type="dxa"/>
            </w:tcMar>
            <w:vAlign w:val="center"/>
          </w:tcPr>
          <w:p>
            <w:pPr>
              <w:adjustRightInd w:val="0"/>
              <w:snapToGrid w:val="0"/>
              <w:jc w:val="center"/>
              <w:rPr>
                <w:sz w:val="24"/>
              </w:rPr>
            </w:pPr>
            <w:r>
              <w:rPr>
                <w:sz w:val="24"/>
              </w:rPr>
              <w:t>建设项目名称</w:t>
            </w:r>
          </w:p>
        </w:tc>
        <w:tc>
          <w:tcPr>
            <w:tcW w:w="7099" w:type="dxa"/>
            <w:gridSpan w:val="5"/>
            <w:vAlign w:val="center"/>
          </w:tcPr>
          <w:p>
            <w:pPr>
              <w:adjustRightInd w:val="0"/>
              <w:snapToGrid w:val="0"/>
              <w:jc w:val="center"/>
              <w:rPr>
                <w:sz w:val="24"/>
              </w:rPr>
            </w:pPr>
            <w:r>
              <w:rPr>
                <w:rFonts w:hint="eastAsia"/>
                <w:sz w:val="24"/>
              </w:rPr>
              <w:t>西安市莲湖区环城西路社区卫生服务中心项目</w:t>
            </w:r>
          </w:p>
        </w:tc>
      </w:tr>
      <w:tr>
        <w:tblPrEx>
          <w:tblW w:w="0" w:type="auto"/>
          <w:jc w:val="center"/>
          <w:tblLayout w:type="fixed"/>
          <w:tblCellMar>
            <w:top w:w="0" w:type="dxa"/>
            <w:left w:w="0" w:type="dxa"/>
            <w:bottom w:w="0" w:type="dxa"/>
            <w:right w:w="0" w:type="dxa"/>
          </w:tblCellMar>
          <w:tblLook w:val="0000"/>
        </w:tblPrEx>
        <w:trPr>
          <w:trHeight w:val="497"/>
          <w:jc w:val="center"/>
        </w:trPr>
        <w:tc>
          <w:tcPr>
            <w:tcW w:w="1771" w:type="dxa"/>
            <w:tcMar>
              <w:top w:w="16" w:type="dxa"/>
              <w:left w:w="16" w:type="dxa"/>
              <w:right w:w="16" w:type="dxa"/>
            </w:tcMar>
            <w:vAlign w:val="center"/>
          </w:tcPr>
          <w:p>
            <w:pPr>
              <w:adjustRightInd w:val="0"/>
              <w:snapToGrid w:val="0"/>
              <w:jc w:val="center"/>
              <w:rPr>
                <w:sz w:val="24"/>
              </w:rPr>
            </w:pPr>
            <w:r>
              <w:rPr>
                <w:sz w:val="24"/>
              </w:rPr>
              <w:t>项目代码</w:t>
            </w:r>
          </w:p>
        </w:tc>
        <w:tc>
          <w:tcPr>
            <w:tcW w:w="7099" w:type="dxa"/>
            <w:gridSpan w:val="5"/>
            <w:vAlign w:val="center"/>
          </w:tcPr>
          <w:p>
            <w:pPr>
              <w:adjustRightInd w:val="0"/>
              <w:snapToGrid w:val="0"/>
              <w:jc w:val="center"/>
              <w:rPr>
                <w:sz w:val="24"/>
              </w:rPr>
            </w:pPr>
            <w:r>
              <w:rPr>
                <w:rFonts w:hint="eastAsia"/>
                <w:sz w:val="24"/>
              </w:rPr>
              <w:t>/</w:t>
            </w:r>
          </w:p>
        </w:tc>
      </w:tr>
      <w:tr>
        <w:tblPrEx>
          <w:tblW w:w="0" w:type="auto"/>
          <w:jc w:val="center"/>
          <w:tblLayout w:type="fixed"/>
          <w:tblCellMar>
            <w:top w:w="0" w:type="dxa"/>
            <w:left w:w="0" w:type="dxa"/>
            <w:bottom w:w="0" w:type="dxa"/>
            <w:right w:w="0" w:type="dxa"/>
          </w:tblCellMar>
          <w:tblLook w:val="0000"/>
        </w:tblPrEx>
        <w:trPr>
          <w:trHeight w:val="497"/>
          <w:jc w:val="center"/>
        </w:trPr>
        <w:tc>
          <w:tcPr>
            <w:tcW w:w="1771" w:type="dxa"/>
            <w:tcMar>
              <w:top w:w="16" w:type="dxa"/>
              <w:left w:w="16" w:type="dxa"/>
              <w:right w:w="16" w:type="dxa"/>
            </w:tcMar>
            <w:vAlign w:val="center"/>
          </w:tcPr>
          <w:p>
            <w:pPr>
              <w:adjustRightInd w:val="0"/>
              <w:snapToGrid w:val="0"/>
              <w:jc w:val="center"/>
              <w:rPr>
                <w:sz w:val="24"/>
              </w:rPr>
            </w:pPr>
            <w:r>
              <w:rPr>
                <w:sz w:val="24"/>
              </w:rPr>
              <w:t>建设单位联系人</w:t>
            </w:r>
          </w:p>
        </w:tc>
        <w:tc>
          <w:tcPr>
            <w:tcW w:w="2227" w:type="dxa"/>
            <w:gridSpan w:val="2"/>
            <w:vAlign w:val="center"/>
          </w:tcPr>
          <w:p>
            <w:pPr>
              <w:adjustRightInd w:val="0"/>
              <w:snapToGrid w:val="0"/>
              <w:jc w:val="center"/>
              <w:rPr>
                <w:rFonts w:hint="eastAsia"/>
                <w:sz w:val="24"/>
              </w:rPr>
            </w:pPr>
            <w:r>
              <w:rPr>
                <w:rFonts w:hint="eastAsia"/>
                <w:sz w:val="24"/>
              </w:rPr>
              <w:t>-</w:t>
            </w:r>
          </w:p>
        </w:tc>
        <w:tc>
          <w:tcPr>
            <w:tcW w:w="2073" w:type="dxa"/>
            <w:vAlign w:val="center"/>
          </w:tcPr>
          <w:p>
            <w:pPr>
              <w:adjustRightInd w:val="0"/>
              <w:snapToGrid w:val="0"/>
              <w:jc w:val="center"/>
              <w:rPr>
                <w:sz w:val="24"/>
              </w:rPr>
            </w:pPr>
            <w:r>
              <w:rPr>
                <w:sz w:val="24"/>
              </w:rPr>
              <w:t>联系方式</w:t>
            </w:r>
          </w:p>
        </w:tc>
        <w:tc>
          <w:tcPr>
            <w:tcW w:w="2799" w:type="dxa"/>
            <w:gridSpan w:val="2"/>
            <w:vAlign w:val="center"/>
          </w:tcPr>
          <w:p>
            <w:pPr>
              <w:adjustRightInd w:val="0"/>
              <w:snapToGrid w:val="0"/>
              <w:jc w:val="center"/>
              <w:rPr>
                <w:sz w:val="24"/>
              </w:rPr>
            </w:pPr>
            <w:r>
              <w:rPr>
                <w:sz w:val="24"/>
              </w:rPr>
              <w:t>-</w:t>
            </w:r>
          </w:p>
        </w:tc>
      </w:tr>
      <w:tr>
        <w:tblPrEx>
          <w:tblW w:w="0" w:type="auto"/>
          <w:jc w:val="center"/>
          <w:tblLayout w:type="fixed"/>
          <w:tblCellMar>
            <w:top w:w="0" w:type="dxa"/>
            <w:left w:w="0" w:type="dxa"/>
            <w:bottom w:w="0" w:type="dxa"/>
            <w:right w:w="0" w:type="dxa"/>
          </w:tblCellMar>
          <w:tblLook w:val="0000"/>
        </w:tblPrEx>
        <w:trPr>
          <w:trHeight w:val="497"/>
          <w:jc w:val="center"/>
        </w:trPr>
        <w:tc>
          <w:tcPr>
            <w:tcW w:w="1771" w:type="dxa"/>
            <w:tcMar>
              <w:top w:w="16" w:type="dxa"/>
              <w:left w:w="16" w:type="dxa"/>
              <w:right w:w="16" w:type="dxa"/>
            </w:tcMar>
            <w:vAlign w:val="center"/>
          </w:tcPr>
          <w:p>
            <w:pPr>
              <w:adjustRightInd w:val="0"/>
              <w:snapToGrid w:val="0"/>
              <w:jc w:val="center"/>
              <w:rPr>
                <w:sz w:val="24"/>
              </w:rPr>
            </w:pPr>
            <w:r>
              <w:rPr>
                <w:sz w:val="24"/>
              </w:rPr>
              <w:t>建设地点</w:t>
            </w:r>
          </w:p>
        </w:tc>
        <w:tc>
          <w:tcPr>
            <w:tcW w:w="7099" w:type="dxa"/>
            <w:gridSpan w:val="5"/>
            <w:vAlign w:val="center"/>
          </w:tcPr>
          <w:p>
            <w:pPr>
              <w:adjustRightInd w:val="0"/>
              <w:snapToGrid w:val="0"/>
              <w:jc w:val="center"/>
              <w:rPr>
                <w:sz w:val="24"/>
              </w:rPr>
            </w:pPr>
            <w:r>
              <w:rPr>
                <w:szCs w:val="21"/>
                <w:u w:val="single"/>
              </w:rPr>
              <w:t xml:space="preserve"> </w:t>
            </w:r>
            <w:r>
              <w:rPr>
                <w:sz w:val="24"/>
                <w:u w:val="single"/>
              </w:rPr>
              <w:t xml:space="preserve">陕西 </w:t>
            </w:r>
            <w:r>
              <w:rPr>
                <w:sz w:val="24"/>
              </w:rPr>
              <w:t>省</w:t>
            </w:r>
            <w:r>
              <w:rPr>
                <w:rFonts w:hint="eastAsia"/>
                <w:sz w:val="24"/>
                <w:u w:val="single"/>
              </w:rPr>
              <w:t>西安市莲湖</w:t>
            </w:r>
            <w:r>
              <w:rPr>
                <w:sz w:val="24"/>
                <w:u w:val="single"/>
              </w:rPr>
              <w:t xml:space="preserve"> </w:t>
            </w:r>
            <w:r>
              <w:rPr>
                <w:sz w:val="24"/>
              </w:rPr>
              <w:t>（区）</w:t>
            </w:r>
            <w:r>
              <w:rPr>
                <w:sz w:val="24"/>
                <w:u w:val="single"/>
              </w:rPr>
              <w:t>环城西路街道大庆路2号</w:t>
            </w:r>
          </w:p>
        </w:tc>
      </w:tr>
      <w:tr>
        <w:tblPrEx>
          <w:tblW w:w="0" w:type="auto"/>
          <w:jc w:val="center"/>
          <w:tblLayout w:type="fixed"/>
          <w:tblCellMar>
            <w:top w:w="0" w:type="dxa"/>
            <w:left w:w="0" w:type="dxa"/>
            <w:bottom w:w="0" w:type="dxa"/>
            <w:right w:w="0" w:type="dxa"/>
          </w:tblCellMar>
          <w:tblLook w:val="0000"/>
        </w:tblPrEx>
        <w:trPr>
          <w:trHeight w:val="497"/>
          <w:jc w:val="center"/>
        </w:trPr>
        <w:tc>
          <w:tcPr>
            <w:tcW w:w="1771" w:type="dxa"/>
            <w:tcMar>
              <w:top w:w="16" w:type="dxa"/>
              <w:left w:w="16" w:type="dxa"/>
              <w:right w:w="16" w:type="dxa"/>
            </w:tcMar>
            <w:vAlign w:val="center"/>
          </w:tcPr>
          <w:p>
            <w:pPr>
              <w:adjustRightInd w:val="0"/>
              <w:snapToGrid w:val="0"/>
              <w:jc w:val="center"/>
              <w:rPr>
                <w:sz w:val="24"/>
              </w:rPr>
            </w:pPr>
            <w:r>
              <w:rPr>
                <w:sz w:val="24"/>
              </w:rPr>
              <w:t>地理坐标</w:t>
            </w:r>
          </w:p>
        </w:tc>
        <w:tc>
          <w:tcPr>
            <w:tcW w:w="7099" w:type="dxa"/>
            <w:gridSpan w:val="5"/>
            <w:vAlign w:val="center"/>
          </w:tcPr>
          <w:p>
            <w:pPr>
              <w:jc w:val="center"/>
              <w:rPr>
                <w:sz w:val="24"/>
              </w:rPr>
            </w:pPr>
            <w:r>
              <w:rPr>
                <w:sz w:val="24"/>
              </w:rPr>
              <w:t>（东经</w:t>
            </w:r>
            <w:r>
              <w:rPr>
                <w:sz w:val="24"/>
                <w:u w:val="single"/>
              </w:rPr>
              <w:t xml:space="preserve"> 10</w:t>
            </w:r>
            <w:r>
              <w:rPr>
                <w:rFonts w:hint="eastAsia"/>
                <w:sz w:val="24"/>
                <w:u w:val="single"/>
              </w:rPr>
              <w:t>8</w:t>
            </w:r>
            <w:r>
              <w:rPr>
                <w:sz w:val="24"/>
                <w:u w:val="single"/>
              </w:rPr>
              <w:t xml:space="preserve"> </w:t>
            </w:r>
            <w:r>
              <w:rPr>
                <w:sz w:val="24"/>
              </w:rPr>
              <w:t>度</w:t>
            </w:r>
            <w:r>
              <w:rPr>
                <w:sz w:val="24"/>
                <w:u w:val="single"/>
              </w:rPr>
              <w:t xml:space="preserve"> </w:t>
            </w:r>
            <w:r>
              <w:rPr>
                <w:rFonts w:hint="eastAsia"/>
                <w:sz w:val="24"/>
                <w:u w:val="single"/>
              </w:rPr>
              <w:t>55</w:t>
            </w:r>
            <w:r>
              <w:rPr>
                <w:sz w:val="24"/>
                <w:u w:val="single"/>
              </w:rPr>
              <w:t xml:space="preserve"> </w:t>
            </w:r>
            <w:r>
              <w:rPr>
                <w:sz w:val="24"/>
              </w:rPr>
              <w:t>分</w:t>
            </w:r>
            <w:r>
              <w:rPr>
                <w:sz w:val="24"/>
                <w:u w:val="single"/>
              </w:rPr>
              <w:t xml:space="preserve"> </w:t>
            </w:r>
            <w:r>
              <w:rPr>
                <w:rFonts w:hint="eastAsia"/>
                <w:sz w:val="24"/>
                <w:u w:val="single"/>
              </w:rPr>
              <w:t>0.386</w:t>
            </w:r>
            <w:r>
              <w:rPr>
                <w:sz w:val="24"/>
                <w:u w:val="single"/>
              </w:rPr>
              <w:t xml:space="preserve"> </w:t>
            </w:r>
            <w:r>
              <w:rPr>
                <w:sz w:val="24"/>
              </w:rPr>
              <w:t>秒，北纬</w:t>
            </w:r>
            <w:r>
              <w:rPr>
                <w:sz w:val="24"/>
                <w:u w:val="single"/>
              </w:rPr>
              <w:t xml:space="preserve"> 3</w:t>
            </w:r>
            <w:r>
              <w:rPr>
                <w:rFonts w:hint="eastAsia"/>
                <w:sz w:val="24"/>
                <w:u w:val="single"/>
              </w:rPr>
              <w:t>4</w:t>
            </w:r>
            <w:r>
              <w:rPr>
                <w:sz w:val="24"/>
                <w:u w:val="single"/>
              </w:rPr>
              <w:t xml:space="preserve"> </w:t>
            </w:r>
            <w:r>
              <w:rPr>
                <w:sz w:val="24"/>
              </w:rPr>
              <w:t>度</w:t>
            </w:r>
            <w:r>
              <w:rPr>
                <w:sz w:val="24"/>
                <w:u w:val="single"/>
              </w:rPr>
              <w:t xml:space="preserve"> </w:t>
            </w:r>
            <w:r>
              <w:rPr>
                <w:rFonts w:hint="eastAsia"/>
                <w:sz w:val="24"/>
                <w:u w:val="single"/>
              </w:rPr>
              <w:t>16</w:t>
            </w:r>
            <w:r>
              <w:rPr>
                <w:sz w:val="24"/>
                <w:u w:val="single"/>
              </w:rPr>
              <w:t xml:space="preserve"> </w:t>
            </w:r>
            <w:r>
              <w:rPr>
                <w:sz w:val="24"/>
              </w:rPr>
              <w:t>分</w:t>
            </w:r>
            <w:r>
              <w:rPr>
                <w:sz w:val="24"/>
                <w:u w:val="single"/>
              </w:rPr>
              <w:t xml:space="preserve"> </w:t>
            </w:r>
            <w:r>
              <w:rPr>
                <w:rFonts w:hint="eastAsia"/>
                <w:sz w:val="24"/>
                <w:u w:val="single"/>
              </w:rPr>
              <w:t>0.418</w:t>
            </w:r>
            <w:r>
              <w:rPr>
                <w:sz w:val="24"/>
                <w:u w:val="single"/>
              </w:rPr>
              <w:t xml:space="preserve"> </w:t>
            </w:r>
            <w:r>
              <w:rPr>
                <w:sz w:val="24"/>
              </w:rPr>
              <w:t>秒）</w:t>
            </w:r>
          </w:p>
        </w:tc>
      </w:tr>
      <w:tr>
        <w:tblPrEx>
          <w:tblW w:w="0" w:type="auto"/>
          <w:jc w:val="center"/>
          <w:tblLayout w:type="fixed"/>
          <w:tblCellMar>
            <w:top w:w="0" w:type="dxa"/>
            <w:left w:w="0" w:type="dxa"/>
            <w:bottom w:w="0" w:type="dxa"/>
            <w:right w:w="0" w:type="dxa"/>
          </w:tblCellMar>
          <w:tblLook w:val="0000"/>
        </w:tblPrEx>
        <w:trPr>
          <w:trHeight w:val="561"/>
          <w:jc w:val="center"/>
        </w:trPr>
        <w:tc>
          <w:tcPr>
            <w:tcW w:w="1771" w:type="dxa"/>
            <w:tcMar>
              <w:top w:w="16" w:type="dxa"/>
              <w:left w:w="16" w:type="dxa"/>
              <w:right w:w="16" w:type="dxa"/>
            </w:tcMar>
            <w:vAlign w:val="center"/>
          </w:tcPr>
          <w:p>
            <w:pPr>
              <w:adjustRightInd w:val="0"/>
              <w:snapToGrid w:val="0"/>
              <w:jc w:val="center"/>
              <w:rPr>
                <w:sz w:val="24"/>
              </w:rPr>
            </w:pPr>
            <w:r>
              <w:rPr>
                <w:sz w:val="24"/>
              </w:rPr>
              <w:t>国民经济</w:t>
            </w:r>
          </w:p>
          <w:p>
            <w:pPr>
              <w:adjustRightInd w:val="0"/>
              <w:snapToGrid w:val="0"/>
              <w:jc w:val="center"/>
              <w:rPr>
                <w:sz w:val="24"/>
              </w:rPr>
            </w:pPr>
            <w:r>
              <w:rPr>
                <w:sz w:val="24"/>
              </w:rPr>
              <w:t>行业类别</w:t>
            </w:r>
          </w:p>
        </w:tc>
        <w:tc>
          <w:tcPr>
            <w:tcW w:w="2192" w:type="dxa"/>
            <w:vAlign w:val="center"/>
          </w:tcPr>
          <w:p>
            <w:pPr>
              <w:adjustRightInd w:val="0"/>
              <w:snapToGrid w:val="0"/>
              <w:jc w:val="center"/>
              <w:rPr>
                <w:sz w:val="24"/>
              </w:rPr>
            </w:pPr>
            <w:r>
              <w:rPr>
                <w:rFonts w:hint="eastAsia"/>
                <w:sz w:val="24"/>
              </w:rPr>
              <w:t>Q8421社区卫生服务中心（站）</w:t>
            </w:r>
          </w:p>
        </w:tc>
        <w:tc>
          <w:tcPr>
            <w:tcW w:w="2181" w:type="dxa"/>
            <w:gridSpan w:val="3"/>
            <w:vAlign w:val="center"/>
          </w:tcPr>
          <w:p>
            <w:pPr>
              <w:adjustRightInd w:val="0"/>
              <w:snapToGrid w:val="0"/>
              <w:jc w:val="center"/>
              <w:rPr>
                <w:sz w:val="24"/>
              </w:rPr>
            </w:pPr>
            <w:bookmarkStart w:id="0" w:name="_Hlk49843745"/>
            <w:r>
              <w:rPr>
                <w:sz w:val="24"/>
              </w:rPr>
              <w:t>建设项目</w:t>
            </w:r>
          </w:p>
          <w:p>
            <w:pPr>
              <w:adjustRightInd w:val="0"/>
              <w:snapToGrid w:val="0"/>
              <w:jc w:val="center"/>
              <w:rPr>
                <w:sz w:val="24"/>
              </w:rPr>
            </w:pPr>
            <w:r>
              <w:rPr>
                <w:sz w:val="24"/>
              </w:rPr>
              <w:t>行业类别</w:t>
            </w:r>
            <w:bookmarkEnd w:id="0"/>
          </w:p>
        </w:tc>
        <w:tc>
          <w:tcPr>
            <w:tcW w:w="2726" w:type="dxa"/>
            <w:vAlign w:val="center"/>
          </w:tcPr>
          <w:p>
            <w:pPr>
              <w:adjustRightInd w:val="0"/>
              <w:snapToGrid w:val="0"/>
              <w:rPr>
                <w:sz w:val="24"/>
              </w:rPr>
            </w:pPr>
            <w:r>
              <w:rPr>
                <w:rFonts w:hint="eastAsia"/>
                <w:sz w:val="24"/>
              </w:rPr>
              <w:t>四十九、卫生--108基层医疗卫生服务842</w:t>
            </w:r>
          </w:p>
        </w:tc>
      </w:tr>
      <w:tr>
        <w:tblPrEx>
          <w:tblW w:w="0" w:type="auto"/>
          <w:jc w:val="center"/>
          <w:tblLayout w:type="fixed"/>
          <w:tblCellMar>
            <w:top w:w="0" w:type="dxa"/>
            <w:left w:w="0" w:type="dxa"/>
            <w:bottom w:w="0" w:type="dxa"/>
            <w:right w:w="0" w:type="dxa"/>
          </w:tblCellMar>
          <w:tblLook w:val="0000"/>
        </w:tblPrEx>
        <w:trPr>
          <w:trHeight w:val="1219"/>
          <w:jc w:val="center"/>
        </w:trPr>
        <w:tc>
          <w:tcPr>
            <w:tcW w:w="1771" w:type="dxa"/>
            <w:tcMar>
              <w:top w:w="16" w:type="dxa"/>
              <w:left w:w="16" w:type="dxa"/>
              <w:right w:w="16" w:type="dxa"/>
            </w:tcMar>
            <w:vAlign w:val="center"/>
          </w:tcPr>
          <w:p>
            <w:pPr>
              <w:adjustRightInd w:val="0"/>
              <w:snapToGrid w:val="0"/>
              <w:jc w:val="center"/>
              <w:rPr>
                <w:sz w:val="24"/>
              </w:rPr>
            </w:pPr>
            <w:r>
              <w:rPr>
                <w:sz w:val="24"/>
              </w:rPr>
              <w:t>建设性质</w:t>
            </w:r>
          </w:p>
        </w:tc>
        <w:tc>
          <w:tcPr>
            <w:tcW w:w="2192" w:type="dxa"/>
            <w:vAlign w:val="center"/>
          </w:tcPr>
          <w:p>
            <w:pPr>
              <w:jc w:val="left"/>
              <w:rPr>
                <w:sz w:val="24"/>
              </w:rPr>
            </w:pPr>
            <w:r>
              <w:rPr>
                <w:rFonts w:ascii="Wingdings 2" w:hAnsi="Wingdings 2"/>
                <w:sz w:val="24"/>
              </w:rPr>
              <w:sym w:font="Wingdings 2" w:char="F052"/>
            </w:r>
            <w:r>
              <w:rPr>
                <w:sz w:val="24"/>
              </w:rPr>
              <w:t>新建</w:t>
            </w:r>
          </w:p>
          <w:p>
            <w:pPr>
              <w:jc w:val="left"/>
              <w:rPr>
                <w:sz w:val="24"/>
              </w:rPr>
            </w:pPr>
            <w:r>
              <w:rPr>
                <w:rFonts w:ascii="Wingdings 2" w:hAnsi="Wingdings 2"/>
                <w:sz w:val="24"/>
              </w:rPr>
              <w:sym w:font="Wingdings 2" w:char="F0A3"/>
            </w:r>
            <w:r>
              <w:rPr>
                <w:sz w:val="24"/>
              </w:rPr>
              <w:t>改建</w:t>
            </w:r>
          </w:p>
          <w:p>
            <w:pPr>
              <w:jc w:val="left"/>
              <w:rPr>
                <w:sz w:val="24"/>
              </w:rPr>
            </w:pPr>
            <w:r>
              <w:rPr>
                <w:rFonts w:ascii="Wingdings 2" w:hAnsi="Wingdings 2"/>
                <w:sz w:val="24"/>
              </w:rPr>
              <w:sym w:font="Wingdings 2" w:char="F0A3"/>
            </w:r>
            <w:r>
              <w:rPr>
                <w:sz w:val="24"/>
              </w:rPr>
              <w:t>扩建</w:t>
            </w:r>
          </w:p>
          <w:p>
            <w:pPr>
              <w:jc w:val="left"/>
              <w:rPr>
                <w:sz w:val="24"/>
              </w:rPr>
            </w:pPr>
            <w:r>
              <w:rPr>
                <w:rFonts w:ascii="Wingdings 2" w:hAnsi="Wingdings 2"/>
                <w:sz w:val="24"/>
              </w:rPr>
              <w:sym w:font="Wingdings 2" w:char="F0A3"/>
            </w:r>
            <w:r>
              <w:rPr>
                <w:sz w:val="24"/>
              </w:rPr>
              <w:t>技术改造</w:t>
            </w:r>
          </w:p>
        </w:tc>
        <w:tc>
          <w:tcPr>
            <w:tcW w:w="2181" w:type="dxa"/>
            <w:gridSpan w:val="3"/>
            <w:vAlign w:val="center"/>
          </w:tcPr>
          <w:p>
            <w:pPr>
              <w:adjustRightInd w:val="0"/>
              <w:snapToGrid w:val="0"/>
              <w:jc w:val="center"/>
              <w:rPr>
                <w:sz w:val="24"/>
              </w:rPr>
            </w:pPr>
            <w:r>
              <w:rPr>
                <w:sz w:val="24"/>
              </w:rPr>
              <w:t>建设项目</w:t>
            </w:r>
          </w:p>
          <w:p>
            <w:pPr>
              <w:adjustRightInd w:val="0"/>
              <w:snapToGrid w:val="0"/>
              <w:jc w:val="center"/>
              <w:rPr>
                <w:sz w:val="24"/>
              </w:rPr>
            </w:pPr>
            <w:r>
              <w:rPr>
                <w:sz w:val="24"/>
              </w:rPr>
              <w:t>申报情形</w:t>
            </w:r>
          </w:p>
        </w:tc>
        <w:tc>
          <w:tcPr>
            <w:tcW w:w="2726" w:type="dxa"/>
            <w:vAlign w:val="center"/>
          </w:tcPr>
          <w:p>
            <w:pPr>
              <w:jc w:val="left"/>
              <w:rPr>
                <w:sz w:val="24"/>
              </w:rPr>
            </w:pPr>
            <w:r>
              <w:rPr>
                <w:rFonts w:ascii="Wingdings 2" w:hAnsi="Wingdings 2"/>
                <w:sz w:val="24"/>
              </w:rPr>
              <w:sym w:font="Wingdings 2" w:char="F052"/>
            </w:r>
            <w:r>
              <w:rPr>
                <w:sz w:val="24"/>
              </w:rPr>
              <w:t xml:space="preserve">首次申报项目             </w:t>
            </w:r>
          </w:p>
          <w:p>
            <w:pPr>
              <w:jc w:val="left"/>
              <w:rPr>
                <w:sz w:val="24"/>
              </w:rPr>
            </w:pPr>
            <w:r>
              <w:rPr>
                <w:rFonts w:ascii="Wingdings 2" w:hAnsi="Wingdings 2"/>
                <w:sz w:val="24"/>
              </w:rPr>
              <w:sym w:font="Wingdings 2" w:char="F0A3"/>
            </w:r>
            <w:r>
              <w:rPr>
                <w:sz w:val="24"/>
              </w:rPr>
              <w:t>不予批准后再次申报项目</w:t>
            </w:r>
          </w:p>
          <w:p>
            <w:pPr>
              <w:jc w:val="left"/>
              <w:rPr>
                <w:sz w:val="24"/>
              </w:rPr>
            </w:pPr>
            <w:r>
              <w:rPr>
                <w:rFonts w:ascii="Wingdings 2" w:hAnsi="Wingdings 2"/>
                <w:sz w:val="24"/>
              </w:rPr>
              <w:sym w:font="Wingdings 2" w:char="F0A3"/>
            </w:r>
            <w:r>
              <w:rPr>
                <w:sz w:val="24"/>
              </w:rPr>
              <w:t xml:space="preserve">超五年重新审核项目     </w:t>
            </w:r>
          </w:p>
          <w:p>
            <w:pPr>
              <w:jc w:val="left"/>
              <w:rPr>
                <w:sz w:val="24"/>
              </w:rPr>
            </w:pPr>
            <w:r>
              <w:rPr>
                <w:rFonts w:ascii="Wingdings 2" w:hAnsi="Wingdings 2"/>
                <w:sz w:val="24"/>
              </w:rPr>
              <w:sym w:font="Wingdings 2" w:char="F0A3"/>
            </w:r>
            <w:r>
              <w:rPr>
                <w:sz w:val="24"/>
              </w:rPr>
              <w:t>重大变动重新报批项目</w:t>
            </w:r>
          </w:p>
        </w:tc>
      </w:tr>
      <w:tr>
        <w:tblPrEx>
          <w:tblW w:w="0" w:type="auto"/>
          <w:jc w:val="center"/>
          <w:tblLayout w:type="fixed"/>
          <w:tblCellMar>
            <w:top w:w="0" w:type="dxa"/>
            <w:left w:w="0" w:type="dxa"/>
            <w:bottom w:w="0" w:type="dxa"/>
            <w:right w:w="0" w:type="dxa"/>
          </w:tblCellMar>
          <w:tblLook w:val="0000"/>
        </w:tblPrEx>
        <w:trPr>
          <w:trHeight w:val="851"/>
          <w:jc w:val="center"/>
        </w:trPr>
        <w:tc>
          <w:tcPr>
            <w:tcW w:w="1771" w:type="dxa"/>
            <w:tcMar>
              <w:top w:w="16" w:type="dxa"/>
              <w:left w:w="16" w:type="dxa"/>
              <w:right w:w="16" w:type="dxa"/>
            </w:tcMar>
            <w:vAlign w:val="center"/>
          </w:tcPr>
          <w:p>
            <w:pPr>
              <w:adjustRightInd w:val="0"/>
              <w:snapToGrid w:val="0"/>
              <w:jc w:val="center"/>
              <w:rPr>
                <w:sz w:val="24"/>
              </w:rPr>
            </w:pPr>
            <w:r>
              <w:rPr>
                <w:sz w:val="24"/>
              </w:rPr>
              <w:t>项目审批（核准/</w:t>
            </w:r>
          </w:p>
          <w:p>
            <w:pPr>
              <w:adjustRightInd w:val="0"/>
              <w:snapToGrid w:val="0"/>
              <w:jc w:val="center"/>
              <w:rPr>
                <w:sz w:val="24"/>
              </w:rPr>
            </w:pPr>
            <w:r>
              <w:rPr>
                <w:sz w:val="24"/>
              </w:rPr>
              <w:t>备案）部门（选填）</w:t>
            </w:r>
          </w:p>
        </w:tc>
        <w:tc>
          <w:tcPr>
            <w:tcW w:w="2192" w:type="dxa"/>
            <w:vAlign w:val="center"/>
          </w:tcPr>
          <w:p>
            <w:pPr>
              <w:adjustRightInd w:val="0"/>
              <w:snapToGrid w:val="0"/>
              <w:jc w:val="center"/>
              <w:rPr>
                <w:sz w:val="24"/>
              </w:rPr>
            </w:pPr>
            <w:r>
              <w:rPr>
                <w:rFonts w:hint="eastAsia"/>
                <w:sz w:val="24"/>
              </w:rPr>
              <w:t>/</w:t>
            </w:r>
          </w:p>
        </w:tc>
        <w:tc>
          <w:tcPr>
            <w:tcW w:w="2181" w:type="dxa"/>
            <w:gridSpan w:val="3"/>
            <w:vAlign w:val="center"/>
          </w:tcPr>
          <w:p>
            <w:pPr>
              <w:adjustRightInd w:val="0"/>
              <w:snapToGrid w:val="0"/>
              <w:jc w:val="center"/>
              <w:rPr>
                <w:sz w:val="24"/>
              </w:rPr>
            </w:pPr>
            <w:r>
              <w:rPr>
                <w:sz w:val="24"/>
              </w:rPr>
              <w:t>项目审批（核准/</w:t>
            </w:r>
          </w:p>
          <w:p>
            <w:pPr>
              <w:adjustRightInd w:val="0"/>
              <w:snapToGrid w:val="0"/>
              <w:jc w:val="center"/>
              <w:rPr>
                <w:sz w:val="24"/>
              </w:rPr>
            </w:pPr>
            <w:r>
              <w:rPr>
                <w:sz w:val="24"/>
              </w:rPr>
              <w:t>备案）文号（选填）</w:t>
            </w:r>
          </w:p>
        </w:tc>
        <w:tc>
          <w:tcPr>
            <w:tcW w:w="2726" w:type="dxa"/>
            <w:vAlign w:val="center"/>
          </w:tcPr>
          <w:p>
            <w:pPr>
              <w:adjustRightInd w:val="0"/>
              <w:snapToGrid w:val="0"/>
              <w:jc w:val="center"/>
              <w:rPr>
                <w:sz w:val="24"/>
              </w:rPr>
            </w:pPr>
            <w:r>
              <w:rPr>
                <w:rFonts w:hint="eastAsia"/>
                <w:sz w:val="24"/>
              </w:rPr>
              <w:t>/</w:t>
            </w:r>
          </w:p>
        </w:tc>
      </w:tr>
      <w:tr>
        <w:tblPrEx>
          <w:tblW w:w="0" w:type="auto"/>
          <w:jc w:val="center"/>
          <w:tblLayout w:type="fixed"/>
          <w:tblCellMar>
            <w:top w:w="0" w:type="dxa"/>
            <w:left w:w="0" w:type="dxa"/>
            <w:bottom w:w="0" w:type="dxa"/>
            <w:right w:w="0" w:type="dxa"/>
          </w:tblCellMar>
          <w:tblLook w:val="0000"/>
        </w:tblPrEx>
        <w:trPr>
          <w:trHeight w:val="497"/>
          <w:jc w:val="center"/>
        </w:trPr>
        <w:tc>
          <w:tcPr>
            <w:tcW w:w="1771" w:type="dxa"/>
            <w:tcMar>
              <w:top w:w="16" w:type="dxa"/>
              <w:left w:w="16" w:type="dxa"/>
              <w:right w:w="16" w:type="dxa"/>
            </w:tcMar>
            <w:vAlign w:val="center"/>
          </w:tcPr>
          <w:p>
            <w:pPr>
              <w:adjustRightInd w:val="0"/>
              <w:snapToGrid w:val="0"/>
              <w:jc w:val="center"/>
              <w:rPr>
                <w:sz w:val="24"/>
              </w:rPr>
            </w:pPr>
            <w:r>
              <w:rPr>
                <w:sz w:val="24"/>
              </w:rPr>
              <w:t>总投资（万元）</w:t>
            </w:r>
          </w:p>
        </w:tc>
        <w:tc>
          <w:tcPr>
            <w:tcW w:w="2192" w:type="dxa"/>
            <w:vAlign w:val="center"/>
          </w:tcPr>
          <w:p>
            <w:pPr>
              <w:adjustRightInd w:val="0"/>
              <w:snapToGrid w:val="0"/>
              <w:jc w:val="center"/>
              <w:rPr>
                <w:sz w:val="24"/>
              </w:rPr>
            </w:pPr>
            <w:r>
              <w:rPr>
                <w:rFonts w:hint="eastAsia"/>
                <w:sz w:val="24"/>
              </w:rPr>
              <w:t>280</w:t>
            </w:r>
            <w:r>
              <w:rPr>
                <w:sz w:val="24"/>
              </w:rPr>
              <w:t>万</w:t>
            </w:r>
          </w:p>
        </w:tc>
        <w:tc>
          <w:tcPr>
            <w:tcW w:w="2181" w:type="dxa"/>
            <w:gridSpan w:val="3"/>
            <w:tcMar>
              <w:top w:w="16" w:type="dxa"/>
              <w:left w:w="16" w:type="dxa"/>
              <w:right w:w="16" w:type="dxa"/>
            </w:tcMar>
            <w:vAlign w:val="center"/>
          </w:tcPr>
          <w:p>
            <w:pPr>
              <w:adjustRightInd w:val="0"/>
              <w:snapToGrid w:val="0"/>
              <w:jc w:val="center"/>
              <w:rPr>
                <w:sz w:val="24"/>
              </w:rPr>
            </w:pPr>
            <w:r>
              <w:rPr>
                <w:sz w:val="24"/>
              </w:rPr>
              <w:t>环保投资（万元）</w:t>
            </w:r>
          </w:p>
        </w:tc>
        <w:tc>
          <w:tcPr>
            <w:tcW w:w="2726" w:type="dxa"/>
            <w:vAlign w:val="center"/>
          </w:tcPr>
          <w:p>
            <w:pPr>
              <w:adjustRightInd w:val="0"/>
              <w:snapToGrid w:val="0"/>
              <w:jc w:val="center"/>
              <w:rPr>
                <w:sz w:val="24"/>
              </w:rPr>
            </w:pPr>
            <w:r>
              <w:rPr>
                <w:rFonts w:hint="eastAsia"/>
                <w:sz w:val="24"/>
              </w:rPr>
              <w:t>86</w:t>
            </w:r>
          </w:p>
        </w:tc>
      </w:tr>
      <w:tr>
        <w:tblPrEx>
          <w:tblW w:w="0" w:type="auto"/>
          <w:jc w:val="center"/>
          <w:tblLayout w:type="fixed"/>
          <w:tblCellMar>
            <w:top w:w="0" w:type="dxa"/>
            <w:left w:w="0" w:type="dxa"/>
            <w:bottom w:w="0" w:type="dxa"/>
            <w:right w:w="0" w:type="dxa"/>
          </w:tblCellMar>
          <w:tblLook w:val="0000"/>
        </w:tblPrEx>
        <w:trPr>
          <w:trHeight w:val="497"/>
          <w:jc w:val="center"/>
        </w:trPr>
        <w:tc>
          <w:tcPr>
            <w:tcW w:w="1771" w:type="dxa"/>
            <w:tcMar>
              <w:top w:w="16" w:type="dxa"/>
              <w:left w:w="16" w:type="dxa"/>
              <w:right w:w="16" w:type="dxa"/>
            </w:tcMar>
            <w:vAlign w:val="center"/>
          </w:tcPr>
          <w:p>
            <w:pPr>
              <w:adjustRightInd w:val="0"/>
              <w:snapToGrid w:val="0"/>
              <w:jc w:val="center"/>
              <w:rPr>
                <w:sz w:val="24"/>
              </w:rPr>
            </w:pPr>
            <w:r>
              <w:rPr>
                <w:sz w:val="24"/>
              </w:rPr>
              <w:t>环保投资占比（%）</w:t>
            </w:r>
          </w:p>
        </w:tc>
        <w:tc>
          <w:tcPr>
            <w:tcW w:w="2192" w:type="dxa"/>
            <w:vAlign w:val="center"/>
          </w:tcPr>
          <w:p>
            <w:pPr>
              <w:adjustRightInd w:val="0"/>
              <w:snapToGrid w:val="0"/>
              <w:jc w:val="center"/>
              <w:rPr>
                <w:sz w:val="24"/>
              </w:rPr>
            </w:pPr>
            <w:r>
              <w:rPr>
                <w:rFonts w:hint="eastAsia"/>
                <w:sz w:val="24"/>
              </w:rPr>
              <w:t>28.57</w:t>
            </w:r>
          </w:p>
        </w:tc>
        <w:tc>
          <w:tcPr>
            <w:tcW w:w="2181" w:type="dxa"/>
            <w:gridSpan w:val="3"/>
            <w:tcMar>
              <w:top w:w="16" w:type="dxa"/>
              <w:left w:w="16" w:type="dxa"/>
              <w:right w:w="16" w:type="dxa"/>
            </w:tcMar>
            <w:vAlign w:val="center"/>
          </w:tcPr>
          <w:p>
            <w:pPr>
              <w:adjustRightInd w:val="0"/>
              <w:snapToGrid w:val="0"/>
              <w:jc w:val="center"/>
              <w:rPr>
                <w:sz w:val="24"/>
              </w:rPr>
            </w:pPr>
            <w:r>
              <w:rPr>
                <w:sz w:val="24"/>
              </w:rPr>
              <w:t>施工工期</w:t>
            </w:r>
          </w:p>
        </w:tc>
        <w:tc>
          <w:tcPr>
            <w:tcW w:w="2726" w:type="dxa"/>
            <w:vAlign w:val="center"/>
          </w:tcPr>
          <w:p>
            <w:pPr>
              <w:pStyle w:val="BodyTextFirstIndent2"/>
              <w:ind w:left="0" w:firstLine="0" w:leftChars="0" w:firstLineChars="0"/>
              <w:jc w:val="center"/>
            </w:pPr>
            <w:r>
              <w:rPr>
                <w:rFonts w:hint="eastAsia"/>
              </w:rPr>
              <w:t>/</w:t>
            </w:r>
          </w:p>
        </w:tc>
      </w:tr>
      <w:tr>
        <w:tblPrEx>
          <w:tblW w:w="0" w:type="auto"/>
          <w:jc w:val="center"/>
          <w:tblLayout w:type="fixed"/>
          <w:tblCellMar>
            <w:top w:w="0" w:type="dxa"/>
            <w:left w:w="0" w:type="dxa"/>
            <w:bottom w:w="0" w:type="dxa"/>
            <w:right w:w="0" w:type="dxa"/>
          </w:tblCellMar>
          <w:tblLook w:val="0000"/>
        </w:tblPrEx>
        <w:trPr>
          <w:trHeight w:val="497"/>
          <w:jc w:val="center"/>
        </w:trPr>
        <w:tc>
          <w:tcPr>
            <w:tcW w:w="1771" w:type="dxa"/>
            <w:tcMar>
              <w:top w:w="16" w:type="dxa"/>
              <w:left w:w="16" w:type="dxa"/>
              <w:right w:w="16" w:type="dxa"/>
            </w:tcMar>
            <w:vAlign w:val="center"/>
          </w:tcPr>
          <w:p>
            <w:pPr>
              <w:adjustRightInd w:val="0"/>
              <w:snapToGrid w:val="0"/>
              <w:jc w:val="center"/>
              <w:rPr>
                <w:sz w:val="24"/>
              </w:rPr>
            </w:pPr>
            <w:r>
              <w:rPr>
                <w:sz w:val="24"/>
              </w:rPr>
              <w:t>是否开工建设</w:t>
            </w:r>
          </w:p>
        </w:tc>
        <w:tc>
          <w:tcPr>
            <w:tcW w:w="2192" w:type="dxa"/>
            <w:vAlign w:val="center"/>
          </w:tcPr>
          <w:p>
            <w:pPr>
              <w:adjustRightInd w:val="0"/>
              <w:snapToGrid w:val="0"/>
              <w:rPr>
                <w:sz w:val="24"/>
              </w:rPr>
            </w:pPr>
            <w:r>
              <w:rPr>
                <w:rFonts w:ascii="Wingdings 2" w:hAnsi="Wingdings 2"/>
                <w:sz w:val="24"/>
              </w:rPr>
              <w:sym w:font="Wingdings 2" w:char="F0A3"/>
            </w:r>
            <w:r>
              <w:rPr>
                <w:sz w:val="24"/>
              </w:rPr>
              <w:t>否</w:t>
            </w:r>
          </w:p>
          <w:p>
            <w:pPr>
              <w:adjustRightInd w:val="0"/>
              <w:snapToGrid w:val="0"/>
              <w:rPr>
                <w:sz w:val="24"/>
              </w:rPr>
            </w:pPr>
            <w:r>
              <w:rPr>
                <w:rFonts w:ascii="Wingdings 2" w:hAnsi="Wingdings 2"/>
                <w:sz w:val="24"/>
              </w:rPr>
              <w:sym w:font="Wingdings 2" w:char="F052"/>
            </w:r>
            <w:r>
              <w:rPr>
                <w:sz w:val="24"/>
              </w:rPr>
              <w:t>是：</w:t>
            </w:r>
            <w:r>
              <w:rPr>
                <w:rFonts w:hint="eastAsia"/>
                <w:sz w:val="24"/>
                <w:u w:val="single"/>
              </w:rPr>
              <w:t>2008年建成，本次为补办环评，暂未接受环保处罚</w:t>
            </w:r>
            <w:r>
              <w:rPr>
                <w:sz w:val="24"/>
                <w:u w:val="single"/>
              </w:rPr>
              <w:t xml:space="preserve">          </w:t>
            </w:r>
          </w:p>
        </w:tc>
        <w:tc>
          <w:tcPr>
            <w:tcW w:w="2181" w:type="dxa"/>
            <w:gridSpan w:val="3"/>
            <w:tcMar>
              <w:top w:w="16" w:type="dxa"/>
              <w:left w:w="16" w:type="dxa"/>
              <w:right w:w="16" w:type="dxa"/>
            </w:tcMar>
            <w:vAlign w:val="center"/>
          </w:tcPr>
          <w:p>
            <w:pPr>
              <w:adjustRightInd w:val="0"/>
              <w:snapToGrid w:val="0"/>
              <w:jc w:val="center"/>
              <w:rPr>
                <w:sz w:val="24"/>
              </w:rPr>
            </w:pPr>
            <w:r>
              <w:rPr>
                <w:spacing w:val="-6"/>
                <w:sz w:val="24"/>
              </w:rPr>
              <w:t>用地面积（m</w:t>
            </w:r>
            <w:r>
              <w:rPr>
                <w:spacing w:val="-6"/>
                <w:sz w:val="24"/>
                <w:vertAlign w:val="superscript"/>
              </w:rPr>
              <w:t>2</w:t>
            </w:r>
            <w:r>
              <w:rPr>
                <w:spacing w:val="-6"/>
                <w:sz w:val="24"/>
              </w:rPr>
              <w:t>）</w:t>
            </w:r>
          </w:p>
        </w:tc>
        <w:tc>
          <w:tcPr>
            <w:tcW w:w="2726" w:type="dxa"/>
            <w:vAlign w:val="center"/>
          </w:tcPr>
          <w:p>
            <w:pPr>
              <w:adjustRightInd w:val="0"/>
              <w:snapToGrid w:val="0"/>
              <w:jc w:val="center"/>
              <w:rPr>
                <w:sz w:val="24"/>
              </w:rPr>
            </w:pPr>
            <w:r>
              <w:rPr>
                <w:rFonts w:hint="eastAsia"/>
                <w:sz w:val="24"/>
              </w:rPr>
              <w:t>1589</w:t>
            </w:r>
          </w:p>
        </w:tc>
      </w:tr>
      <w:tr>
        <w:tblPrEx>
          <w:tblW w:w="0" w:type="auto"/>
          <w:jc w:val="center"/>
          <w:tblLayout w:type="fixed"/>
          <w:tblCellMar>
            <w:top w:w="0" w:type="dxa"/>
            <w:left w:w="108" w:type="dxa"/>
            <w:bottom w:w="0" w:type="dxa"/>
            <w:right w:w="108" w:type="dxa"/>
          </w:tblCellMar>
          <w:tblLook w:val="0000"/>
        </w:tblPrEx>
        <w:trPr>
          <w:trHeight w:val="1021"/>
          <w:jc w:val="center"/>
        </w:trPr>
        <w:tc>
          <w:tcPr>
            <w:tcW w:w="1771" w:type="dxa"/>
            <w:vAlign w:val="center"/>
          </w:tcPr>
          <w:p>
            <w:pPr>
              <w:autoSpaceDE w:val="0"/>
              <w:autoSpaceDN w:val="0"/>
              <w:adjustRightInd w:val="0"/>
              <w:snapToGrid w:val="0"/>
              <w:jc w:val="center"/>
              <w:rPr>
                <w:kern w:val="0"/>
                <w:sz w:val="24"/>
              </w:rPr>
            </w:pPr>
            <w:r>
              <w:rPr>
                <w:kern w:val="0"/>
                <w:sz w:val="24"/>
              </w:rPr>
              <w:t>专项评价设置情况</w:t>
            </w:r>
          </w:p>
        </w:tc>
        <w:tc>
          <w:tcPr>
            <w:tcW w:w="7099" w:type="dxa"/>
            <w:gridSpan w:val="5"/>
            <w:vAlign w:val="center"/>
          </w:tcPr>
          <w:p>
            <w:pPr>
              <w:autoSpaceDE w:val="0"/>
              <w:autoSpaceDN w:val="0"/>
              <w:spacing w:line="480" w:lineRule="exact"/>
              <w:jc w:val="center"/>
              <w:rPr>
                <w:kern w:val="0"/>
                <w:sz w:val="24"/>
              </w:rPr>
            </w:pPr>
            <w:r>
              <w:rPr>
                <w:rFonts w:hint="eastAsia"/>
                <w:kern w:val="0"/>
                <w:sz w:val="24"/>
              </w:rPr>
              <w:t>无</w:t>
            </w:r>
          </w:p>
        </w:tc>
      </w:tr>
      <w:tr>
        <w:tblPrEx>
          <w:tblW w:w="0" w:type="auto"/>
          <w:jc w:val="center"/>
          <w:tblLayout w:type="fixed"/>
          <w:tblCellMar>
            <w:top w:w="0" w:type="dxa"/>
            <w:left w:w="108" w:type="dxa"/>
            <w:bottom w:w="0" w:type="dxa"/>
            <w:right w:w="108" w:type="dxa"/>
          </w:tblCellMar>
          <w:tblLook w:val="0000"/>
        </w:tblPrEx>
        <w:trPr>
          <w:trHeight w:val="601"/>
          <w:jc w:val="center"/>
        </w:trPr>
        <w:tc>
          <w:tcPr>
            <w:tcW w:w="1771" w:type="dxa"/>
            <w:vAlign w:val="center"/>
          </w:tcPr>
          <w:p>
            <w:pPr>
              <w:autoSpaceDE w:val="0"/>
              <w:autoSpaceDN w:val="0"/>
              <w:adjustRightInd w:val="0"/>
              <w:snapToGrid w:val="0"/>
              <w:jc w:val="center"/>
              <w:rPr>
                <w:sz w:val="24"/>
              </w:rPr>
            </w:pPr>
            <w:r>
              <w:rPr>
                <w:sz w:val="24"/>
              </w:rPr>
              <w:t>规划情况</w:t>
            </w:r>
          </w:p>
        </w:tc>
        <w:tc>
          <w:tcPr>
            <w:tcW w:w="7099" w:type="dxa"/>
            <w:gridSpan w:val="5"/>
            <w:vAlign w:val="center"/>
          </w:tcPr>
          <w:p>
            <w:pPr>
              <w:spacing w:line="300" w:lineRule="atLeast"/>
              <w:jc w:val="center"/>
              <w:rPr>
                <w:kern w:val="0"/>
                <w:sz w:val="24"/>
              </w:rPr>
            </w:pPr>
            <w:r>
              <w:rPr>
                <w:rFonts w:hint="eastAsia"/>
                <w:kern w:val="0"/>
                <w:sz w:val="24"/>
              </w:rPr>
              <w:t>无</w:t>
            </w:r>
          </w:p>
        </w:tc>
      </w:tr>
      <w:tr>
        <w:tblPrEx>
          <w:tblW w:w="0" w:type="auto"/>
          <w:jc w:val="center"/>
          <w:tblLayout w:type="fixed"/>
          <w:tblCellMar>
            <w:top w:w="0" w:type="dxa"/>
            <w:left w:w="108" w:type="dxa"/>
            <w:bottom w:w="0" w:type="dxa"/>
            <w:right w:w="108" w:type="dxa"/>
          </w:tblCellMar>
          <w:tblLook w:val="0000"/>
        </w:tblPrEx>
        <w:trPr>
          <w:trHeight w:val="1128"/>
          <w:jc w:val="center"/>
        </w:trPr>
        <w:tc>
          <w:tcPr>
            <w:tcW w:w="1771" w:type="dxa"/>
            <w:vAlign w:val="center"/>
          </w:tcPr>
          <w:p>
            <w:pPr>
              <w:adjustRightInd w:val="0"/>
              <w:snapToGrid w:val="0"/>
              <w:jc w:val="center"/>
              <w:rPr>
                <w:sz w:val="24"/>
              </w:rPr>
            </w:pPr>
            <w:r>
              <w:rPr>
                <w:sz w:val="24"/>
              </w:rPr>
              <w:t>规划环境影响</w:t>
            </w:r>
          </w:p>
          <w:p>
            <w:pPr>
              <w:adjustRightInd w:val="0"/>
              <w:snapToGrid w:val="0"/>
              <w:jc w:val="center"/>
              <w:rPr>
                <w:kern w:val="0"/>
                <w:sz w:val="24"/>
              </w:rPr>
            </w:pPr>
            <w:r>
              <w:rPr>
                <w:sz w:val="24"/>
              </w:rPr>
              <w:t>评价情况</w:t>
            </w:r>
          </w:p>
        </w:tc>
        <w:tc>
          <w:tcPr>
            <w:tcW w:w="7099" w:type="dxa"/>
            <w:gridSpan w:val="5"/>
            <w:vAlign w:val="center"/>
          </w:tcPr>
          <w:p>
            <w:pPr>
              <w:spacing w:line="300" w:lineRule="atLeast"/>
              <w:jc w:val="center"/>
              <w:rPr>
                <w:sz w:val="24"/>
              </w:rPr>
            </w:pPr>
            <w:r>
              <w:rPr>
                <w:rFonts w:hint="eastAsia"/>
                <w:sz w:val="24"/>
              </w:rPr>
              <w:t>无</w:t>
            </w:r>
          </w:p>
        </w:tc>
      </w:tr>
      <w:tr>
        <w:tblPrEx>
          <w:tblW w:w="0" w:type="auto"/>
          <w:jc w:val="center"/>
          <w:tblLayout w:type="fixed"/>
          <w:tblCellMar>
            <w:top w:w="0" w:type="dxa"/>
            <w:left w:w="108" w:type="dxa"/>
            <w:bottom w:w="0" w:type="dxa"/>
            <w:right w:w="108" w:type="dxa"/>
          </w:tblCellMar>
          <w:tblLook w:val="0000"/>
        </w:tblPrEx>
        <w:trPr>
          <w:trHeight w:val="1021"/>
          <w:jc w:val="center"/>
        </w:trPr>
        <w:tc>
          <w:tcPr>
            <w:tcW w:w="1771" w:type="dxa"/>
            <w:vAlign w:val="center"/>
          </w:tcPr>
          <w:p>
            <w:pPr>
              <w:autoSpaceDE w:val="0"/>
              <w:autoSpaceDN w:val="0"/>
              <w:adjustRightInd w:val="0"/>
              <w:snapToGrid w:val="0"/>
              <w:jc w:val="center"/>
              <w:rPr>
                <w:kern w:val="0"/>
                <w:sz w:val="24"/>
              </w:rPr>
            </w:pPr>
            <w:r>
              <w:rPr>
                <w:kern w:val="0"/>
                <w:sz w:val="24"/>
              </w:rPr>
              <w:t>规划及规划环境影响评价符合性分析</w:t>
            </w:r>
          </w:p>
        </w:tc>
        <w:tc>
          <w:tcPr>
            <w:tcW w:w="7099" w:type="dxa"/>
            <w:gridSpan w:val="5"/>
            <w:vAlign w:val="center"/>
          </w:tcPr>
          <w:p>
            <w:pPr>
              <w:autoSpaceDE w:val="0"/>
              <w:autoSpaceDN w:val="0"/>
              <w:adjustRightInd w:val="0"/>
              <w:snapToGrid w:val="0"/>
              <w:jc w:val="center"/>
              <w:rPr>
                <w:sz w:val="24"/>
              </w:rPr>
            </w:pPr>
            <w:r>
              <w:rPr>
                <w:rFonts w:hint="eastAsia"/>
                <w:sz w:val="24"/>
              </w:rPr>
              <w:t>无</w:t>
            </w:r>
          </w:p>
        </w:tc>
      </w:tr>
      <w:tr>
        <w:tblPrEx>
          <w:tblW w:w="0" w:type="auto"/>
          <w:jc w:val="center"/>
          <w:tblLayout w:type="fixed"/>
          <w:tblCellMar>
            <w:top w:w="0" w:type="dxa"/>
            <w:left w:w="108" w:type="dxa"/>
            <w:bottom w:w="0" w:type="dxa"/>
            <w:right w:w="108" w:type="dxa"/>
          </w:tblCellMar>
          <w:tblLook w:val="0000"/>
        </w:tblPrEx>
        <w:trPr>
          <w:trHeight w:val="90"/>
          <w:jc w:val="center"/>
        </w:trPr>
        <w:tc>
          <w:tcPr>
            <w:tcW w:w="1771" w:type="dxa"/>
            <w:vAlign w:val="center"/>
          </w:tcPr>
          <w:p>
            <w:pPr>
              <w:autoSpaceDE w:val="0"/>
              <w:autoSpaceDN w:val="0"/>
              <w:adjustRightInd w:val="0"/>
              <w:snapToGrid w:val="0"/>
              <w:jc w:val="center"/>
              <w:rPr>
                <w:kern w:val="0"/>
                <w:sz w:val="24"/>
              </w:rPr>
            </w:pPr>
            <w:r>
              <w:rPr>
                <w:kern w:val="0"/>
                <w:sz w:val="24"/>
              </w:rPr>
              <w:t>其他符合性分析</w:t>
            </w:r>
          </w:p>
        </w:tc>
        <w:tc>
          <w:tcPr>
            <w:tcW w:w="7099" w:type="dxa"/>
            <w:gridSpan w:val="5"/>
            <w:vAlign w:val="center"/>
          </w:tcPr>
          <w:p>
            <w:pPr>
              <w:spacing w:line="480" w:lineRule="exact"/>
              <w:ind w:firstLine="480" w:firstLineChars="200"/>
              <w:rPr>
                <w:b/>
                <w:bCs/>
                <w:sz w:val="24"/>
              </w:rPr>
            </w:pPr>
            <w:r>
              <w:rPr>
                <w:b/>
                <w:bCs/>
                <w:sz w:val="24"/>
              </w:rPr>
              <w:t>1、产业政策符合性分析</w:t>
            </w:r>
          </w:p>
        </w:tc>
      </w:tr>
    </w:tbl>
    <w:p>
      <w:pPr>
        <w:sectPr>
          <w:footerReference w:type="default" r:id="rId4"/>
          <w:pgSz w:w="11906" w:h="16838"/>
          <w:pgMar w:top="1701" w:right="1531" w:bottom="1701" w:left="1531" w:header="851" w:footer="1077" w:gutter="0"/>
          <w:pgNumType w:start="1"/>
          <w:cols w:space="708"/>
          <w:docGrid w:linePitch="312"/>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71"/>
        <w:gridCol w:w="7099"/>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1771" w:type="dxa"/>
            <w:vAlign w:val="center"/>
          </w:tcPr>
          <w:p/>
        </w:tc>
        <w:tc>
          <w:tcPr>
            <w:tcW w:w="7099" w:type="dxa"/>
            <w:vAlign w:val="center"/>
          </w:tcPr>
          <w:p>
            <w:pPr>
              <w:spacing w:line="360" w:lineRule="auto"/>
              <w:ind w:firstLine="480" w:firstLineChars="200"/>
              <w:rPr>
                <w:sz w:val="24"/>
              </w:rPr>
            </w:pPr>
            <w:r>
              <w:rPr>
                <w:rFonts w:hint="eastAsia"/>
                <w:sz w:val="24"/>
              </w:rPr>
              <w:t>本项目为基层医疗卫生服务项目，根据国家发改委第29号令《产业结构调整指导目录（2019年本）》，本项目属于鼓励类中的</w:t>
            </w:r>
            <w:r>
              <w:rPr>
                <w:rFonts w:hint="eastAsia"/>
                <w:sz w:val="24"/>
              </w:rPr>
              <w:t>“</w:t>
            </w:r>
            <w:r>
              <w:rPr>
                <w:rFonts w:hint="eastAsia"/>
                <w:sz w:val="24"/>
              </w:rPr>
              <w:t>三十七、卫生健康，5、医疗卫生服务设施建设</w:t>
            </w:r>
            <w:r>
              <w:rPr>
                <w:rFonts w:hint="eastAsia"/>
                <w:sz w:val="24"/>
              </w:rPr>
              <w:t>”</w:t>
            </w:r>
            <w:r>
              <w:rPr>
                <w:rFonts w:hint="eastAsia"/>
                <w:sz w:val="24"/>
              </w:rPr>
              <w:t>，项目属于中华人民共和国国家发展和改革委员会第40号令《西部地区鼓励类产业目录（2020年本）》中</w:t>
            </w:r>
            <w:r>
              <w:rPr>
                <w:rFonts w:hint="eastAsia"/>
                <w:sz w:val="24"/>
              </w:rPr>
              <w:t>“</w:t>
            </w:r>
            <w:r>
              <w:rPr>
                <w:rFonts w:hint="eastAsia"/>
                <w:sz w:val="24"/>
              </w:rPr>
              <w:t>（六）陕西省14、医疗机构经营</w:t>
            </w:r>
            <w:r>
              <w:rPr>
                <w:rFonts w:hint="eastAsia"/>
                <w:sz w:val="24"/>
              </w:rPr>
              <w:t>”</w:t>
            </w:r>
            <w:r>
              <w:rPr>
                <w:rFonts w:hint="eastAsia"/>
                <w:sz w:val="24"/>
              </w:rPr>
              <w:t>。项目符合国家相关产业政策，且本项目已取得医疗机构许可证（见附件3）。</w:t>
            </w:r>
          </w:p>
          <w:p>
            <w:pPr>
              <w:spacing w:line="360" w:lineRule="auto"/>
              <w:ind w:firstLine="480" w:firstLineChars="200"/>
              <w:rPr>
                <w:sz w:val="24"/>
              </w:rPr>
            </w:pPr>
            <w:r>
              <w:rPr>
                <w:sz w:val="24"/>
              </w:rPr>
              <w:t>因此，项目建设符合国家及地方产业政策要求。</w:t>
            </w:r>
          </w:p>
          <w:p>
            <w:pPr>
              <w:autoSpaceDE w:val="0"/>
              <w:autoSpaceDN w:val="0"/>
              <w:adjustRightInd w:val="0"/>
              <w:snapToGrid w:val="0"/>
              <w:spacing w:line="360" w:lineRule="auto"/>
              <w:ind w:firstLine="480" w:firstLineChars="200"/>
              <w:rPr>
                <w:rFonts w:hint="eastAsia"/>
                <w:b/>
                <w:bCs/>
                <w:kern w:val="0"/>
                <w:sz w:val="24"/>
              </w:rPr>
            </w:pPr>
            <w:r>
              <w:rPr>
                <w:rFonts w:hint="eastAsia"/>
                <w:b/>
                <w:bCs/>
                <w:sz w:val="24"/>
              </w:rPr>
              <w:t>2</w:t>
            </w:r>
            <w:r>
              <w:rPr>
                <w:b/>
                <w:bCs/>
                <w:sz w:val="24"/>
              </w:rPr>
              <w:t>、</w:t>
            </w:r>
            <w:r>
              <w:rPr>
                <w:rFonts w:hint="eastAsia"/>
                <w:b/>
                <w:bCs/>
                <w:kern w:val="0"/>
                <w:sz w:val="24"/>
              </w:rPr>
              <w:t>与《西安市人民政府关于印发</w:t>
            </w:r>
            <w:r>
              <w:rPr>
                <w:rFonts w:hint="eastAsia"/>
                <w:b/>
                <w:bCs/>
                <w:kern w:val="0"/>
                <w:sz w:val="24"/>
              </w:rPr>
              <w:t>“</w:t>
            </w:r>
            <w:r>
              <w:rPr>
                <w:rFonts w:hint="eastAsia"/>
                <w:b/>
                <w:bCs/>
                <w:kern w:val="0"/>
                <w:sz w:val="24"/>
              </w:rPr>
              <w:t>三线一单</w:t>
            </w:r>
            <w:r>
              <w:rPr>
                <w:rFonts w:hint="eastAsia"/>
                <w:b/>
                <w:bCs/>
                <w:kern w:val="0"/>
                <w:sz w:val="24"/>
              </w:rPr>
              <w:t>”</w:t>
            </w:r>
            <w:r>
              <w:rPr>
                <w:rFonts w:hint="eastAsia"/>
                <w:b/>
                <w:bCs/>
                <w:kern w:val="0"/>
                <w:sz w:val="24"/>
              </w:rPr>
              <w:t>生态环境分区管控方案的通知》（市政发〔2021〕22号）的符合性分析</w:t>
            </w:r>
          </w:p>
          <w:p>
            <w:pPr>
              <w:autoSpaceDE w:val="0"/>
              <w:autoSpaceDN w:val="0"/>
              <w:adjustRightInd w:val="0"/>
              <w:snapToGrid w:val="0"/>
              <w:jc w:val="center"/>
              <w:rPr>
                <w:b/>
                <w:bCs/>
                <w:kern w:val="0"/>
                <w:sz w:val="24"/>
              </w:rPr>
            </w:pPr>
            <w:r>
              <w:rPr>
                <w:b/>
                <w:bCs/>
                <w:kern w:val="0"/>
                <w:sz w:val="24"/>
              </w:rPr>
              <w:t>表1-</w:t>
            </w:r>
            <w:r>
              <w:rPr>
                <w:rFonts w:hint="eastAsia"/>
                <w:b/>
                <w:bCs/>
                <w:kern w:val="0"/>
                <w:sz w:val="24"/>
              </w:rPr>
              <w:t>1</w:t>
            </w:r>
            <w:r>
              <w:rPr>
                <w:b/>
                <w:bCs/>
                <w:kern w:val="0"/>
                <w:sz w:val="24"/>
              </w:rPr>
              <w:t xml:space="preserve">  “《西安市人民政府关于印发“三线一单”生态环境分区管控方案的通知》</w:t>
            </w:r>
            <w:r>
              <w:rPr>
                <w:rFonts w:hint="eastAsia"/>
                <w:b/>
                <w:bCs/>
                <w:kern w:val="0"/>
                <w:sz w:val="24"/>
              </w:rPr>
              <w:t>（</w:t>
            </w:r>
            <w:r>
              <w:rPr>
                <w:b/>
                <w:bCs/>
                <w:kern w:val="0"/>
                <w:sz w:val="24"/>
              </w:rPr>
              <w:t>市政发〔2021〕22号</w:t>
            </w:r>
            <w:r>
              <w:rPr>
                <w:rFonts w:hint="eastAsia"/>
                <w:b/>
                <w:bCs/>
                <w:kern w:val="0"/>
                <w:sz w:val="24"/>
              </w:rPr>
              <w:t>）</w:t>
            </w:r>
            <w:r>
              <w:rPr>
                <w:b/>
                <w:bCs/>
                <w:kern w:val="0"/>
                <w:sz w:val="24"/>
              </w:rPr>
              <w:t>”符合性分析</w:t>
            </w:r>
          </w:p>
          <w:tbl>
            <w:tblPr>
              <w:tblStyle w:val="TableNormal"/>
              <w:tblW w:w="4994"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23"/>
              <w:gridCol w:w="1173"/>
              <w:gridCol w:w="5079"/>
            </w:tblGrid>
            <w:tr>
              <w:tblPrEx>
                <w:tblW w:w="4994"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452" w:type="pct"/>
                  <w:vAlign w:val="center"/>
                </w:tcPr>
                <w:p>
                  <w:pPr>
                    <w:jc w:val="center"/>
                    <w:rPr>
                      <w:bCs/>
                      <w:kern w:val="0"/>
                      <w:szCs w:val="21"/>
                    </w:rPr>
                  </w:pPr>
                  <w:r>
                    <w:rPr>
                      <w:bCs/>
                      <w:kern w:val="0"/>
                      <w:szCs w:val="21"/>
                    </w:rPr>
                    <w:t>序号</w:t>
                  </w:r>
                </w:p>
              </w:tc>
              <w:tc>
                <w:tcPr>
                  <w:tcW w:w="853" w:type="pct"/>
                  <w:vAlign w:val="center"/>
                </w:tcPr>
                <w:p>
                  <w:pPr>
                    <w:jc w:val="center"/>
                    <w:rPr>
                      <w:bCs/>
                      <w:kern w:val="0"/>
                      <w:szCs w:val="21"/>
                    </w:rPr>
                  </w:pPr>
                  <w:r>
                    <w:rPr>
                      <w:bCs/>
                      <w:kern w:val="0"/>
                      <w:szCs w:val="21"/>
                    </w:rPr>
                    <w:t>因素</w:t>
                  </w:r>
                </w:p>
              </w:tc>
              <w:tc>
                <w:tcPr>
                  <w:tcW w:w="3693" w:type="pct"/>
                  <w:vAlign w:val="center"/>
                </w:tcPr>
                <w:p>
                  <w:pPr>
                    <w:jc w:val="center"/>
                    <w:rPr>
                      <w:bCs/>
                      <w:kern w:val="0"/>
                      <w:szCs w:val="21"/>
                    </w:rPr>
                  </w:pPr>
                  <w:r>
                    <w:rPr>
                      <w:bCs/>
                      <w:kern w:val="0"/>
                      <w:szCs w:val="21"/>
                    </w:rPr>
                    <w:t>选址条件</w:t>
                  </w:r>
                </w:p>
              </w:tc>
            </w:tr>
            <w:tr>
              <w:tblPrEx>
                <w:tblW w:w="4994" w:type="pct"/>
                <w:jc w:val="center"/>
                <w:tblInd w:w="108" w:type="dxa"/>
                <w:tblLayout w:type="fixed"/>
                <w:tblCellMar>
                  <w:top w:w="0" w:type="dxa"/>
                  <w:left w:w="108" w:type="dxa"/>
                  <w:bottom w:w="0" w:type="dxa"/>
                  <w:right w:w="108" w:type="dxa"/>
                </w:tblCellMar>
                <w:tblLook w:val="0000"/>
              </w:tblPrEx>
              <w:trPr>
                <w:trHeight w:val="340"/>
                <w:jc w:val="center"/>
              </w:trPr>
              <w:tc>
                <w:tcPr>
                  <w:tcW w:w="452" w:type="pct"/>
                  <w:vAlign w:val="center"/>
                </w:tcPr>
                <w:p>
                  <w:pPr>
                    <w:spacing w:line="360" w:lineRule="exact"/>
                    <w:jc w:val="center"/>
                    <w:rPr>
                      <w:bCs/>
                      <w:kern w:val="0"/>
                      <w:szCs w:val="21"/>
                    </w:rPr>
                  </w:pPr>
                  <w:r>
                    <w:rPr>
                      <w:bCs/>
                      <w:kern w:val="0"/>
                      <w:szCs w:val="21"/>
                    </w:rPr>
                    <w:t>1</w:t>
                  </w:r>
                </w:p>
              </w:tc>
              <w:tc>
                <w:tcPr>
                  <w:tcW w:w="853" w:type="pct"/>
                  <w:vAlign w:val="center"/>
                </w:tcPr>
                <w:p>
                  <w:pPr>
                    <w:jc w:val="center"/>
                    <w:rPr>
                      <w:bCs/>
                      <w:kern w:val="0"/>
                      <w:szCs w:val="21"/>
                    </w:rPr>
                  </w:pPr>
                  <w:r>
                    <w:rPr>
                      <w:bCs/>
                      <w:kern w:val="0"/>
                      <w:szCs w:val="21"/>
                    </w:rPr>
                    <w:t>生态保护红线</w:t>
                  </w:r>
                </w:p>
              </w:tc>
              <w:tc>
                <w:tcPr>
                  <w:tcW w:w="3693" w:type="pct"/>
                  <w:vAlign w:val="center"/>
                </w:tcPr>
                <w:p>
                  <w:r>
                    <w:t>根据《西安市人民政府关于印发“三线一单”生态环境分区管控方案的通知》（市政发〔2021〕22号）及西安市生态环境管控单元分布示意图</w:t>
                  </w:r>
                  <w:r>
                    <w:rPr>
                      <w:rFonts w:hint="eastAsia"/>
                    </w:rPr>
                    <w:t>（附图7）</w:t>
                  </w:r>
                  <w:r>
                    <w:t>可知，项目所在地属于</w:t>
                  </w:r>
                  <w:r>
                    <w:rPr>
                      <w:rFonts w:hint="eastAsia"/>
                    </w:rPr>
                    <w:t>西安市</w:t>
                  </w:r>
                  <w:r>
                    <w:t>生态环境管控单元重点管控单元，在加强废气、废水等方面防治措施的情况下对环境景响较小。此外项目所在地不涉及自然保护区、饮用水源保护区等生态保护目标，符合生态保护红线要求。</w:t>
                  </w:r>
                </w:p>
              </w:tc>
            </w:tr>
            <w:tr>
              <w:tblPrEx>
                <w:tblW w:w="4994" w:type="pct"/>
                <w:jc w:val="center"/>
                <w:tblInd w:w="108" w:type="dxa"/>
                <w:tblLayout w:type="fixed"/>
                <w:tblCellMar>
                  <w:top w:w="0" w:type="dxa"/>
                  <w:left w:w="108" w:type="dxa"/>
                  <w:bottom w:w="0" w:type="dxa"/>
                  <w:right w:w="108" w:type="dxa"/>
                </w:tblCellMar>
                <w:tblLook w:val="0000"/>
              </w:tblPrEx>
              <w:trPr>
                <w:trHeight w:val="90"/>
                <w:jc w:val="center"/>
              </w:trPr>
              <w:tc>
                <w:tcPr>
                  <w:tcW w:w="452" w:type="pct"/>
                  <w:vAlign w:val="center"/>
                </w:tcPr>
                <w:p>
                  <w:pPr>
                    <w:spacing w:line="360" w:lineRule="exact"/>
                    <w:jc w:val="center"/>
                    <w:rPr>
                      <w:bCs/>
                      <w:kern w:val="0"/>
                      <w:szCs w:val="21"/>
                    </w:rPr>
                  </w:pPr>
                  <w:r>
                    <w:rPr>
                      <w:bCs/>
                      <w:kern w:val="0"/>
                      <w:szCs w:val="21"/>
                    </w:rPr>
                    <w:t>2</w:t>
                  </w:r>
                </w:p>
              </w:tc>
              <w:tc>
                <w:tcPr>
                  <w:tcW w:w="853" w:type="pct"/>
                  <w:vAlign w:val="center"/>
                </w:tcPr>
                <w:p>
                  <w:pPr>
                    <w:jc w:val="center"/>
                    <w:rPr>
                      <w:bCs/>
                      <w:kern w:val="0"/>
                      <w:szCs w:val="21"/>
                    </w:rPr>
                  </w:pPr>
                  <w:r>
                    <w:rPr>
                      <w:bCs/>
                      <w:kern w:val="0"/>
                      <w:szCs w:val="21"/>
                    </w:rPr>
                    <w:t>环境质量底线</w:t>
                  </w:r>
                </w:p>
              </w:tc>
              <w:tc>
                <w:tcPr>
                  <w:tcW w:w="3693" w:type="pct"/>
                  <w:vAlign w:val="center"/>
                </w:tcPr>
                <w:p>
                  <w:r>
                    <w:t>环境质量底线是国家和地方设置的大气、水和土壤环境质量目标，也是改善环境质量的基准线。本项目建设地点位于陕西省西安市莲湖区环城西路街道大庆路2号，区域空气质量执行《环境空气质量标准》（GB3095-2012）二级，声环境质量执行《声环境质量标准》（GB3096-2008）2类。本项目产生的各项污染物通过相应的治理措施处理后均可达标排放，项目环境风险可控制在安全范围内。因此，本次项目对区域环境质量影响较小，符合环境质量底线的相关要求。</w:t>
                  </w:r>
                </w:p>
              </w:tc>
            </w:tr>
            <w:tr>
              <w:tblPrEx>
                <w:tblW w:w="4994" w:type="pct"/>
                <w:jc w:val="center"/>
                <w:tblInd w:w="108" w:type="dxa"/>
                <w:tblLayout w:type="fixed"/>
                <w:tblCellMar>
                  <w:top w:w="0" w:type="dxa"/>
                  <w:left w:w="108" w:type="dxa"/>
                  <w:bottom w:w="0" w:type="dxa"/>
                  <w:right w:w="108" w:type="dxa"/>
                </w:tblCellMar>
                <w:tblLook w:val="0000"/>
              </w:tblPrEx>
              <w:trPr>
                <w:trHeight w:val="90"/>
                <w:jc w:val="center"/>
              </w:trPr>
              <w:tc>
                <w:tcPr>
                  <w:tcW w:w="452" w:type="pct"/>
                  <w:vAlign w:val="center"/>
                </w:tcPr>
                <w:p>
                  <w:pPr>
                    <w:spacing w:line="360" w:lineRule="exact"/>
                    <w:jc w:val="center"/>
                    <w:rPr>
                      <w:bCs/>
                      <w:kern w:val="0"/>
                      <w:szCs w:val="21"/>
                    </w:rPr>
                  </w:pPr>
                  <w:r>
                    <w:rPr>
                      <w:bCs/>
                      <w:kern w:val="0"/>
                      <w:szCs w:val="21"/>
                    </w:rPr>
                    <w:t>3</w:t>
                  </w:r>
                </w:p>
              </w:tc>
              <w:tc>
                <w:tcPr>
                  <w:tcW w:w="853" w:type="pct"/>
                  <w:vAlign w:val="center"/>
                </w:tcPr>
                <w:p>
                  <w:pPr>
                    <w:widowControl/>
                    <w:jc w:val="center"/>
                    <w:rPr>
                      <w:szCs w:val="21"/>
                    </w:rPr>
                  </w:pPr>
                  <w:r>
                    <w:rPr>
                      <w:szCs w:val="21"/>
                    </w:rPr>
                    <w:t>资源利用上线</w:t>
                  </w:r>
                </w:p>
              </w:tc>
              <w:tc>
                <w:tcPr>
                  <w:tcW w:w="3693" w:type="pct"/>
                  <w:vAlign w:val="center"/>
                </w:tcPr>
                <w:p>
                  <w:pPr>
                    <w:pStyle w:val="NormalWeb"/>
                    <w:spacing w:before="0" w:beforeAutospacing="0" w:after="0" w:afterAutospacing="0"/>
                    <w:rPr>
                      <w:rFonts w:ascii="Times New Roman" w:hAnsi="Times New Roman"/>
                      <w:bCs/>
                      <w:sz w:val="21"/>
                      <w:szCs w:val="21"/>
                    </w:rPr>
                  </w:pPr>
                  <w:r>
                    <w:rPr>
                      <w:rFonts w:ascii="Times New Roman" w:hAnsi="Times New Roman"/>
                      <w:bCs/>
                      <w:sz w:val="21"/>
                      <w:szCs w:val="21"/>
                    </w:rPr>
                    <w:t>项目生产用水和生活用水来源于市政自来水管网，本项目建成运行后通过内部管理、设备选择、原辅材料的选用和管理、废物回收利用、污染治理等多方面采取可行的防治措施，以“节能、降耗、减污”为目标，有限地控制污染，项目的水、电等资源不会突破区域的资源利用上线。</w:t>
                  </w:r>
                </w:p>
              </w:tc>
            </w:tr>
            <w:tr>
              <w:tblPrEx>
                <w:tblW w:w="4994" w:type="pct"/>
                <w:jc w:val="center"/>
                <w:tblInd w:w="108" w:type="dxa"/>
                <w:tblLayout w:type="fixed"/>
                <w:tblCellMar>
                  <w:top w:w="0" w:type="dxa"/>
                  <w:left w:w="108" w:type="dxa"/>
                  <w:bottom w:w="0" w:type="dxa"/>
                  <w:right w:w="108" w:type="dxa"/>
                </w:tblCellMar>
                <w:tblLook w:val="0000"/>
              </w:tblPrEx>
              <w:trPr>
                <w:trHeight w:val="340"/>
                <w:jc w:val="center"/>
              </w:trPr>
              <w:tc>
                <w:tcPr>
                  <w:tcW w:w="452" w:type="pct"/>
                  <w:vAlign w:val="center"/>
                </w:tcPr>
                <w:p>
                  <w:pPr>
                    <w:spacing w:line="360" w:lineRule="exact"/>
                    <w:jc w:val="center"/>
                    <w:rPr>
                      <w:bCs/>
                      <w:kern w:val="0"/>
                      <w:szCs w:val="21"/>
                    </w:rPr>
                  </w:pPr>
                  <w:r>
                    <w:rPr>
                      <w:bCs/>
                      <w:kern w:val="0"/>
                      <w:szCs w:val="21"/>
                    </w:rPr>
                    <w:t>4</w:t>
                  </w:r>
                </w:p>
              </w:tc>
              <w:tc>
                <w:tcPr>
                  <w:tcW w:w="853" w:type="pct"/>
                  <w:vAlign w:val="center"/>
                </w:tcPr>
                <w:p>
                  <w:pPr>
                    <w:widowControl/>
                    <w:jc w:val="center"/>
                    <w:rPr>
                      <w:szCs w:val="21"/>
                    </w:rPr>
                  </w:pPr>
                  <w:r>
                    <w:rPr>
                      <w:rFonts w:hint="eastAsia"/>
                      <w:szCs w:val="21"/>
                    </w:rPr>
                    <w:t>生态</w:t>
                  </w:r>
                  <w:r>
                    <w:rPr>
                      <w:szCs w:val="21"/>
                    </w:rPr>
                    <w:t>环境准入清单</w:t>
                  </w:r>
                </w:p>
              </w:tc>
              <w:tc>
                <w:tcPr>
                  <w:tcW w:w="3693" w:type="pct"/>
                  <w:vAlign w:val="center"/>
                </w:tcPr>
                <w:p>
                  <w:pPr>
                    <w:spacing w:after="0"/>
                    <w:jc w:val="left"/>
                  </w:pPr>
                  <w:r>
                    <w:rPr>
                      <w:rFonts w:hint="eastAsia"/>
                    </w:rPr>
                    <w:t>根据《西安市人民政府关于印发</w:t>
                  </w:r>
                  <w:r>
                    <w:rPr>
                      <w:rFonts w:hint="eastAsia"/>
                    </w:rPr>
                    <w:t>“</w:t>
                  </w:r>
                  <w:r>
                    <w:rPr>
                      <w:rFonts w:hint="eastAsia"/>
                    </w:rPr>
                    <w:t>三线一单</w:t>
                  </w:r>
                  <w:r>
                    <w:rPr>
                      <w:rFonts w:hint="eastAsia"/>
                    </w:rPr>
                    <w:t>”</w:t>
                  </w:r>
                  <w:r>
                    <w:rPr>
                      <w:rFonts w:hint="eastAsia"/>
                    </w:rPr>
                    <w:t>生态环境分区管控方案的通知》（市政发〔2021〕22号）中的</w:t>
                  </w:r>
                </w:p>
              </w:tc>
            </w:tr>
          </w:tbl>
          <w:p/>
        </w:tc>
      </w:tr>
    </w:tbl>
    <w:p>
      <w:pPr>
        <w:sectPr>
          <w:footerReference w:type="default" r:id="rId5"/>
          <w:type w:val="nextPage"/>
          <w:pgSz w:w="11906" w:h="16838"/>
          <w:pgMar w:top="1701" w:right="1531" w:bottom="1701" w:left="1531" w:header="851" w:footer="1077" w:gutter="0"/>
          <w:pgNumType w:start="2"/>
          <w:cols w:space="708"/>
          <w:titlePg w:val="0"/>
          <w:docGrid w:linePitch="312"/>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71"/>
        <w:gridCol w:w="7099"/>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1771" w:type="dxa"/>
            <w:vAlign w:val="center"/>
          </w:tcPr>
          <w:p/>
        </w:tc>
        <w:tc>
          <w:tcPr>
            <w:tcW w:w="7099" w:type="dxa"/>
            <w:vAlign w:val="center"/>
          </w:tcPr>
          <w:tbl>
            <w:tblPr>
              <w:tblStyle w:val="TableNormal"/>
              <w:tblW w:w="4994"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23"/>
              <w:gridCol w:w="1173"/>
              <w:gridCol w:w="5079"/>
            </w:tblGrid>
            <w:tr>
              <w:tblPrEx>
                <w:tblW w:w="4994"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452" w:type="pct"/>
                  <w:vAlign w:val="center"/>
                </w:tcPr>
                <w:p/>
              </w:tc>
              <w:tc>
                <w:tcPr>
                  <w:tcW w:w="853" w:type="pct"/>
                  <w:vAlign w:val="center"/>
                </w:tcPr>
                <w:p/>
              </w:tc>
              <w:tc>
                <w:tcPr>
                  <w:tcW w:w="3693" w:type="pct"/>
                  <w:vAlign w:val="center"/>
                </w:tcPr>
                <w:p>
                  <w:pPr>
                    <w:spacing w:before="0"/>
                    <w:jc w:val="left"/>
                  </w:pPr>
                  <w:r>
                    <w:t>以陕西省生态环境分区管控体系为基础，围绕空间布局约束、污染物排放管控、环境风险防控、资源开发利用效率四个方面，完善全市总体和各环境管控单元的生态环境准入清单，建立“1+1+158”的生态环境准入清单管控体系。</w:t>
                  </w:r>
                </w:p>
                <w:p>
                  <w:pPr>
                    <w:ind w:firstLine="420" w:firstLineChars="200"/>
                    <w:jc w:val="left"/>
                    <w:rPr>
                      <w:szCs w:val="21"/>
                    </w:rPr>
                  </w:pPr>
                  <w:r>
                    <w:t>“1”即全市总体、全市优先保护单元及全市重点管控</w:t>
                  </w:r>
                  <w:r>
                    <w:rPr>
                      <w:szCs w:val="21"/>
                    </w:rPr>
                    <w:t>单元总体的生态环境准入清单，明确了全市不同空间区域的空间布局约束、污染物排放管控、环境风险防控、资源开发效率的管控要求。</w:t>
                  </w:r>
                </w:p>
                <w:p>
                  <w:pPr>
                    <w:ind w:firstLine="420" w:firstLineChars="200"/>
                    <w:jc w:val="left"/>
                    <w:rPr>
                      <w:szCs w:val="21"/>
                    </w:rPr>
                  </w:pPr>
                  <w:r>
                    <w:rPr>
                      <w:szCs w:val="21"/>
                    </w:rPr>
                    <w:t>“1”即各区县总体的生态环境准入清单，明确了各区（县）不同空间区域的空间布局约束、污染物排放管控、环境风险防控、资源开发效率的管控要求。</w:t>
                  </w:r>
                </w:p>
                <w:p>
                  <w:pPr>
                    <w:ind w:firstLine="420" w:firstLineChars="200"/>
                    <w:jc w:val="left"/>
                    <w:rPr>
                      <w:szCs w:val="21"/>
                    </w:rPr>
                  </w:pPr>
                  <w:r>
                    <w:rPr>
                      <w:szCs w:val="21"/>
                    </w:rPr>
                    <w:t>“158”是指各区县（含西咸新区17个）管控单元生态环境准入清单。</w:t>
                  </w:r>
                </w:p>
                <w:p>
                  <w:pPr>
                    <w:pStyle w:val="BodyTextFirstIndent2"/>
                    <w:ind w:left="0" w:leftChars="0"/>
                  </w:pPr>
                  <w:r>
                    <w:rPr>
                      <w:szCs w:val="21"/>
                    </w:rPr>
                    <w:t>本项目不属于高污染、高能耗、高风险和资源型的产业类型，因此，本项目符合生态环境准入清单管控要求</w:t>
                  </w:r>
                  <w:r>
                    <w:t>。</w:t>
                  </w:r>
                </w:p>
              </w:tc>
            </w:tr>
          </w:tbl>
          <w:p>
            <w:pPr>
              <w:pStyle w:val="TableofFigures"/>
              <w:spacing w:before="0" w:beforeLines="0" w:after="0" w:afterLines="0" w:line="360" w:lineRule="auto"/>
              <w:ind w:firstLine="480" w:firstLineChars="200"/>
              <w:jc w:val="both"/>
              <w:rPr>
                <w:b w:val="0"/>
                <w:bCs/>
                <w:sz w:val="24"/>
              </w:rPr>
            </w:pPr>
            <w:r>
              <w:rPr>
                <w:rFonts w:hint="eastAsia"/>
                <w:sz w:val="24"/>
              </w:rPr>
              <w:t>3、</w:t>
            </w:r>
            <w:r>
              <w:rPr>
                <w:sz w:val="24"/>
              </w:rPr>
              <w:t>本项目与相关法律法规的符合性分析分析见表1-</w:t>
            </w:r>
            <w:r>
              <w:rPr>
                <w:rFonts w:hint="eastAsia"/>
                <w:sz w:val="24"/>
              </w:rPr>
              <w:t>2</w:t>
            </w:r>
            <w:r>
              <w:rPr>
                <w:sz w:val="24"/>
              </w:rPr>
              <w:t>。</w:t>
            </w:r>
          </w:p>
          <w:p>
            <w:pPr>
              <w:jc w:val="center"/>
              <w:rPr>
                <w:b/>
                <w:bCs/>
                <w:sz w:val="24"/>
              </w:rPr>
            </w:pPr>
            <w:r>
              <w:rPr>
                <w:b/>
                <w:bCs/>
                <w:sz w:val="24"/>
              </w:rPr>
              <w:t>表1-</w:t>
            </w:r>
            <w:r>
              <w:rPr>
                <w:rFonts w:hint="eastAsia"/>
                <w:b/>
                <w:bCs/>
                <w:sz w:val="24"/>
              </w:rPr>
              <w:t>2</w:t>
            </w:r>
            <w:r>
              <w:rPr>
                <w:b/>
                <w:bCs/>
                <w:sz w:val="24"/>
              </w:rPr>
              <w:t xml:space="preserve">    本项目与</w:t>
            </w:r>
            <w:r>
              <w:rPr>
                <w:b/>
                <w:sz w:val="24"/>
              </w:rPr>
              <w:t>相关法律法规政策</w:t>
            </w:r>
            <w:r>
              <w:rPr>
                <w:b/>
                <w:bCs/>
                <w:sz w:val="24"/>
              </w:rPr>
              <w:t>符合性分析一览表</w:t>
            </w:r>
          </w:p>
          <w:tbl>
            <w:tblPr>
              <w:tblStyle w:val="TableNormal"/>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32"/>
              <w:gridCol w:w="3527"/>
              <w:gridCol w:w="1859"/>
              <w:gridCol w:w="365"/>
            </w:tblGrid>
            <w:tr>
              <w:tblPrEx>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132" w:type="dxa"/>
                  <w:vAlign w:val="center"/>
                </w:tcPr>
                <w:p>
                  <w:pPr>
                    <w:jc w:val="center"/>
                  </w:pPr>
                  <w:r>
                    <w:t>规划名称</w:t>
                  </w:r>
                </w:p>
              </w:tc>
              <w:tc>
                <w:tcPr>
                  <w:tcW w:w="3527" w:type="dxa"/>
                  <w:vAlign w:val="center"/>
                </w:tcPr>
                <w:p>
                  <w:pPr>
                    <w:jc w:val="center"/>
                  </w:pPr>
                  <w:r>
                    <w:t>规划内容</w:t>
                  </w:r>
                </w:p>
              </w:tc>
              <w:tc>
                <w:tcPr>
                  <w:tcW w:w="1859" w:type="dxa"/>
                  <w:vAlign w:val="center"/>
                </w:tcPr>
                <w:p>
                  <w:pPr>
                    <w:jc w:val="center"/>
                  </w:pPr>
                  <w:r>
                    <w:t>本项目与规划的关系</w:t>
                  </w:r>
                </w:p>
              </w:tc>
              <w:tc>
                <w:tcPr>
                  <w:tcW w:w="365" w:type="dxa"/>
                  <w:vAlign w:val="center"/>
                </w:tcPr>
                <w:p>
                  <w:pPr>
                    <w:jc w:val="center"/>
                  </w:pPr>
                  <w:r>
                    <w:t>结论</w:t>
                  </w:r>
                </w:p>
              </w:tc>
            </w:tr>
            <w:tr>
              <w:tblPrEx>
                <w:tblW w:w="5000" w:type="pct"/>
                <w:jc w:val="center"/>
                <w:tblInd w:w="108" w:type="dxa"/>
                <w:tblLayout w:type="fixed"/>
                <w:tblCellMar>
                  <w:top w:w="0" w:type="dxa"/>
                  <w:left w:w="108" w:type="dxa"/>
                  <w:bottom w:w="0" w:type="dxa"/>
                  <w:right w:w="108" w:type="dxa"/>
                </w:tblCellMar>
                <w:tblLook w:val="0000"/>
              </w:tblPrEx>
              <w:trPr>
                <w:trHeight w:val="340"/>
                <w:jc w:val="center"/>
              </w:trPr>
              <w:tc>
                <w:tcPr>
                  <w:tcW w:w="1132" w:type="dxa"/>
                  <w:vAlign w:val="center"/>
                </w:tcPr>
                <w:p>
                  <w:pPr>
                    <w:spacing w:line="360" w:lineRule="exact"/>
                    <w:jc w:val="center"/>
                    <w:rPr>
                      <w:spacing w:val="-6"/>
                      <w:kern w:val="0"/>
                      <w:szCs w:val="21"/>
                    </w:rPr>
                  </w:pPr>
                  <w:r>
                    <w:rPr>
                      <w:spacing w:val="-6"/>
                      <w:kern w:val="0"/>
                      <w:szCs w:val="21"/>
                    </w:rPr>
                    <w:t>《陕西省医疗卫生机构医疗废物管理规范》</w:t>
                  </w:r>
                </w:p>
              </w:tc>
              <w:tc>
                <w:tcPr>
                  <w:tcW w:w="3527" w:type="dxa"/>
                  <w:vAlign w:val="center"/>
                </w:tcPr>
                <w:p>
                  <w:pPr>
                    <w:spacing w:line="360" w:lineRule="exact"/>
                    <w:jc w:val="left"/>
                    <w:rPr>
                      <w:kern w:val="0"/>
                      <w:szCs w:val="21"/>
                    </w:rPr>
                  </w:pPr>
                  <w:r>
                    <w:rPr>
                      <w:kern w:val="0"/>
                      <w:szCs w:val="21"/>
                    </w:rPr>
                    <w:t>第十九条医疗卫生机构应当建立医疗废物暂时贮存设施、设备，不得露天存放医疗废物；医疗废物暂时贮存的时间不得超过2天。医疗卫生机构建立的医疗废物暂时贮存设施、设备应当达到以下要求①暂时贮存场所须分办公室、医疗废物贮存间、车辆存放间。其总面积：1000张床位以上的大型医院不得小于80m</w:t>
                  </w:r>
                  <w:r>
                    <w:rPr>
                      <w:kern w:val="0"/>
                      <w:szCs w:val="21"/>
                      <w:vertAlign w:val="superscript"/>
                    </w:rPr>
                    <w:t>2</w:t>
                  </w:r>
                  <w:r>
                    <w:rPr>
                      <w:kern w:val="0"/>
                      <w:szCs w:val="21"/>
                    </w:rPr>
                    <w:t>；②必须与生活垃圾存放地分开，有防雨淋的装置，地基高度应确保设施内不受雨洪冲击或浸泡；</w:t>
                  </w:r>
                </w:p>
                <w:p>
                  <w:pPr>
                    <w:spacing w:after="0" w:line="360" w:lineRule="exact"/>
                    <w:jc w:val="left"/>
                  </w:pPr>
                </w:p>
              </w:tc>
              <w:tc>
                <w:tcPr>
                  <w:tcW w:w="1859" w:type="dxa"/>
                  <w:vAlign w:val="center"/>
                </w:tcPr>
                <w:p>
                  <w:pPr>
                    <w:spacing w:after="0" w:line="360" w:lineRule="exact"/>
                    <w:jc w:val="left"/>
                    <w:rPr>
                      <w:kern w:val="0"/>
                      <w:szCs w:val="21"/>
                    </w:rPr>
                  </w:pPr>
                  <w:r>
                    <w:rPr>
                      <w:kern w:val="0"/>
                      <w:szCs w:val="21"/>
                    </w:rPr>
                    <w:t>项目医疗废物暂存间位于医疗</w:t>
                  </w:r>
                  <w:r>
                    <w:rPr>
                      <w:rFonts w:hint="eastAsia"/>
                      <w:szCs w:val="21"/>
                    </w:rPr>
                    <w:t>服务大楼</w:t>
                  </w:r>
                  <w:r>
                    <w:rPr>
                      <w:kern w:val="0"/>
                      <w:szCs w:val="21"/>
                    </w:rPr>
                    <w:t>一层，医疗废物暂存间面积</w:t>
                  </w:r>
                  <w:r>
                    <w:rPr>
                      <w:rFonts w:hint="eastAsia"/>
                      <w:kern w:val="0"/>
                      <w:szCs w:val="21"/>
                    </w:rPr>
                    <w:t>30</w:t>
                  </w:r>
                  <w:r>
                    <w:rPr>
                      <w:kern w:val="0"/>
                      <w:szCs w:val="21"/>
                    </w:rPr>
                    <w:t>m</w:t>
                  </w:r>
                  <w:r>
                    <w:rPr>
                      <w:kern w:val="0"/>
                      <w:sz w:val="24"/>
                      <w:vertAlign w:val="superscript"/>
                    </w:rPr>
                    <w:t>2</w:t>
                  </w:r>
                  <w:r>
                    <w:rPr>
                      <w:kern w:val="0"/>
                      <w:szCs w:val="21"/>
                    </w:rPr>
                    <w:t>，与生活垃圾分开暂存，与医疗区、食品加工区、人员活动密集区隔离</w:t>
                  </w:r>
                  <w:r>
                    <w:rPr>
                      <w:rFonts w:hint="eastAsia"/>
                      <w:kern w:val="0"/>
                      <w:szCs w:val="21"/>
                    </w:rPr>
                    <w:t>，</w:t>
                  </w:r>
                  <w:r>
                    <w:rPr>
                      <w:kern w:val="0"/>
                      <w:szCs w:val="21"/>
                    </w:rPr>
                    <w:t>暂存间</w:t>
                  </w:r>
                  <w:r>
                    <w:rPr>
                      <w:rFonts w:hint="eastAsia"/>
                      <w:kern w:val="0"/>
                      <w:szCs w:val="21"/>
                    </w:rPr>
                    <w:t>均</w:t>
                  </w:r>
                  <w:r>
                    <w:rPr>
                      <w:kern w:val="0"/>
                      <w:szCs w:val="21"/>
                    </w:rPr>
                    <w:t>采取防腐防渗措施，医疗废物均采用专门设施包装后分开存放，</w:t>
                  </w:r>
                  <w:r>
                    <w:rPr>
                      <w:rFonts w:hint="eastAsia"/>
                      <w:kern w:val="0"/>
                      <w:szCs w:val="21"/>
                    </w:rPr>
                    <w:t>暂存间</w:t>
                  </w:r>
                </w:p>
              </w:tc>
              <w:tc>
                <w:tcPr>
                  <w:tcW w:w="365" w:type="dxa"/>
                  <w:vAlign w:val="center"/>
                </w:tcPr>
                <w:p>
                  <w:pPr>
                    <w:spacing w:line="360" w:lineRule="exact"/>
                    <w:jc w:val="center"/>
                    <w:rPr>
                      <w:bCs/>
                      <w:szCs w:val="21"/>
                    </w:rPr>
                  </w:pPr>
                  <w:r>
                    <w:rPr>
                      <w:bCs/>
                      <w:szCs w:val="21"/>
                    </w:rPr>
                    <w:t>符合</w:t>
                  </w:r>
                </w:p>
              </w:tc>
            </w:tr>
          </w:tbl>
          <w:p/>
        </w:tc>
      </w:tr>
    </w:tbl>
    <w:p>
      <w:pPr>
        <w:sectPr>
          <w:footerReference w:type="default" r:id="rId6"/>
          <w:type w:val="nextPage"/>
          <w:pgSz w:w="11906" w:h="16838"/>
          <w:pgMar w:top="1701" w:right="1531" w:bottom="1701" w:left="1531" w:header="851" w:footer="1077" w:gutter="0"/>
          <w:pgNumType w:start="3"/>
          <w:cols w:space="708"/>
          <w:titlePg w:val="0"/>
          <w:docGrid w:linePitch="312"/>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71"/>
        <w:gridCol w:w="7099"/>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1771" w:type="dxa"/>
            <w:vAlign w:val="center"/>
          </w:tcPr>
          <w:p/>
        </w:tc>
        <w:tc>
          <w:tcPr>
            <w:tcW w:w="7099" w:type="dxa"/>
            <w:vAlign w:val="center"/>
          </w:tcPr>
          <w:tbl>
            <w:tblPr>
              <w:tblStyle w:val="TableNormal"/>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32"/>
              <w:gridCol w:w="3527"/>
              <w:gridCol w:w="1859"/>
              <w:gridCol w:w="365"/>
            </w:tblGrid>
            <w:tr>
              <w:tblPrEx>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132" w:type="dxa"/>
                  <w:vAlign w:val="center"/>
                </w:tcPr>
                <w:p/>
              </w:tc>
              <w:tc>
                <w:tcPr>
                  <w:tcW w:w="3527" w:type="dxa"/>
                  <w:vAlign w:val="center"/>
                </w:tcPr>
                <w:p>
                  <w:pPr>
                    <w:spacing w:before="0" w:line="360" w:lineRule="exact"/>
                    <w:jc w:val="left"/>
                  </w:pPr>
                  <w:r>
                    <w:rPr>
                      <w:kern w:val="0"/>
                      <w:szCs w:val="21"/>
                    </w:rPr>
                    <w:t>③必须与医疗区、食品加工区和人员活动密集区隔开，方便医疗废物的装卸、装卸人员及运送车辆的出.入；④应有严密的封闭措施，设专人管理，避免非工作人员进出，以及防鼠、防蚊蝇、防蟑螂、防盗以及儿童接触等安全措施⑤地面和1米高的墙裙须进行防渗处理，地面有良好的排水性能，易于清洁和消毒，产生的废水应采用管道直接排入医疗卫生机构内的医疗废水消毒、处理系统，禁止将产生的废水直接排入外环境；⑥避免阳光直射库内，应有良好的照明设备和通风条件；⑦库房内应张贴"禁止吸烟、饮食”的警示标识；在库房外的明显处同时设置危险废物和医疗废物的警示标识。</w:t>
                  </w:r>
                </w:p>
              </w:tc>
              <w:tc>
                <w:tcPr>
                  <w:tcW w:w="1859" w:type="dxa"/>
                  <w:vAlign w:val="center"/>
                </w:tcPr>
                <w:p>
                  <w:pPr>
                    <w:spacing w:before="0" w:line="360" w:lineRule="exact"/>
                    <w:jc w:val="left"/>
                    <w:rPr>
                      <w:kern w:val="0"/>
                      <w:szCs w:val="21"/>
                    </w:rPr>
                  </w:pPr>
                  <w:r>
                    <w:rPr>
                      <w:kern w:val="0"/>
                      <w:szCs w:val="21"/>
                    </w:rPr>
                    <w:t>设专人管理，尽量做到日常日清，最长不超过48h；医疗废物暂存间具有良好的照明设备和通风条件；库房内张贴"禁止吸烟、饮食”的警示标识；在库房外的明显处同时设置危险废物和医疗废物的警示标识。</w:t>
                  </w:r>
                </w:p>
              </w:tc>
              <w:tc>
                <w:tcPr>
                  <w:tcW w:w="365" w:type="dxa"/>
                  <w:vAlign w:val="center"/>
                </w:tcPr>
                <w:p/>
              </w:tc>
            </w:tr>
            <w:tr>
              <w:tblPrEx>
                <w:tblW w:w="5000" w:type="pct"/>
                <w:jc w:val="center"/>
                <w:tblInd w:w="108" w:type="dxa"/>
                <w:tblLayout w:type="fixed"/>
                <w:tblCellMar>
                  <w:top w:w="0" w:type="dxa"/>
                  <w:left w:w="108" w:type="dxa"/>
                  <w:bottom w:w="0" w:type="dxa"/>
                  <w:right w:w="108" w:type="dxa"/>
                </w:tblCellMar>
                <w:tblLook w:val="0000"/>
              </w:tblPrEx>
              <w:trPr>
                <w:trHeight w:val="340"/>
                <w:jc w:val="center"/>
              </w:trPr>
              <w:tc>
                <w:tcPr>
                  <w:tcW w:w="1132" w:type="dxa"/>
                  <w:vAlign w:val="center"/>
                </w:tcPr>
                <w:p>
                  <w:pPr>
                    <w:spacing w:line="360" w:lineRule="exact"/>
                    <w:jc w:val="center"/>
                    <w:rPr>
                      <w:spacing w:val="-6"/>
                      <w:kern w:val="0"/>
                      <w:szCs w:val="21"/>
                    </w:rPr>
                  </w:pPr>
                  <w:r>
                    <w:rPr>
                      <w:spacing w:val="-6"/>
                      <w:kern w:val="0"/>
                      <w:szCs w:val="21"/>
                    </w:rPr>
                    <w:t>《医疗废物管理条例》</w:t>
                  </w:r>
                </w:p>
              </w:tc>
              <w:tc>
                <w:tcPr>
                  <w:tcW w:w="3527" w:type="dxa"/>
                  <w:vAlign w:val="center"/>
                </w:tcPr>
                <w:p>
                  <w:pPr>
                    <w:spacing w:line="360" w:lineRule="exact"/>
                    <w:jc w:val="left"/>
                    <w:rPr>
                      <w:kern w:val="0"/>
                      <w:szCs w:val="21"/>
                    </w:rPr>
                  </w:pPr>
                  <w:r>
                    <w:rPr>
                      <w:kern w:val="0"/>
                      <w:szCs w:val="21"/>
                    </w:rPr>
                    <w:t>①医疗卫生机构收治的传染病病人或者疑似传染病病人产生的生活垃圾，按照医疗废物进行管理和处置；②医疗卫生机构应当及时收集本单位产生的医疗废物，并按照类别分置于防渗漏、防锐器穿透的专用包装物或者密闭的容器内；③医疗卫生机构应当建立医疗废物的暂时贮存设施、设备，不得露天存放医疗废物；医疗废物暂时贮存的时间不得超过2天；④医疗废物的暂时贮存设施、设备，应当远离医疗区、食品加工区和人员活动区以及生活垃圾存放场所，并设置明显的警示标识和防渗漏、防鼠、防蚊蝇、防蟑螂、防盗以及预防儿童接触等安全措施⑤医疗废物的暂时贮存设施、设备应当定期消毒和清洁。</w:t>
                  </w:r>
                </w:p>
              </w:tc>
              <w:tc>
                <w:tcPr>
                  <w:tcW w:w="1859" w:type="dxa"/>
                  <w:vAlign w:val="center"/>
                </w:tcPr>
                <w:p>
                  <w:pPr>
                    <w:spacing w:line="360" w:lineRule="exact"/>
                    <w:jc w:val="left"/>
                    <w:rPr>
                      <w:kern w:val="0"/>
                      <w:szCs w:val="21"/>
                    </w:rPr>
                  </w:pPr>
                  <w:r>
                    <w:rPr>
                      <w:rFonts w:hint="eastAsia"/>
                      <w:kern w:val="0"/>
                      <w:szCs w:val="21"/>
                    </w:rPr>
                    <w:t>本项目不收治传染病人；</w:t>
                  </w:r>
                  <w:r>
                    <w:rPr>
                      <w:kern w:val="0"/>
                      <w:szCs w:val="21"/>
                    </w:rPr>
                    <w:t>项目医疗废物暂存间位于医疗</w:t>
                  </w:r>
                  <w:r>
                    <w:rPr>
                      <w:rFonts w:hint="eastAsia"/>
                      <w:szCs w:val="21"/>
                    </w:rPr>
                    <w:t>服务大楼</w:t>
                  </w:r>
                  <w:r>
                    <w:rPr>
                      <w:kern w:val="0"/>
                      <w:szCs w:val="21"/>
                    </w:rPr>
                    <w:t>一层，医疗废物暂存间面积</w:t>
                  </w:r>
                  <w:r>
                    <w:rPr>
                      <w:rFonts w:hint="eastAsia"/>
                      <w:kern w:val="0"/>
                      <w:szCs w:val="21"/>
                    </w:rPr>
                    <w:t>30</w:t>
                  </w:r>
                  <w:r>
                    <w:rPr>
                      <w:kern w:val="0"/>
                      <w:szCs w:val="21"/>
                    </w:rPr>
                    <w:t>m</w:t>
                  </w:r>
                  <w:r>
                    <w:rPr>
                      <w:kern w:val="0"/>
                      <w:sz w:val="24"/>
                      <w:vertAlign w:val="superscript"/>
                    </w:rPr>
                    <w:t>2</w:t>
                  </w:r>
                  <w:r>
                    <w:rPr>
                      <w:kern w:val="0"/>
                      <w:szCs w:val="21"/>
                    </w:rPr>
                    <w:t>，与生活垃圾分开暂存，与医疗区、食品加工区、人员活动密集区隔离</w:t>
                  </w:r>
                  <w:r>
                    <w:rPr>
                      <w:rFonts w:hint="eastAsia"/>
                      <w:kern w:val="0"/>
                      <w:szCs w:val="21"/>
                    </w:rPr>
                    <w:t>，</w:t>
                  </w:r>
                  <w:r>
                    <w:rPr>
                      <w:kern w:val="0"/>
                      <w:szCs w:val="21"/>
                    </w:rPr>
                    <w:t>暂存间</w:t>
                  </w:r>
                  <w:r>
                    <w:rPr>
                      <w:rFonts w:hint="eastAsia"/>
                      <w:kern w:val="0"/>
                      <w:szCs w:val="21"/>
                    </w:rPr>
                    <w:t>均</w:t>
                  </w:r>
                  <w:r>
                    <w:rPr>
                      <w:kern w:val="0"/>
                      <w:szCs w:val="21"/>
                    </w:rPr>
                    <w:t>采取防腐防渗措施，医疗废物均采用专门设施包装后分开存放，</w:t>
                  </w:r>
                  <w:r>
                    <w:rPr>
                      <w:rFonts w:hint="eastAsia"/>
                      <w:kern w:val="0"/>
                      <w:szCs w:val="21"/>
                    </w:rPr>
                    <w:t>暂存间</w:t>
                  </w:r>
                  <w:r>
                    <w:rPr>
                      <w:kern w:val="0"/>
                      <w:szCs w:val="21"/>
                    </w:rPr>
                    <w:t>设专人管理，尽量做到日常日清，最长不超过48h；医疗废物暂存间具有良好的照明设备和通风条件；库房内张贴"禁止吸烟、饮食”的警示标识；在库房外的明显处同时设置危险废物和医疗废物的警示标识。</w:t>
                  </w:r>
                </w:p>
              </w:tc>
              <w:tc>
                <w:tcPr>
                  <w:tcW w:w="365" w:type="dxa"/>
                  <w:vAlign w:val="center"/>
                </w:tcPr>
                <w:p>
                  <w:pPr>
                    <w:spacing w:line="360" w:lineRule="exact"/>
                    <w:jc w:val="center"/>
                    <w:rPr>
                      <w:rFonts w:hint="eastAsia"/>
                      <w:bCs/>
                      <w:szCs w:val="21"/>
                    </w:rPr>
                  </w:pPr>
                  <w:r>
                    <w:rPr>
                      <w:rFonts w:hint="eastAsia"/>
                      <w:bCs/>
                      <w:szCs w:val="21"/>
                    </w:rPr>
                    <w:t>符合</w:t>
                  </w:r>
                </w:p>
              </w:tc>
            </w:tr>
            <w:tr>
              <w:tblPrEx>
                <w:tblW w:w="5000" w:type="pct"/>
                <w:jc w:val="center"/>
                <w:tblInd w:w="108" w:type="dxa"/>
                <w:tblLayout w:type="fixed"/>
                <w:tblCellMar>
                  <w:top w:w="0" w:type="dxa"/>
                  <w:left w:w="108" w:type="dxa"/>
                  <w:bottom w:w="0" w:type="dxa"/>
                  <w:right w:w="108" w:type="dxa"/>
                </w:tblCellMar>
                <w:tblLook w:val="0000"/>
              </w:tblPrEx>
              <w:trPr>
                <w:trHeight w:val="340"/>
                <w:jc w:val="center"/>
              </w:trPr>
              <w:tc>
                <w:tcPr>
                  <w:tcW w:w="1132" w:type="dxa"/>
                  <w:vAlign w:val="center"/>
                </w:tcPr>
                <w:p>
                  <w:pPr>
                    <w:spacing w:after="0" w:line="360" w:lineRule="exact"/>
                    <w:jc w:val="center"/>
                    <w:rPr>
                      <w:spacing w:val="-6"/>
                      <w:kern w:val="0"/>
                      <w:szCs w:val="21"/>
                    </w:rPr>
                  </w:pPr>
                </w:p>
              </w:tc>
              <w:tc>
                <w:tcPr>
                  <w:tcW w:w="3527" w:type="dxa"/>
                  <w:vAlign w:val="center"/>
                </w:tcPr>
                <w:p>
                  <w:pPr>
                    <w:spacing w:after="0" w:line="360" w:lineRule="exact"/>
                    <w:jc w:val="left"/>
                    <w:rPr>
                      <w:kern w:val="0"/>
                      <w:szCs w:val="21"/>
                    </w:rPr>
                  </w:pPr>
                </w:p>
              </w:tc>
              <w:tc>
                <w:tcPr>
                  <w:tcW w:w="1859" w:type="dxa"/>
                  <w:vAlign w:val="center"/>
                </w:tcPr>
                <w:p>
                  <w:pPr>
                    <w:spacing w:after="0" w:line="360" w:lineRule="exact"/>
                    <w:jc w:val="left"/>
                    <w:rPr>
                      <w:kern w:val="0"/>
                      <w:szCs w:val="21"/>
                    </w:rPr>
                  </w:pPr>
                </w:p>
              </w:tc>
              <w:tc>
                <w:tcPr>
                  <w:tcW w:w="365" w:type="dxa"/>
                  <w:vAlign w:val="center"/>
                </w:tcPr>
                <w:p>
                  <w:pPr>
                    <w:spacing w:after="0" w:line="360" w:lineRule="exact"/>
                    <w:jc w:val="center"/>
                    <w:rPr>
                      <w:bCs/>
                      <w:szCs w:val="21"/>
                    </w:rPr>
                  </w:pPr>
                </w:p>
              </w:tc>
            </w:tr>
          </w:tbl>
          <w:p/>
        </w:tc>
      </w:tr>
    </w:tbl>
    <w:p>
      <w:pPr>
        <w:sectPr>
          <w:footerReference w:type="default" r:id="rId7"/>
          <w:type w:val="nextPage"/>
          <w:pgSz w:w="11906" w:h="16838"/>
          <w:pgMar w:top="1701" w:right="1531" w:bottom="1701" w:left="1531" w:header="851" w:footer="1077" w:gutter="0"/>
          <w:pgNumType w:start="4"/>
          <w:cols w:space="708"/>
          <w:titlePg w:val="0"/>
          <w:docGrid w:linePitch="312"/>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71"/>
        <w:gridCol w:w="7099"/>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1771" w:type="dxa"/>
            <w:vAlign w:val="center"/>
          </w:tcPr>
          <w:p/>
        </w:tc>
        <w:tc>
          <w:tcPr>
            <w:tcW w:w="7099" w:type="dxa"/>
            <w:vAlign w:val="center"/>
          </w:tcPr>
          <w:tbl>
            <w:tblPr>
              <w:tblStyle w:val="TableNormal"/>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32"/>
              <w:gridCol w:w="3527"/>
              <w:gridCol w:w="1859"/>
              <w:gridCol w:w="365"/>
            </w:tblGrid>
            <w:tr>
              <w:tblPrEx>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132" w:type="dxa"/>
                  <w:vAlign w:val="center"/>
                </w:tcPr>
                <w:p>
                  <w:pPr>
                    <w:spacing w:before="0" w:line="360" w:lineRule="exact"/>
                    <w:jc w:val="center"/>
                    <w:rPr>
                      <w:spacing w:val="-6"/>
                      <w:kern w:val="0"/>
                      <w:szCs w:val="21"/>
                    </w:rPr>
                  </w:pPr>
                  <w:r>
                    <w:rPr>
                      <w:spacing w:val="-6"/>
                      <w:kern w:val="0"/>
                      <w:szCs w:val="21"/>
                    </w:rPr>
                    <w:t>《关于印发医疗机构废弃物综合治理工作方案的通知》（国卫医发[2020]）3号</w:t>
                  </w:r>
                </w:p>
              </w:tc>
              <w:tc>
                <w:tcPr>
                  <w:tcW w:w="3527" w:type="dxa"/>
                  <w:vAlign w:val="center"/>
                </w:tcPr>
                <w:p>
                  <w:pPr>
                    <w:spacing w:before="0" w:line="360" w:lineRule="exact"/>
                    <w:jc w:val="left"/>
                    <w:rPr>
                      <w:kern w:val="0"/>
                      <w:szCs w:val="21"/>
                    </w:rPr>
                  </w:pPr>
                  <w:r>
                    <w:rPr>
                      <w:kern w:val="0"/>
                      <w:szCs w:val="21"/>
                    </w:rPr>
                    <w:t>①医疗机构废弃物分为医疗废物、生活垃圾和输液瓶（袋）。通过规范分类和清晰流程，各医疗机构内形成分类投放、分类收集、分类贮存、分类交接、分类转运的废弃物管理系统；②医疗机构按照《医疗废物分类目录》等要求制定具体的分类收集清单。严格落实危险废物申报登记和管理计划备案要求，依法向生态环境部门申报医疗废物的种类、产生量、流向、贮存和处置等情况。严禁混合医疗废物、生活垃圾和输液瓶（袋），严禁混放各类医疗废物。规范医疗废物贮存场所（设施）管理，不得露天存放；及时告知并将医疗废物交由持有危险废物经营许可证的集中处置单位，执行转移联单并做好交接登记，资料保存不少于3年。做好输液瓶（袋）回收利用，医疗机构要按照标准做好输液瓶（袋）的收集，并集中移交回收企业。</w:t>
                  </w:r>
                </w:p>
              </w:tc>
              <w:tc>
                <w:tcPr>
                  <w:tcW w:w="1859" w:type="dxa"/>
                  <w:vAlign w:val="center"/>
                </w:tcPr>
                <w:p>
                  <w:pPr>
                    <w:spacing w:before="0" w:line="360" w:lineRule="exact"/>
                    <w:jc w:val="left"/>
                    <w:rPr>
                      <w:kern w:val="0"/>
                      <w:szCs w:val="21"/>
                    </w:rPr>
                  </w:pPr>
                  <w:r>
                    <w:rPr>
                      <w:kern w:val="0"/>
                      <w:szCs w:val="21"/>
                    </w:rPr>
                    <w:t>项目产生的固废主要有医疗废物、</w:t>
                  </w:r>
                  <w:r>
                    <w:rPr>
                      <w:rFonts w:hint="eastAsia"/>
                      <w:kern w:val="0"/>
                      <w:szCs w:val="21"/>
                    </w:rPr>
                    <w:t>废弃药品、</w:t>
                  </w:r>
                  <w:r>
                    <w:rPr>
                      <w:kern w:val="0"/>
                      <w:szCs w:val="21"/>
                    </w:rPr>
                    <w:t>中药</w:t>
                  </w:r>
                  <w:r>
                    <w:rPr>
                      <w:rFonts w:hint="eastAsia"/>
                      <w:kern w:val="0"/>
                      <w:szCs w:val="21"/>
                    </w:rPr>
                    <w:t>残渣</w:t>
                  </w:r>
                  <w:r>
                    <w:rPr>
                      <w:kern w:val="0"/>
                      <w:szCs w:val="21"/>
                    </w:rPr>
                    <w:t>、污泥、生活垃圾、</w:t>
                  </w:r>
                  <w:r>
                    <w:rPr>
                      <w:rFonts w:hint="eastAsia"/>
                      <w:kern w:val="0"/>
                      <w:szCs w:val="21"/>
                    </w:rPr>
                    <w:t>废油脂</w:t>
                  </w:r>
                  <w:r>
                    <w:rPr>
                      <w:szCs w:val="21"/>
                    </w:rPr>
                    <w:t>等，生活垃圾采取分类垃圾桶收集，由环卫部门每日清运；医疗废物、废弃药品采取分类收集，暂存于医废暂存间内，定期交由西安卫达实业发展有限公司处置；化粪池和污水处理站污泥采用生石灰消毒后，交由有资质的单位进行处置；食堂废油脂采取专用垃圾桶收集，每日由当地环保部门认可的厨余垃圾处理单位清运处置；中药残渣集中收集，交由环卫部门进行处置，医院设专门人员对医疗废物进行管理，</w:t>
                  </w:r>
                  <w:r>
                    <w:rPr>
                      <w:kern w:val="0"/>
                      <w:szCs w:val="21"/>
                    </w:rPr>
                    <w:t>执行转移联单并做好交接登记，资料保存不少于3年。</w:t>
                  </w:r>
                </w:p>
              </w:tc>
              <w:tc>
                <w:tcPr>
                  <w:tcW w:w="365" w:type="dxa"/>
                  <w:vAlign w:val="center"/>
                </w:tcPr>
                <w:p>
                  <w:pPr>
                    <w:spacing w:before="0" w:line="360" w:lineRule="exact"/>
                    <w:jc w:val="center"/>
                    <w:rPr>
                      <w:bCs/>
                      <w:szCs w:val="21"/>
                    </w:rPr>
                  </w:pPr>
                  <w:r>
                    <w:rPr>
                      <w:bCs/>
                      <w:szCs w:val="21"/>
                    </w:rPr>
                    <w:t>符合</w:t>
                  </w:r>
                </w:p>
              </w:tc>
            </w:tr>
            <w:tr>
              <w:tblPrEx>
                <w:tblW w:w="5000" w:type="pct"/>
                <w:jc w:val="center"/>
                <w:tblInd w:w="108" w:type="dxa"/>
                <w:tblLayout w:type="fixed"/>
                <w:tblCellMar>
                  <w:top w:w="0" w:type="dxa"/>
                  <w:left w:w="108" w:type="dxa"/>
                  <w:bottom w:w="0" w:type="dxa"/>
                  <w:right w:w="108" w:type="dxa"/>
                </w:tblCellMar>
                <w:tblLook w:val="0000"/>
              </w:tblPrEx>
              <w:trPr>
                <w:trHeight w:val="340"/>
                <w:jc w:val="center"/>
              </w:trPr>
              <w:tc>
                <w:tcPr>
                  <w:tcW w:w="1132" w:type="dxa"/>
                  <w:vAlign w:val="center"/>
                </w:tcPr>
                <w:p>
                  <w:pPr>
                    <w:spacing w:line="360" w:lineRule="exact"/>
                    <w:jc w:val="center"/>
                    <w:rPr>
                      <w:spacing w:val="-6"/>
                      <w:kern w:val="0"/>
                      <w:szCs w:val="21"/>
                    </w:rPr>
                  </w:pPr>
                  <w:r>
                    <w:rPr>
                      <w:spacing w:val="-6"/>
                      <w:kern w:val="0"/>
                      <w:szCs w:val="21"/>
                    </w:rPr>
                    <w:t>《陕西省固体废物污染环境防治条例》2019年修正</w:t>
                  </w:r>
                </w:p>
              </w:tc>
              <w:tc>
                <w:tcPr>
                  <w:tcW w:w="3527" w:type="dxa"/>
                  <w:vAlign w:val="center"/>
                </w:tcPr>
                <w:p>
                  <w:pPr>
                    <w:spacing w:after="0" w:line="360" w:lineRule="exact"/>
                    <w:jc w:val="left"/>
                    <w:rPr>
                      <w:kern w:val="0"/>
                      <w:szCs w:val="21"/>
                    </w:rPr>
                  </w:pPr>
                </w:p>
              </w:tc>
              <w:tc>
                <w:tcPr>
                  <w:tcW w:w="1859" w:type="dxa"/>
                  <w:vAlign w:val="center"/>
                </w:tcPr>
                <w:p>
                  <w:pPr>
                    <w:spacing w:after="0" w:line="360" w:lineRule="exact"/>
                    <w:jc w:val="left"/>
                    <w:rPr>
                      <w:kern w:val="0"/>
                      <w:szCs w:val="21"/>
                    </w:rPr>
                  </w:pPr>
                </w:p>
              </w:tc>
              <w:tc>
                <w:tcPr>
                  <w:tcW w:w="365" w:type="dxa"/>
                  <w:vAlign w:val="center"/>
                </w:tcPr>
                <w:p>
                  <w:pPr>
                    <w:spacing w:line="360" w:lineRule="exact"/>
                    <w:jc w:val="center"/>
                    <w:rPr>
                      <w:bCs/>
                      <w:szCs w:val="21"/>
                    </w:rPr>
                  </w:pPr>
                  <w:r>
                    <w:rPr>
                      <w:bCs/>
                      <w:szCs w:val="21"/>
                    </w:rPr>
                    <w:t>符合</w:t>
                  </w:r>
                </w:p>
              </w:tc>
            </w:tr>
          </w:tbl>
          <w:p/>
        </w:tc>
      </w:tr>
    </w:tbl>
    <w:p>
      <w:pPr>
        <w:sectPr>
          <w:footerReference w:type="default" r:id="rId8"/>
          <w:type w:val="nextPage"/>
          <w:pgSz w:w="11906" w:h="16838"/>
          <w:pgMar w:top="1701" w:right="1531" w:bottom="1701" w:left="1531" w:header="851" w:footer="1077" w:gutter="0"/>
          <w:pgNumType w:start="5"/>
          <w:cols w:space="708"/>
          <w:titlePg w:val="0"/>
          <w:docGrid w:linePitch="312"/>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71"/>
        <w:gridCol w:w="7099"/>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1771" w:type="dxa"/>
            <w:vAlign w:val="center"/>
          </w:tcPr>
          <w:p/>
        </w:tc>
        <w:tc>
          <w:tcPr>
            <w:tcW w:w="7099" w:type="dxa"/>
            <w:vAlign w:val="center"/>
          </w:tcPr>
          <w:tbl>
            <w:tblPr>
              <w:tblStyle w:val="TableNormal"/>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32"/>
              <w:gridCol w:w="3527"/>
              <w:gridCol w:w="1859"/>
              <w:gridCol w:w="365"/>
            </w:tblGrid>
            <w:tr>
              <w:tblPrEx>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132" w:type="dxa"/>
                  <w:vAlign w:val="center"/>
                </w:tcPr>
                <w:p/>
              </w:tc>
              <w:tc>
                <w:tcPr>
                  <w:tcW w:w="3527" w:type="dxa"/>
                  <w:vAlign w:val="center"/>
                </w:tcPr>
                <w:p>
                  <w:pPr>
                    <w:spacing w:before="0" w:line="360" w:lineRule="exact"/>
                    <w:jc w:val="left"/>
                    <w:rPr>
                      <w:kern w:val="0"/>
                      <w:szCs w:val="21"/>
                    </w:rPr>
                  </w:pPr>
                  <w:r>
                    <w:rPr>
                      <w:kern w:val="0"/>
                      <w:szCs w:val="21"/>
                    </w:rPr>
                    <w:t>医疗废物产生单位应当按照国家和本省的规定分类收集，建立临时贮存点，其容器、包装、设施应当符合《医疗废物专用包装物、容器标准和警示标识规定》；医疗废物产生单位应当与集中处置单位签订医疗废物收运、处置协议，载明收运时间、处置费用、违约责任等内容，明确双方权利义务。</w:t>
                  </w:r>
                </w:p>
              </w:tc>
              <w:tc>
                <w:tcPr>
                  <w:tcW w:w="1859" w:type="dxa"/>
                  <w:vAlign w:val="center"/>
                </w:tcPr>
                <w:p>
                  <w:pPr>
                    <w:spacing w:before="0" w:line="360" w:lineRule="exact"/>
                    <w:jc w:val="left"/>
                    <w:rPr>
                      <w:kern w:val="0"/>
                      <w:szCs w:val="21"/>
                    </w:rPr>
                  </w:pPr>
                  <w:r>
                    <w:rPr>
                      <w:kern w:val="0"/>
                      <w:szCs w:val="21"/>
                    </w:rPr>
                    <w:t>项目建设了医疗废物暂存间，对产生的医疗废物进行暂存，其容器、包装、设施按照《医疗废物专用包装物、容器标准和警示标识规定》进行；项目与西安卫达实业发展有限公司签订医疗废物收运、处置协议</w:t>
                  </w:r>
                  <w:r>
                    <w:rPr>
                      <w:rFonts w:hint="eastAsia"/>
                      <w:kern w:val="0"/>
                      <w:szCs w:val="21"/>
                    </w:rPr>
                    <w:t>（协议见附件5）</w:t>
                  </w:r>
                  <w:r>
                    <w:rPr>
                      <w:kern w:val="0"/>
                      <w:szCs w:val="21"/>
                    </w:rPr>
                    <w:t>，载明收运时间、处置费用、违约责任等内容，明确双方权利义务。</w:t>
                  </w:r>
                </w:p>
              </w:tc>
              <w:tc>
                <w:tcPr>
                  <w:tcW w:w="365" w:type="dxa"/>
                  <w:vAlign w:val="center"/>
                </w:tcPr>
                <w:p/>
              </w:tc>
            </w:tr>
            <w:tr>
              <w:tblPrEx>
                <w:tblW w:w="5000" w:type="pct"/>
                <w:jc w:val="center"/>
                <w:tblInd w:w="108" w:type="dxa"/>
                <w:tblLayout w:type="fixed"/>
                <w:tblCellMar>
                  <w:top w:w="0" w:type="dxa"/>
                  <w:left w:w="108" w:type="dxa"/>
                  <w:bottom w:w="0" w:type="dxa"/>
                  <w:right w:w="108" w:type="dxa"/>
                </w:tblCellMar>
                <w:tblLook w:val="0000"/>
              </w:tblPrEx>
              <w:trPr>
                <w:trHeight w:val="340"/>
                <w:jc w:val="center"/>
              </w:trPr>
              <w:tc>
                <w:tcPr>
                  <w:tcW w:w="1132" w:type="dxa"/>
                  <w:vAlign w:val="center"/>
                </w:tcPr>
                <w:p>
                  <w:r>
                    <w:t>《西安市国民经济和社会发展第十四个五年规划和二〇三五年远景目标纲要》</w:t>
                  </w:r>
                </w:p>
              </w:tc>
              <w:tc>
                <w:tcPr>
                  <w:tcW w:w="3527" w:type="dxa"/>
                  <w:vAlign w:val="center"/>
                </w:tcPr>
                <w:p>
                  <w:pPr>
                    <w:ind w:firstLine="420" w:firstLineChars="200"/>
                  </w:pPr>
                  <w:r>
                    <w:t>第三节加快建设健康西安</w:t>
                  </w:r>
                </w:p>
                <w:p>
                  <w:pPr>
                    <w:ind w:firstLine="420" w:firstLineChars="200"/>
                  </w:pPr>
                  <w:r>
                    <w:t>把保障人民健康放在优先发展的战略位置，不断完善公共卫生服务体系，深化医药卫生体制改革，加大高质量医疗服务供给，建设高标准区域卫生健康中心。完善突发公共卫生事件监测预警处置机制，加强卫生应急队伍建设，建立应急物资储备、调运系统。健全市县镇村四级疾病预防控制网络，完善重大慢病管理“医防融合”机制。加强各级医疗卫生机构基础设施和能力建设，加快优质医疗资源扩容，完成市儿童医院经开院区等一批项目建设。加快建设分级诊疗体系，建强紧密型县域医共体和城市医疗集团，建成整合型医疗卫生服务体系。加强医、教、研协同发展和科技创新平台建设，加快建设国家区域医疗中心。加强精神卫生和心理健康工作。健全职业病防治体系。鼓励支持社会办医。发挥中医药特色优势。深入开展爱国卫生运动，推广文明健康生活方式。</w:t>
                  </w:r>
                </w:p>
                <w:p>
                  <w:pPr>
                    <w:ind w:firstLine="420" w:firstLineChars="200"/>
                  </w:pPr>
                </w:p>
              </w:tc>
              <w:tc>
                <w:tcPr>
                  <w:tcW w:w="1859" w:type="dxa"/>
                  <w:vAlign w:val="center"/>
                </w:tcPr>
                <w:p>
                  <w:r>
                    <w:rPr>
                      <w:rFonts w:hint="eastAsia"/>
                    </w:rPr>
                    <w:t>本项目属于社区卫生服务中心建设项目</w:t>
                  </w:r>
                </w:p>
              </w:tc>
              <w:tc>
                <w:tcPr>
                  <w:tcW w:w="365" w:type="dxa"/>
                  <w:vAlign w:val="center"/>
                </w:tcPr>
                <w:p>
                  <w:r>
                    <w:rPr>
                      <w:rFonts w:hint="eastAsia"/>
                    </w:rPr>
                    <w:t>符合</w:t>
                  </w:r>
                </w:p>
              </w:tc>
            </w:tr>
          </w:tbl>
          <w:p>
            <w:pPr>
              <w:pStyle w:val="TableofFigures"/>
              <w:spacing w:before="0" w:beforeLines="0" w:after="0" w:afterLines="0" w:line="360" w:lineRule="auto"/>
              <w:ind w:firstLine="480" w:firstLineChars="200"/>
              <w:jc w:val="both"/>
              <w:rPr>
                <w:b w:val="0"/>
                <w:bCs/>
                <w:sz w:val="24"/>
              </w:rPr>
            </w:pPr>
            <w:r>
              <w:rPr>
                <w:rFonts w:hint="eastAsia"/>
                <w:sz w:val="24"/>
              </w:rPr>
              <w:t>4、</w:t>
            </w:r>
            <w:r>
              <w:rPr>
                <w:sz w:val="24"/>
              </w:rPr>
              <w:t>本项目与相关</w:t>
            </w:r>
            <w:r>
              <w:rPr>
                <w:rFonts w:hint="eastAsia"/>
                <w:sz w:val="24"/>
              </w:rPr>
              <w:t>环保政策</w:t>
            </w:r>
            <w:r>
              <w:rPr>
                <w:sz w:val="24"/>
              </w:rPr>
              <w:t>的符合性分析分析见表1-</w:t>
            </w:r>
            <w:r>
              <w:rPr>
                <w:rFonts w:hint="eastAsia"/>
                <w:sz w:val="24"/>
              </w:rPr>
              <w:t>3</w:t>
            </w:r>
            <w:r>
              <w:rPr>
                <w:sz w:val="24"/>
              </w:rPr>
              <w:t>。</w:t>
            </w:r>
          </w:p>
          <w:p>
            <w:pPr>
              <w:jc w:val="center"/>
              <w:rPr>
                <w:b/>
                <w:bCs/>
                <w:sz w:val="24"/>
              </w:rPr>
            </w:pPr>
            <w:r>
              <w:rPr>
                <w:b/>
                <w:bCs/>
                <w:sz w:val="24"/>
              </w:rPr>
              <w:t>表1-</w:t>
            </w:r>
            <w:r>
              <w:rPr>
                <w:rFonts w:hint="eastAsia"/>
                <w:b/>
                <w:bCs/>
                <w:sz w:val="24"/>
              </w:rPr>
              <w:t>3</w:t>
            </w:r>
            <w:r>
              <w:rPr>
                <w:b/>
                <w:bCs/>
                <w:sz w:val="24"/>
              </w:rPr>
              <w:t xml:space="preserve">    本项目与</w:t>
            </w:r>
            <w:r>
              <w:rPr>
                <w:rFonts w:hint="eastAsia"/>
                <w:b/>
                <w:bCs/>
                <w:sz w:val="24"/>
              </w:rPr>
              <w:t>相关</w:t>
            </w:r>
            <w:r>
              <w:rPr>
                <w:b/>
                <w:bCs/>
                <w:sz w:val="24"/>
              </w:rPr>
              <w:t>环保政策符合性分析一览表</w:t>
            </w:r>
          </w:p>
          <w:tbl>
            <w:tblPr>
              <w:tblStyle w:val="TableNormal"/>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32"/>
              <w:gridCol w:w="3527"/>
              <w:gridCol w:w="1859"/>
              <w:gridCol w:w="365"/>
            </w:tblGrid>
            <w:tr>
              <w:tblPrEx>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132" w:type="dxa"/>
                  <w:vAlign w:val="center"/>
                </w:tcPr>
                <w:p>
                  <w:pPr>
                    <w:jc w:val="center"/>
                  </w:pPr>
                  <w:r>
                    <w:t>规划名称</w:t>
                  </w:r>
                </w:p>
              </w:tc>
              <w:tc>
                <w:tcPr>
                  <w:tcW w:w="3527" w:type="dxa"/>
                  <w:vAlign w:val="center"/>
                </w:tcPr>
                <w:p>
                  <w:pPr>
                    <w:jc w:val="center"/>
                  </w:pPr>
                  <w:r>
                    <w:t>规划内容</w:t>
                  </w:r>
                </w:p>
              </w:tc>
              <w:tc>
                <w:tcPr>
                  <w:tcW w:w="1859" w:type="dxa"/>
                  <w:vAlign w:val="center"/>
                </w:tcPr>
                <w:p>
                  <w:pPr>
                    <w:jc w:val="center"/>
                  </w:pPr>
                  <w:r>
                    <w:t>本项目与规划的关系</w:t>
                  </w:r>
                </w:p>
              </w:tc>
              <w:tc>
                <w:tcPr>
                  <w:tcW w:w="365" w:type="dxa"/>
                  <w:vAlign w:val="center"/>
                </w:tcPr>
                <w:p>
                  <w:pPr>
                    <w:jc w:val="center"/>
                  </w:pPr>
                  <w:r>
                    <w:t>结论</w:t>
                  </w:r>
                </w:p>
              </w:tc>
            </w:tr>
            <w:tr>
              <w:tblPrEx>
                <w:tblW w:w="5000" w:type="pct"/>
                <w:jc w:val="center"/>
                <w:tblInd w:w="108" w:type="dxa"/>
                <w:tblLayout w:type="fixed"/>
                <w:tblCellMar>
                  <w:top w:w="0" w:type="dxa"/>
                  <w:left w:w="108" w:type="dxa"/>
                  <w:bottom w:w="0" w:type="dxa"/>
                  <w:right w:w="108" w:type="dxa"/>
                </w:tblCellMar>
                <w:tblLook w:val="0000"/>
              </w:tblPrEx>
              <w:trPr>
                <w:trHeight w:val="340"/>
                <w:jc w:val="center"/>
              </w:trPr>
              <w:tc>
                <w:tcPr>
                  <w:tcW w:w="1132" w:type="dxa"/>
                  <w:vAlign w:val="center"/>
                </w:tcPr>
                <w:p>
                  <w:pPr>
                    <w:jc w:val="center"/>
                  </w:pPr>
                  <w:r>
                    <w:rPr>
                      <w:bCs/>
                      <w:szCs w:val="21"/>
                    </w:rPr>
                    <w:t>《医院污水处理设计规范》（HJ2029—2013）</w:t>
                  </w:r>
                </w:p>
              </w:tc>
              <w:tc>
                <w:tcPr>
                  <w:tcW w:w="3527" w:type="dxa"/>
                  <w:vAlign w:val="center"/>
                </w:tcPr>
                <w:p>
                  <w:pPr>
                    <w:spacing w:after="0" w:line="360" w:lineRule="exact"/>
                    <w:jc w:val="left"/>
                  </w:pPr>
                </w:p>
              </w:tc>
              <w:tc>
                <w:tcPr>
                  <w:tcW w:w="1859" w:type="dxa"/>
                  <w:vAlign w:val="center"/>
                </w:tcPr>
                <w:p>
                  <w:pPr>
                    <w:spacing w:after="0"/>
                  </w:pPr>
                </w:p>
              </w:tc>
              <w:tc>
                <w:tcPr>
                  <w:tcW w:w="365" w:type="dxa"/>
                  <w:vAlign w:val="center"/>
                </w:tcPr>
                <w:p>
                  <w:pPr>
                    <w:jc w:val="center"/>
                  </w:pPr>
                  <w:r>
                    <w:rPr>
                      <w:rFonts w:hint="eastAsia"/>
                    </w:rPr>
                    <w:t>符合</w:t>
                  </w:r>
                </w:p>
              </w:tc>
            </w:tr>
          </w:tbl>
          <w:p/>
        </w:tc>
      </w:tr>
    </w:tbl>
    <w:p>
      <w:pPr>
        <w:sectPr>
          <w:footerReference w:type="default" r:id="rId9"/>
          <w:type w:val="nextPage"/>
          <w:pgSz w:w="11906" w:h="16838"/>
          <w:pgMar w:top="1701" w:right="1531" w:bottom="1701" w:left="1531" w:header="851" w:footer="1077" w:gutter="0"/>
          <w:pgNumType w:start="6"/>
          <w:cols w:space="708"/>
          <w:titlePg w:val="0"/>
          <w:docGrid w:linePitch="312"/>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71"/>
        <w:gridCol w:w="7099"/>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1771" w:type="dxa"/>
            <w:vAlign w:val="center"/>
          </w:tcPr>
          <w:p/>
        </w:tc>
        <w:tc>
          <w:tcPr>
            <w:tcW w:w="7099" w:type="dxa"/>
            <w:vAlign w:val="center"/>
          </w:tcPr>
          <w:tbl>
            <w:tblPr>
              <w:tblStyle w:val="TableNormal"/>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32"/>
              <w:gridCol w:w="3527"/>
              <w:gridCol w:w="1859"/>
              <w:gridCol w:w="365"/>
            </w:tblGrid>
            <w:tr>
              <w:tblPrEx>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132" w:type="dxa"/>
                  <w:vMerge w:val="restart"/>
                  <w:vAlign w:val="center"/>
                </w:tcPr>
                <w:p/>
              </w:tc>
              <w:tc>
                <w:tcPr>
                  <w:tcW w:w="3527" w:type="dxa"/>
                  <w:vAlign w:val="center"/>
                </w:tcPr>
                <w:p>
                  <w:pPr>
                    <w:spacing w:before="0" w:line="360" w:lineRule="exact"/>
                    <w:jc w:val="left"/>
                  </w:pPr>
                  <w:r>
                    <w:rPr>
                      <w:bCs/>
                      <w:szCs w:val="21"/>
                    </w:rPr>
                    <w:t>新(改、扩)建医院，在设计医院污水处理系统时应考虑将医院病区、非病区、传染病房、非传染病房污水分别收集；特殊性质污水应单独收集，经预处理后与医院污水合并处理，不得将特殊性质污水随意排入下水道。</w:t>
                  </w:r>
                </w:p>
              </w:tc>
              <w:tc>
                <w:tcPr>
                  <w:tcW w:w="1859" w:type="dxa"/>
                  <w:vAlign w:val="center"/>
                </w:tcPr>
                <w:p>
                  <w:pPr>
                    <w:spacing w:before="0"/>
                  </w:pPr>
                  <w:r>
                    <w:t>项目口腔科补牙均采用外购的成品材料，不再采用现场配制银汞合金的方式补牙，不产生含汞废水；由于现今影像技术的发展，影像图片采取激光打印，无需传统的洗印，因此不产生洗印废水；检验科使用的药剂、试剂等均为医疗成品（一次性用品），不使用铬类化合物作为检验药剂，不产生含铬废水。</w:t>
                  </w:r>
                  <w:r>
                    <w:rPr>
                      <w:rFonts w:hint="eastAsia"/>
                    </w:rPr>
                    <w:t>项目无传染病区，项目综合医疗废水经地埋式一体化污水处理装置处理后经经市政管网排至西安市第一污水处理厂。</w:t>
                  </w:r>
                </w:p>
              </w:tc>
              <w:tc>
                <w:tcPr>
                  <w:tcW w:w="365" w:type="dxa"/>
                  <w:vAlign w:val="center"/>
                </w:tcPr>
                <w:p/>
              </w:tc>
            </w:tr>
            <w:tr>
              <w:tblPrEx>
                <w:tblW w:w="5000" w:type="pct"/>
                <w:jc w:val="center"/>
                <w:tblInd w:w="108" w:type="dxa"/>
                <w:tblLayout w:type="fixed"/>
                <w:tblCellMar>
                  <w:top w:w="0" w:type="dxa"/>
                  <w:left w:w="108" w:type="dxa"/>
                  <w:bottom w:w="0" w:type="dxa"/>
                  <w:right w:w="108" w:type="dxa"/>
                </w:tblCellMar>
                <w:tblLook w:val="0000"/>
              </w:tblPrEx>
              <w:trPr>
                <w:trHeight w:val="340"/>
                <w:jc w:val="center"/>
              </w:trPr>
              <w:tc>
                <w:tcPr>
                  <w:tcW w:w="1132" w:type="dxa"/>
                  <w:vMerge/>
                  <w:vAlign w:val="center"/>
                </w:tcPr>
                <w:p>
                  <w:pPr>
                    <w:jc w:val="center"/>
                  </w:pPr>
                </w:p>
              </w:tc>
              <w:tc>
                <w:tcPr>
                  <w:tcW w:w="3527" w:type="dxa"/>
                  <w:vAlign w:val="center"/>
                </w:tcPr>
                <w:p>
                  <w:pPr>
                    <w:spacing w:line="360" w:lineRule="exact"/>
                    <w:jc w:val="left"/>
                  </w:pPr>
                  <w:r>
                    <w:rPr>
                      <w:bCs/>
                      <w:szCs w:val="21"/>
                    </w:rPr>
                    <w:t>污水处理站主体工程主要包括医院污水处理系统、污泥处理系统、废气处理系统等。医院污水处理系统主要包括预处理、一级处理、二:级处理、深度处理和消毒处理等单元。</w:t>
                  </w:r>
                </w:p>
              </w:tc>
              <w:tc>
                <w:tcPr>
                  <w:tcW w:w="1859" w:type="dxa"/>
                  <w:vAlign w:val="center"/>
                </w:tcPr>
                <w:p>
                  <w:r>
                    <w:t>项目污水处理站包括采用化粪池+沉淀池+生化池+二氧化氯消毒工艺，污水处理设施采取地埋式，处理设备上部用钢筋混凝土盖板封闭，设备检查井采用加盖措施，以防止臭气外溢。采取封闭运行方式，恶臭产生量较少，无组织排放，定期喷洒除臭剂。</w:t>
                  </w:r>
                  <w:r>
                    <w:rPr>
                      <w:szCs w:val="21"/>
                    </w:rPr>
                    <w:t>化粪池和污水处理站污泥</w:t>
                  </w:r>
                  <w:r>
                    <w:rPr>
                      <w:rFonts w:hint="eastAsia"/>
                      <w:szCs w:val="21"/>
                    </w:rPr>
                    <w:t>采用生石灰消毒后，交由有资质的单位进行处置</w:t>
                  </w:r>
                  <w:r>
                    <w:rPr>
                      <w:szCs w:val="21"/>
                    </w:rPr>
                    <w:t>。</w:t>
                  </w:r>
                </w:p>
              </w:tc>
              <w:tc>
                <w:tcPr>
                  <w:tcW w:w="365" w:type="dxa"/>
                  <w:vAlign w:val="center"/>
                </w:tcPr>
                <w:p>
                  <w:pPr>
                    <w:jc w:val="center"/>
                  </w:pPr>
                </w:p>
              </w:tc>
            </w:tr>
            <w:tr>
              <w:tblPrEx>
                <w:tblW w:w="5000" w:type="pct"/>
                <w:jc w:val="center"/>
                <w:tblInd w:w="108" w:type="dxa"/>
                <w:tblLayout w:type="fixed"/>
                <w:tblCellMar>
                  <w:top w:w="0" w:type="dxa"/>
                  <w:left w:w="108" w:type="dxa"/>
                  <w:bottom w:w="0" w:type="dxa"/>
                  <w:right w:w="108" w:type="dxa"/>
                </w:tblCellMar>
                <w:tblLook w:val="0000"/>
              </w:tblPrEx>
              <w:trPr>
                <w:trHeight w:val="340"/>
                <w:jc w:val="center"/>
              </w:trPr>
              <w:tc>
                <w:tcPr>
                  <w:tcW w:w="1132" w:type="dxa"/>
                  <w:vMerge/>
                  <w:vAlign w:val="center"/>
                </w:tcPr>
                <w:p>
                  <w:pPr>
                    <w:jc w:val="center"/>
                  </w:pPr>
                </w:p>
              </w:tc>
              <w:tc>
                <w:tcPr>
                  <w:tcW w:w="3527" w:type="dxa"/>
                  <w:vAlign w:val="center"/>
                </w:tcPr>
                <w:p>
                  <w:pPr>
                    <w:spacing w:line="360" w:lineRule="exact"/>
                    <w:jc w:val="left"/>
                  </w:pPr>
                  <w:r>
                    <w:rPr>
                      <w:bCs/>
                      <w:szCs w:val="21"/>
                    </w:rPr>
                    <w:t>医院污水处理构筑物的位置宜设在医院主体建筑物当地夏季主导风向的下风向。医院污水处理工程与病房、居民区等建筑物之间应设绿化防护带或隔离带，以减少臭气和噪音</w:t>
                  </w:r>
                  <w:r>
                    <w:rPr>
                      <w:rFonts w:hint="eastAsia"/>
                      <w:bCs/>
                      <w:szCs w:val="21"/>
                    </w:rPr>
                    <w:t>。</w:t>
                  </w:r>
                </w:p>
              </w:tc>
              <w:tc>
                <w:tcPr>
                  <w:tcW w:w="1859" w:type="dxa"/>
                  <w:vAlign w:val="center"/>
                </w:tcPr>
                <w:p>
                  <w:r>
                    <w:t>污水处理站设置在</w:t>
                  </w:r>
                  <w:r>
                    <w:rPr>
                      <w:rFonts w:hint="eastAsia"/>
                    </w:rPr>
                    <w:t>服务大楼</w:t>
                  </w:r>
                  <w:r>
                    <w:t>东侧，当地主导风向为</w:t>
                  </w:r>
                  <w:r>
                    <w:rPr>
                      <w:rFonts w:hint="eastAsia"/>
                    </w:rPr>
                    <w:t>东北风</w:t>
                  </w:r>
                  <w:r>
                    <w:t>，风机、泵类等均设置在地下，且污水处理站周边采取了绿化措施，减少了臭气和噪音污染。</w:t>
                  </w:r>
                </w:p>
              </w:tc>
              <w:tc>
                <w:tcPr>
                  <w:tcW w:w="365" w:type="dxa"/>
                  <w:vAlign w:val="center"/>
                </w:tcPr>
                <w:p>
                  <w:pPr>
                    <w:jc w:val="center"/>
                  </w:pPr>
                  <w:r>
                    <w:rPr>
                      <w:rFonts w:hint="eastAsia"/>
                    </w:rPr>
                    <w:t>符合</w:t>
                  </w:r>
                </w:p>
              </w:tc>
            </w:tr>
          </w:tbl>
          <w:p/>
        </w:tc>
      </w:tr>
    </w:tbl>
    <w:p>
      <w:pPr>
        <w:sectPr>
          <w:footerReference w:type="default" r:id="rId10"/>
          <w:type w:val="nextPage"/>
          <w:pgSz w:w="11906" w:h="16838"/>
          <w:pgMar w:top="1701" w:right="1531" w:bottom="1701" w:left="1531" w:header="851" w:footer="1077" w:gutter="0"/>
          <w:pgNumType w:start="7"/>
          <w:cols w:space="708"/>
          <w:titlePg w:val="0"/>
          <w:docGrid w:linePitch="312"/>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71"/>
        <w:gridCol w:w="7099"/>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1771" w:type="dxa"/>
            <w:vAlign w:val="center"/>
          </w:tcPr>
          <w:p/>
        </w:tc>
        <w:tc>
          <w:tcPr>
            <w:tcW w:w="7099" w:type="dxa"/>
            <w:vAlign w:val="center"/>
          </w:tcPr>
          <w:tbl>
            <w:tblPr>
              <w:tblStyle w:val="TableNormal"/>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32"/>
              <w:gridCol w:w="3527"/>
              <w:gridCol w:w="1859"/>
              <w:gridCol w:w="365"/>
            </w:tblGrid>
            <w:tr>
              <w:tblPrEx>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132" w:type="dxa"/>
                  <w:vAlign w:val="center"/>
                </w:tcPr>
                <w:p>
                  <w:pPr>
                    <w:jc w:val="center"/>
                  </w:pPr>
                </w:p>
              </w:tc>
              <w:tc>
                <w:tcPr>
                  <w:tcW w:w="3527" w:type="dxa"/>
                  <w:vAlign w:val="center"/>
                </w:tcPr>
                <w:p>
                  <w:pPr>
                    <w:spacing w:line="360" w:lineRule="exact"/>
                    <w:jc w:val="left"/>
                  </w:pPr>
                  <w:r>
                    <w:rPr>
                      <w:bCs/>
                      <w:szCs w:val="21"/>
                    </w:rPr>
                    <w:t>污泥消毒一般采用化学消毒方式。常用的消毒药剂为石灰和漂白粉。采用石灰消毒，石灰投量约为15g/L污泥，使pH为11~12，搅拌均匀接触30~60min，并存放7天以上。</w:t>
                  </w:r>
                </w:p>
              </w:tc>
              <w:tc>
                <w:tcPr>
                  <w:tcW w:w="1859" w:type="dxa"/>
                  <w:vAlign w:val="center"/>
                </w:tcPr>
                <w:p>
                  <w:r>
                    <w:rPr>
                      <w:szCs w:val="21"/>
                    </w:rPr>
                    <w:t>化粪池和污水处理站污泥</w:t>
                  </w:r>
                  <w:r>
                    <w:rPr>
                      <w:rFonts w:hint="eastAsia"/>
                      <w:szCs w:val="21"/>
                    </w:rPr>
                    <w:t>采用生石灰消毒后，交由有资质的单位进行处置</w:t>
                  </w:r>
                  <w:r>
                    <w:t>。</w:t>
                  </w:r>
                </w:p>
              </w:tc>
              <w:tc>
                <w:tcPr>
                  <w:tcW w:w="365" w:type="dxa"/>
                  <w:vAlign w:val="center"/>
                </w:tcPr>
                <w:p>
                  <w:pPr>
                    <w:jc w:val="center"/>
                  </w:pPr>
                  <w:r>
                    <w:t>符合</w:t>
                  </w:r>
                </w:p>
              </w:tc>
            </w:tr>
            <w:tr>
              <w:tblPrEx>
                <w:tblW w:w="5000" w:type="pct"/>
                <w:jc w:val="center"/>
                <w:tblInd w:w="108" w:type="dxa"/>
                <w:tblLayout w:type="fixed"/>
                <w:tblCellMar>
                  <w:top w:w="0" w:type="dxa"/>
                  <w:left w:w="108" w:type="dxa"/>
                  <w:bottom w:w="0" w:type="dxa"/>
                  <w:right w:w="108" w:type="dxa"/>
                </w:tblCellMar>
                <w:tblLook w:val="0000"/>
              </w:tblPrEx>
              <w:trPr>
                <w:trHeight w:val="340"/>
                <w:jc w:val="center"/>
              </w:trPr>
              <w:tc>
                <w:tcPr>
                  <w:tcW w:w="1132" w:type="dxa"/>
                  <w:vAlign w:val="center"/>
                </w:tcPr>
                <w:p>
                  <w:pPr>
                    <w:jc w:val="center"/>
                  </w:pPr>
                  <w:r>
                    <w:rPr>
                      <w:spacing w:val="-6"/>
                      <w:kern w:val="0"/>
                      <w:szCs w:val="21"/>
                    </w:rPr>
                    <w:t>《医疗废物集中处置技术规范（试行）》（环发[2003]206号）</w:t>
                  </w:r>
                </w:p>
              </w:tc>
              <w:tc>
                <w:tcPr>
                  <w:tcW w:w="3527" w:type="dxa"/>
                  <w:vAlign w:val="center"/>
                </w:tcPr>
                <w:p>
                  <w:pPr>
                    <w:spacing w:line="360" w:lineRule="exact"/>
                    <w:jc w:val="left"/>
                  </w:pPr>
                  <w:r>
                    <w:t>医疗废物暂存：必须与生活垃圾存放地分开，有防雨淋的装置，地基高度应确保设施内不受雨洪冲击或浸泡；</w:t>
                  </w:r>
                </w:p>
                <w:p>
                  <w:pPr>
                    <w:spacing w:line="360" w:lineRule="exact"/>
                    <w:jc w:val="left"/>
                    <w:rPr>
                      <w:bCs/>
                      <w:szCs w:val="21"/>
                    </w:rPr>
                  </w:pPr>
                  <w:r>
                    <w:t>必须与医疗区、食品加工区和人员活动密集区隔开，方便医疗废物的装卸、装卸人员及运送车辆的出入；应有严密的封闭措施，设专人管理，避免非工作人员进出，以及防鼠、防蚊蝇、防蟑螂、防盗以及预防儿童接触等安全措施；地面和1.0米高的墙裙须进行防渗处理，地面有良好的排水性能，易于清洁和消毒，产生的废水应采用管道直接排入医疗卫生机构内的医疗废水消毒、处理系统，禁止将产生的废水直接排入外环境；应防止医疗废物在暂时贮存库房和专用暂时贮存柜（箱）中腐败散发恶臭，尽量做到日产日清。确实不能做到日产日清，且当地最高气温高于25℃时，应将医疗废物低温暂时贮存，暂时贮存温度应低于20℃，时间最长不超过48小时。医疗废物运送应当使用专用车辆。</w:t>
                  </w:r>
                </w:p>
              </w:tc>
              <w:tc>
                <w:tcPr>
                  <w:tcW w:w="1859" w:type="dxa"/>
                  <w:vAlign w:val="center"/>
                </w:tcPr>
                <w:p>
                  <w:pPr>
                    <w:spacing w:line="360" w:lineRule="exact"/>
                    <w:jc w:val="left"/>
                  </w:pPr>
                  <w:r>
                    <w:rPr>
                      <w:kern w:val="0"/>
                      <w:szCs w:val="21"/>
                    </w:rPr>
                    <w:t>项目医疗废物暂存间位于医疗服务大楼一层，与生活垃圾分开暂存，与医疗区、食品加工区、人员活动密集区隔离</w:t>
                  </w:r>
                  <w:r>
                    <w:rPr>
                      <w:rFonts w:hint="eastAsia"/>
                      <w:kern w:val="0"/>
                      <w:szCs w:val="21"/>
                    </w:rPr>
                    <w:t>，</w:t>
                  </w:r>
                  <w:r>
                    <w:rPr>
                      <w:kern w:val="0"/>
                      <w:szCs w:val="21"/>
                    </w:rPr>
                    <w:t>暂存间</w:t>
                  </w:r>
                  <w:r>
                    <w:rPr>
                      <w:rFonts w:hint="eastAsia"/>
                      <w:kern w:val="0"/>
                      <w:szCs w:val="21"/>
                    </w:rPr>
                    <w:t>均</w:t>
                  </w:r>
                  <w:r>
                    <w:rPr>
                      <w:kern w:val="0"/>
                      <w:szCs w:val="21"/>
                    </w:rPr>
                    <w:t>采取防腐防渗措施，医疗废物均采用专门设施包装后分开存放，</w:t>
                  </w:r>
                  <w:r>
                    <w:rPr>
                      <w:rFonts w:hint="eastAsia"/>
                      <w:kern w:val="0"/>
                      <w:szCs w:val="21"/>
                    </w:rPr>
                    <w:t>医疗废物暂存间</w:t>
                  </w:r>
                  <w:r>
                    <w:rPr>
                      <w:kern w:val="0"/>
                      <w:szCs w:val="21"/>
                    </w:rPr>
                    <w:t>设专人管理，尽量做到日常日清，最长不超过48h；医疗废物由危废处置单位采用专用车辆运送。</w:t>
                  </w:r>
                </w:p>
              </w:tc>
              <w:tc>
                <w:tcPr>
                  <w:tcW w:w="365" w:type="dxa"/>
                  <w:vAlign w:val="center"/>
                </w:tcPr>
                <w:p>
                  <w:pPr>
                    <w:spacing w:line="360" w:lineRule="exact"/>
                    <w:jc w:val="center"/>
                  </w:pPr>
                  <w:r>
                    <w:rPr>
                      <w:bCs/>
                      <w:szCs w:val="21"/>
                    </w:rPr>
                    <w:t>符合</w:t>
                  </w:r>
                </w:p>
              </w:tc>
            </w:tr>
            <w:tr>
              <w:tblPrEx>
                <w:tblW w:w="5000" w:type="pct"/>
                <w:jc w:val="center"/>
                <w:tblInd w:w="108" w:type="dxa"/>
                <w:tblLayout w:type="fixed"/>
                <w:tblCellMar>
                  <w:top w:w="0" w:type="dxa"/>
                  <w:left w:w="108" w:type="dxa"/>
                  <w:bottom w:w="0" w:type="dxa"/>
                  <w:right w:w="108" w:type="dxa"/>
                </w:tblCellMar>
                <w:tblLook w:val="0000"/>
              </w:tblPrEx>
              <w:trPr>
                <w:trHeight w:val="340"/>
                <w:jc w:val="center"/>
              </w:trPr>
              <w:tc>
                <w:tcPr>
                  <w:tcW w:w="1132" w:type="dxa"/>
                  <w:vAlign w:val="center"/>
                </w:tcPr>
                <w:p>
                  <w:pPr>
                    <w:rPr>
                      <w:rFonts w:hint="eastAsia"/>
                    </w:rPr>
                  </w:pPr>
                  <w:r>
                    <w:rPr>
                      <w:rFonts w:hint="eastAsia"/>
                    </w:rPr>
                    <w:t>《西安市卫生健康事业重点项目建设三年行动方案（2020</w:t>
                  </w:r>
                  <w:r>
                    <w:rPr>
                      <w:rFonts w:hint="eastAsia"/>
                    </w:rPr>
                    <w:t>—</w:t>
                  </w:r>
                  <w:r>
                    <w:rPr>
                      <w:rFonts w:hint="eastAsia"/>
                    </w:rPr>
                    <w:t>2022年）》</w:t>
                  </w:r>
                </w:p>
              </w:tc>
              <w:tc>
                <w:tcPr>
                  <w:tcW w:w="3527" w:type="dxa"/>
                  <w:vAlign w:val="center"/>
                </w:tcPr>
                <w:p>
                  <w:pPr>
                    <w:ind w:firstLine="420" w:firstLineChars="200"/>
                  </w:pPr>
                  <w:r>
                    <w:t>增加优质卫生资源供给。市级相关部门和项目所在区县（开发区）要主动服务、各负其责、全力保障，协力共建市儿童医院经开院区、市红会医院高铁新城院区、市公共卫生中心等卫生健康领域13个医院建设项目。到2022年，落实医疗卫生用地1760.303亩、建设医疗卫生用房242.225万平方米、新增医疗卫生床位13375张。</w:t>
                  </w:r>
                </w:p>
                <w:p>
                  <w:pPr>
                    <w:spacing w:after="0"/>
                    <w:ind w:firstLine="420" w:firstLineChars="200"/>
                    <w:rPr>
                      <w:szCs w:val="21"/>
                    </w:rPr>
                  </w:pPr>
                  <w:r>
                    <w:t>筑牢医</w:t>
                  </w:r>
                </w:p>
              </w:tc>
              <w:tc>
                <w:tcPr>
                  <w:tcW w:w="1859" w:type="dxa"/>
                  <w:vAlign w:val="center"/>
                </w:tcPr>
                <w:p>
                  <w:r>
                    <w:rPr>
                      <w:rFonts w:hint="eastAsia"/>
                    </w:rPr>
                    <w:t>本项目属于社区卫生服务中心建设项目</w:t>
                  </w:r>
                </w:p>
              </w:tc>
              <w:tc>
                <w:tcPr>
                  <w:tcW w:w="365" w:type="dxa"/>
                  <w:vAlign w:val="center"/>
                </w:tcPr>
                <w:p>
                  <w:r>
                    <w:rPr>
                      <w:rFonts w:hint="eastAsia"/>
                    </w:rPr>
                    <w:t>符合</w:t>
                  </w:r>
                </w:p>
              </w:tc>
            </w:tr>
          </w:tbl>
          <w:p/>
        </w:tc>
      </w:tr>
    </w:tbl>
    <w:p>
      <w:pPr>
        <w:sectPr>
          <w:footerReference w:type="default" r:id="rId11"/>
          <w:type w:val="nextPage"/>
          <w:pgSz w:w="11906" w:h="16838"/>
          <w:pgMar w:top="1701" w:right="1531" w:bottom="1701" w:left="1531" w:header="851" w:footer="1077" w:gutter="0"/>
          <w:pgNumType w:start="8"/>
          <w:cols w:space="708"/>
          <w:titlePg w:val="0"/>
          <w:docGrid w:linePitch="312"/>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71"/>
        <w:gridCol w:w="7099"/>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1771" w:type="dxa"/>
            <w:vAlign w:val="center"/>
          </w:tcPr>
          <w:p/>
        </w:tc>
        <w:tc>
          <w:tcPr>
            <w:tcW w:w="7099" w:type="dxa"/>
            <w:vAlign w:val="center"/>
          </w:tcPr>
          <w:tbl>
            <w:tblPr>
              <w:tblStyle w:val="TableNormal"/>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32"/>
              <w:gridCol w:w="3527"/>
              <w:gridCol w:w="1859"/>
              <w:gridCol w:w="365"/>
            </w:tblGrid>
            <w:tr>
              <w:tblPrEx>
                <w:tblW w:w="5000" w:type="pct"/>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132" w:type="dxa"/>
                  <w:vAlign w:val="center"/>
                </w:tcPr>
                <w:p/>
              </w:tc>
              <w:tc>
                <w:tcPr>
                  <w:tcW w:w="3527" w:type="dxa"/>
                  <w:vAlign w:val="center"/>
                </w:tcPr>
                <w:p>
                  <w:pPr>
                    <w:spacing w:before="0"/>
                    <w:ind w:firstLine="420" w:firstLineChars="200"/>
                    <w:rPr>
                      <w:szCs w:val="21"/>
                    </w:rPr>
                  </w:pPr>
                  <w:r>
                    <w:rPr>
                      <w:szCs w:val="21"/>
                    </w:rPr>
                    <w:t>疗机构硬件基础。依照现代医院建设标准，结合医疗机构功能定位和发展目标，持续提升硬件建设水平。加大对手术室、供应室、配电室、信息机房、污水处理站等重点设施资金投入，加快改造步伐，增强基础保障能力，满足临床工作需求。鼓励和支持医疗机构购买、引进手术机器人、3D打印等国际高端医疗装备和先进技术，推动大数据、人工智能在医学影像、病理分析、辅助诊断领域的应用。</w:t>
                  </w:r>
                </w:p>
                <w:p>
                  <w:pPr>
                    <w:ind w:firstLine="420" w:firstLineChars="200"/>
                    <w:rPr>
                      <w:szCs w:val="21"/>
                    </w:rPr>
                  </w:pPr>
                  <w:r>
                    <w:rPr>
                      <w:szCs w:val="21"/>
                    </w:rPr>
                    <w:t>推动建设区域医疗中心。创建国家级区域医疗中心，辐射和提升区域内医学发展及医疗服务能力，带动区域医疗、预防和保健服务水平提升，实现区域间医疗服务同质化。到2022年，市儿童医院、市红会医院等8所医院建成儿童、骨科等12个国家区域医疗中心。</w:t>
                  </w:r>
                </w:p>
                <w:p>
                  <w:pPr>
                    <w:pStyle w:val="NormalIndent"/>
                    <w:rPr>
                      <w:sz w:val="21"/>
                      <w:szCs w:val="21"/>
                    </w:rPr>
                  </w:pPr>
                  <w:r>
                    <w:rPr>
                      <w:sz w:val="21"/>
                      <w:szCs w:val="21"/>
                    </w:rPr>
                    <w:t>强化县级医院“龙头”作用。通过新建、改扩建等形式建设好县级医疗卫生机构，加大投入力度，加强基础设施建设，引进医疗人才，做强内、外、妇、儿、传染等基础学科,根据县域外转患者需要，确定2～5个重点专科，补齐专科医疗服务短板，提升县级医疗机构服务能力。长安区、阎良区、临潼区、高陵区、鄠邑区、周至县、蓝田县等区县级综合医院设有达标的感染性疾病科，并按标准加强设施建设和人员、设备配置。到2022年，区县级医院、中医院、妇幼保健院自身建设得到强化，支持社区卫生服务工作能力增强；长安区、阎良区、临潼区、高陵区、鄠邑区、周至县、蓝田县等区县级综合医院达到三级医院服务能力和水平，中医院达到二甲中医院水平，妇幼保健院达到标准化二级妇幼保健院服务能力和水平。按标准配齐设备，县域医疗卫生服务能力明显增强。</w:t>
                  </w:r>
                </w:p>
                <w:p>
                  <w:pPr>
                    <w:pStyle w:val="NormalIndent"/>
                    <w:spacing w:after="0"/>
                  </w:pPr>
                </w:p>
              </w:tc>
              <w:tc>
                <w:tcPr>
                  <w:tcW w:w="1859" w:type="dxa"/>
                  <w:vAlign w:val="center"/>
                </w:tcPr>
                <w:p/>
              </w:tc>
              <w:tc>
                <w:tcPr>
                  <w:tcW w:w="365" w:type="dxa"/>
                  <w:vAlign w:val="center"/>
                </w:tcPr>
                <w:p/>
              </w:tc>
            </w:tr>
          </w:tbl>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https://d.book118.com/226000121235010102</w:t>
        </w:r>
      </w:hyperlink>
    </w:p>
    <w:p/>
    <w:sectPr>
      <w:footerReference w:type="default" r:id="rId13"/>
      <w:type w:val="nextPage"/>
      <w:pgSz w:w="11906" w:h="16838"/>
      <w:pgMar w:top="1701" w:right="1531" w:bottom="1701" w:left="1531" w:header="851" w:footer="1077" w:gutter="0"/>
      <w:pgNumType w:start="9"/>
      <w:cols w:space="708"/>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1" w:usb1="080E0000" w:usb2="00000010" w:usb3="00000000" w:csb0="00040000" w:csb1="00000000"/>
  </w:font>
  <w:font w:name="Calibri">
    <w:panose1 w:val="020F0502020204030204"/>
    <w:charset w:val="00"/>
    <w:family w:val="swiss"/>
    <w:pitch w:val="default"/>
    <w:sig w:usb0="E4002EFF" w:usb1="C000247B" w:usb2="00000009" w:usb3="00000000" w:csb0="200001FF" w:csb1="00000000"/>
  </w:font>
  <w:font w:name="Wingdings 2">
    <w:altName w:val="Wingdings"/>
    <w:panose1 w:val="05020102010507070707"/>
    <w:charset w:val="02"/>
    <w:family w:val="roman"/>
    <w:pitch w:val="default"/>
    <w:sig w:usb0="00000000" w:usb1="10000000" w:usb2="00000000" w:usb3="00000000" w:csb0="80000000" w:csb1="00000000"/>
  </w:font>
  <w:font w:name="宋体_x0002_こ朎.">
    <w:altName w:val="宋体"/>
    <w:panose1 w:val="00000000000000000000"/>
    <w:charset w:val="86"/>
    <w:family w:val="roman"/>
    <w:pitch w:val="default"/>
    <w:sig w:usb0="00000000" w:usb1="00000000" w:usb2="00000000" w:usb3="00000000" w:csb0="00040000" w:csb1="00000000"/>
  </w:font>
  <w:font w:name="宋体e眠副浡渀.">
    <w:altName w:val="宋体"/>
    <w:panose1 w:val="00000000000000000000"/>
    <w:charset w:val="86"/>
    <w:family w:val="roman"/>
    <w:pitch w:val="default"/>
    <w:sig w:usb0="00000000" w:usb1="00000000" w:usb2="00000000" w:usb3="00000000" w:csb0="00040000" w:csb1="00000000"/>
  </w:font>
  <w:font w:name="TimesNewRomanPSMT">
    <w:altName w:val="Times New Roman"/>
    <w:panose1 w:val="00000000000000000000"/>
    <w:charset w:val="86"/>
    <w:family w:val="auto"/>
    <w:pitch w:val="default"/>
    <w:sig w:usb0="00000000" w:usb1="00000000" w:usb2="00000010" w:usb3="00000000" w:csb0="00060000" w:csb1="00000000"/>
  </w:font>
  <w:font w:name="方正小标宋_GBK">
    <w:altName w:val="微软雅黑"/>
    <w:panose1 w:val="03000509000000000000"/>
    <w:charset w:val="86"/>
    <w:family w:val="script"/>
    <w:pitch w:val="default"/>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1</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2</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3</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5</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6</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7</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8</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8</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9</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B2E76A9"/>
    <w:multiLevelType w:val="singleLevel"/>
    <w:tmpl w:val="BB2E76A9"/>
    <w:lvl w:ilvl="0">
      <w:start w:val="1"/>
      <w:numFmt w:val="decimal"/>
      <w:suff w:val="nothing"/>
      <w:lvlText w:val="（%1）"/>
      <w:lvlJc w:val="left"/>
    </w:lvl>
  </w:abstractNum>
  <w:abstractNum w:abstractNumId="1">
    <w:nsid w:val="FAB81451"/>
    <w:multiLevelType w:val="singleLevel"/>
    <w:tmpl w:val="FAB81451"/>
    <w:lvl w:ilvl="0">
      <w:start w:val="1"/>
      <w:numFmt w:val="decimal"/>
      <w:suff w:val="nothing"/>
      <w:lvlText w:val="（%1）"/>
      <w:lvlJc w:val="left"/>
      <w:pPr>
        <w:ind w:left="-60"/>
      </w:pPr>
    </w:lvl>
  </w:abstractNum>
  <w:abstractNum w:abstractNumId="2">
    <w:nsid w:val="0248DA20"/>
    <w:multiLevelType w:val="singleLevel"/>
    <w:tmpl w:val="0248DA20"/>
    <w:lvl w:ilvl="0">
      <w:start w:val="2"/>
      <w:numFmt w:val="decimal"/>
      <w:suff w:val="nothing"/>
      <w:lvlText w:val="（%1）"/>
      <w:lvlJc w:val="left"/>
      <w:pPr>
        <w:ind w:left="480" w:firstLine="0"/>
      </w:pPr>
    </w:lvl>
  </w:abstractNum>
  <w:abstractNum w:abstractNumId="3">
    <w:nsid w:val="3E1EB9B2"/>
    <w:multiLevelType w:val="singleLevel"/>
    <w:tmpl w:val="3E1EB9B2"/>
    <w:lvl w:ilvl="0">
      <w:start w:val="1"/>
      <w:numFmt w:val="decimal"/>
      <w:suff w:val="nothing"/>
      <w:lvlText w:val="%1、"/>
      <w:lvlJc w:val="left"/>
    </w:lvl>
  </w:abstractNum>
  <w:abstractNum w:abstractNumId="4">
    <w:nsid w:val="6646D42F"/>
    <w:multiLevelType w:val="singleLevel"/>
    <w:tmpl w:val="6646D42F"/>
    <w:lvl w:ilvl="0">
      <w:start w:val="4"/>
      <w:numFmt w:val="chineseCounting"/>
      <w:suff w:val="nothing"/>
      <w:lvlText w:val="%1、"/>
      <w:lvlJc w:val="left"/>
      <w:rPr>
        <w:rFonts w:hint="eastAsia"/>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ttachedTemplate r:id="rId1"/>
  <w:stylePaneFormatFilter w:val="3F01"/>
  <w:documentProtection w:edit="trackedChanges" w:enforcement="0"/>
  <w:defaultTabStop w:val="420"/>
  <w:doNotHyphenateCaps/>
  <w:drawingGridVerticalSpacing w:val="156"/>
  <w:noPunctuationKerning/>
  <w:characterSpacingControl w:val="compressPunctuation"/>
  <w:noLineBreaksAfter w:lang="en-US" w:val="([{·‘“〈《「『【〔〖（．［｛￡￥"/>
  <w:noLineBreaksBefore w:lang="en-US" w:val="!),.:;?]}¨·ˇˉ―‖’”…∶、。〃々〉》」』】〕〗！＂＇），．：；？］｀｜｝～￠"/>
  <w:doNotEmbedSmartTags/>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14947"/>
    <w:rsid w:val="000060B3"/>
    <w:rsid w:val="0004364B"/>
    <w:rsid w:val="00061B1F"/>
    <w:rsid w:val="000733C4"/>
    <w:rsid w:val="00074783"/>
    <w:rsid w:val="0008070B"/>
    <w:rsid w:val="000810AC"/>
    <w:rsid w:val="00081A02"/>
    <w:rsid w:val="00082231"/>
    <w:rsid w:val="00092D38"/>
    <w:rsid w:val="0009377B"/>
    <w:rsid w:val="000A20C9"/>
    <w:rsid w:val="000B058F"/>
    <w:rsid w:val="000B4467"/>
    <w:rsid w:val="000B4DB9"/>
    <w:rsid w:val="000C09AC"/>
    <w:rsid w:val="000C767F"/>
    <w:rsid w:val="000D5A44"/>
    <w:rsid w:val="000E3ED2"/>
    <w:rsid w:val="00131F42"/>
    <w:rsid w:val="001357F1"/>
    <w:rsid w:val="00140FA8"/>
    <w:rsid w:val="00142FEB"/>
    <w:rsid w:val="00143A2D"/>
    <w:rsid w:val="00145A41"/>
    <w:rsid w:val="00151675"/>
    <w:rsid w:val="00157435"/>
    <w:rsid w:val="0017504D"/>
    <w:rsid w:val="0017671A"/>
    <w:rsid w:val="00177422"/>
    <w:rsid w:val="00184590"/>
    <w:rsid w:val="001870D1"/>
    <w:rsid w:val="0018781E"/>
    <w:rsid w:val="0019262D"/>
    <w:rsid w:val="001A1B35"/>
    <w:rsid w:val="001A365F"/>
    <w:rsid w:val="001A48A2"/>
    <w:rsid w:val="001A6F61"/>
    <w:rsid w:val="001B72B8"/>
    <w:rsid w:val="001C69B3"/>
    <w:rsid w:val="001D5595"/>
    <w:rsid w:val="001D7874"/>
    <w:rsid w:val="001D7F22"/>
    <w:rsid w:val="001F0F17"/>
    <w:rsid w:val="001F3347"/>
    <w:rsid w:val="001F69E4"/>
    <w:rsid w:val="002125B4"/>
    <w:rsid w:val="002155B8"/>
    <w:rsid w:val="00224839"/>
    <w:rsid w:val="002249B2"/>
    <w:rsid w:val="00226574"/>
    <w:rsid w:val="002278EC"/>
    <w:rsid w:val="0023280E"/>
    <w:rsid w:val="002377D1"/>
    <w:rsid w:val="002506BC"/>
    <w:rsid w:val="00254345"/>
    <w:rsid w:val="00264557"/>
    <w:rsid w:val="002805AB"/>
    <w:rsid w:val="00284204"/>
    <w:rsid w:val="00291773"/>
    <w:rsid w:val="002A168C"/>
    <w:rsid w:val="002A3DC7"/>
    <w:rsid w:val="002B49E2"/>
    <w:rsid w:val="002B7B00"/>
    <w:rsid w:val="002B7C44"/>
    <w:rsid w:val="002C2B17"/>
    <w:rsid w:val="002D3DD0"/>
    <w:rsid w:val="002E1F3A"/>
    <w:rsid w:val="002E298A"/>
    <w:rsid w:val="00301978"/>
    <w:rsid w:val="0030332C"/>
    <w:rsid w:val="003051C2"/>
    <w:rsid w:val="00312296"/>
    <w:rsid w:val="00314F0E"/>
    <w:rsid w:val="00321D8E"/>
    <w:rsid w:val="00325928"/>
    <w:rsid w:val="00332863"/>
    <w:rsid w:val="0033684D"/>
    <w:rsid w:val="00337B42"/>
    <w:rsid w:val="00341B42"/>
    <w:rsid w:val="0034348F"/>
    <w:rsid w:val="00356653"/>
    <w:rsid w:val="0035743F"/>
    <w:rsid w:val="00357BE2"/>
    <w:rsid w:val="0036170C"/>
    <w:rsid w:val="00366E0F"/>
    <w:rsid w:val="00381A72"/>
    <w:rsid w:val="00384676"/>
    <w:rsid w:val="00390857"/>
    <w:rsid w:val="003A4BF3"/>
    <w:rsid w:val="003B420D"/>
    <w:rsid w:val="003C6C16"/>
    <w:rsid w:val="003D794D"/>
    <w:rsid w:val="003E3058"/>
    <w:rsid w:val="003E76A9"/>
    <w:rsid w:val="003F0809"/>
    <w:rsid w:val="003F6A8C"/>
    <w:rsid w:val="003F755C"/>
    <w:rsid w:val="00406F01"/>
    <w:rsid w:val="00416D50"/>
    <w:rsid w:val="00416FD5"/>
    <w:rsid w:val="00417772"/>
    <w:rsid w:val="00420E6A"/>
    <w:rsid w:val="00425A9E"/>
    <w:rsid w:val="00426D6B"/>
    <w:rsid w:val="00431E6C"/>
    <w:rsid w:val="00433CE7"/>
    <w:rsid w:val="00452738"/>
    <w:rsid w:val="00456091"/>
    <w:rsid w:val="00466321"/>
    <w:rsid w:val="00484B9B"/>
    <w:rsid w:val="004855F6"/>
    <w:rsid w:val="0048661E"/>
    <w:rsid w:val="00494670"/>
    <w:rsid w:val="004A3823"/>
    <w:rsid w:val="004E6946"/>
    <w:rsid w:val="004F1AD8"/>
    <w:rsid w:val="005039CB"/>
    <w:rsid w:val="0050558F"/>
    <w:rsid w:val="00506286"/>
    <w:rsid w:val="00510813"/>
    <w:rsid w:val="00511990"/>
    <w:rsid w:val="00511DE0"/>
    <w:rsid w:val="00514870"/>
    <w:rsid w:val="00514B9B"/>
    <w:rsid w:val="00517F02"/>
    <w:rsid w:val="00524303"/>
    <w:rsid w:val="005258A2"/>
    <w:rsid w:val="005401AE"/>
    <w:rsid w:val="00542E07"/>
    <w:rsid w:val="00545424"/>
    <w:rsid w:val="00554A7B"/>
    <w:rsid w:val="0055572C"/>
    <w:rsid w:val="0056106A"/>
    <w:rsid w:val="005720AE"/>
    <w:rsid w:val="00594D77"/>
    <w:rsid w:val="005969E4"/>
    <w:rsid w:val="005A06B7"/>
    <w:rsid w:val="005A1759"/>
    <w:rsid w:val="005A68A7"/>
    <w:rsid w:val="005D36AB"/>
    <w:rsid w:val="006164A9"/>
    <w:rsid w:val="00617CC3"/>
    <w:rsid w:val="006377A6"/>
    <w:rsid w:val="00637A3D"/>
    <w:rsid w:val="006411EF"/>
    <w:rsid w:val="006748B8"/>
    <w:rsid w:val="006775C3"/>
    <w:rsid w:val="0069290A"/>
    <w:rsid w:val="0069775A"/>
    <w:rsid w:val="00697813"/>
    <w:rsid w:val="006A3EE8"/>
    <w:rsid w:val="006A72BF"/>
    <w:rsid w:val="006B03F2"/>
    <w:rsid w:val="006B37DC"/>
    <w:rsid w:val="006B4F68"/>
    <w:rsid w:val="006C0592"/>
    <w:rsid w:val="006C272E"/>
    <w:rsid w:val="006C5479"/>
    <w:rsid w:val="006D13B5"/>
    <w:rsid w:val="006E12FF"/>
    <w:rsid w:val="006E607E"/>
    <w:rsid w:val="00706C5D"/>
    <w:rsid w:val="00732922"/>
    <w:rsid w:val="0075162E"/>
    <w:rsid w:val="00754034"/>
    <w:rsid w:val="00756556"/>
    <w:rsid w:val="007618C4"/>
    <w:rsid w:val="00767980"/>
    <w:rsid w:val="00770B19"/>
    <w:rsid w:val="0077463F"/>
    <w:rsid w:val="00780E93"/>
    <w:rsid w:val="007836EA"/>
    <w:rsid w:val="00784CDA"/>
    <w:rsid w:val="007906C4"/>
    <w:rsid w:val="007940EA"/>
    <w:rsid w:val="007967E8"/>
    <w:rsid w:val="007A2170"/>
    <w:rsid w:val="007A22BF"/>
    <w:rsid w:val="007A3323"/>
    <w:rsid w:val="007B72B8"/>
    <w:rsid w:val="007B7A58"/>
    <w:rsid w:val="007C21B5"/>
    <w:rsid w:val="007E4BD2"/>
    <w:rsid w:val="00801393"/>
    <w:rsid w:val="00802F88"/>
    <w:rsid w:val="0081293E"/>
    <w:rsid w:val="00815465"/>
    <w:rsid w:val="00817E9A"/>
    <w:rsid w:val="008306BD"/>
    <w:rsid w:val="00831A80"/>
    <w:rsid w:val="00833743"/>
    <w:rsid w:val="008340A4"/>
    <w:rsid w:val="008570A7"/>
    <w:rsid w:val="0087135F"/>
    <w:rsid w:val="00872D94"/>
    <w:rsid w:val="00880364"/>
    <w:rsid w:val="00891592"/>
    <w:rsid w:val="00891E9E"/>
    <w:rsid w:val="008A2F68"/>
    <w:rsid w:val="008B4FA6"/>
    <w:rsid w:val="008B5282"/>
    <w:rsid w:val="008B7C17"/>
    <w:rsid w:val="008C2D01"/>
    <w:rsid w:val="008C40E6"/>
    <w:rsid w:val="008D0F7A"/>
    <w:rsid w:val="008D68E4"/>
    <w:rsid w:val="008E0506"/>
    <w:rsid w:val="008E0CFF"/>
    <w:rsid w:val="008E5D6B"/>
    <w:rsid w:val="008E76F0"/>
    <w:rsid w:val="008F15FE"/>
    <w:rsid w:val="008F2D29"/>
    <w:rsid w:val="008F5187"/>
    <w:rsid w:val="008F60D8"/>
    <w:rsid w:val="008F77B6"/>
    <w:rsid w:val="009002FD"/>
    <w:rsid w:val="00902727"/>
    <w:rsid w:val="0090312B"/>
    <w:rsid w:val="0091736D"/>
    <w:rsid w:val="0093037A"/>
    <w:rsid w:val="0094154D"/>
    <w:rsid w:val="0095155F"/>
    <w:rsid w:val="00954429"/>
    <w:rsid w:val="009563CE"/>
    <w:rsid w:val="00976328"/>
    <w:rsid w:val="0097680D"/>
    <w:rsid w:val="00982438"/>
    <w:rsid w:val="0098404C"/>
    <w:rsid w:val="00985283"/>
    <w:rsid w:val="00995992"/>
    <w:rsid w:val="009A03E5"/>
    <w:rsid w:val="009A0F3B"/>
    <w:rsid w:val="009A1BB4"/>
    <w:rsid w:val="009A2628"/>
    <w:rsid w:val="009A3200"/>
    <w:rsid w:val="009B0897"/>
    <w:rsid w:val="009B7BD9"/>
    <w:rsid w:val="009C7DD5"/>
    <w:rsid w:val="009E227D"/>
    <w:rsid w:val="009E5019"/>
    <w:rsid w:val="00A04F1B"/>
    <w:rsid w:val="00A0501B"/>
    <w:rsid w:val="00A14947"/>
    <w:rsid w:val="00A32A83"/>
    <w:rsid w:val="00A368DB"/>
    <w:rsid w:val="00A423AA"/>
    <w:rsid w:val="00A53EC6"/>
    <w:rsid w:val="00A55C0F"/>
    <w:rsid w:val="00A6721F"/>
    <w:rsid w:val="00A8713F"/>
    <w:rsid w:val="00A90BA1"/>
    <w:rsid w:val="00A97A9A"/>
    <w:rsid w:val="00AA0671"/>
    <w:rsid w:val="00AA2531"/>
    <w:rsid w:val="00AB1E09"/>
    <w:rsid w:val="00AB5330"/>
    <w:rsid w:val="00AB7747"/>
    <w:rsid w:val="00AC14CE"/>
    <w:rsid w:val="00AC2A56"/>
    <w:rsid w:val="00AD055E"/>
    <w:rsid w:val="00AD47A7"/>
    <w:rsid w:val="00AF0CBF"/>
    <w:rsid w:val="00AF257F"/>
    <w:rsid w:val="00AF33CF"/>
    <w:rsid w:val="00AF4D50"/>
    <w:rsid w:val="00AF6179"/>
    <w:rsid w:val="00B02CE6"/>
    <w:rsid w:val="00B1295A"/>
    <w:rsid w:val="00B20A45"/>
    <w:rsid w:val="00B22C5C"/>
    <w:rsid w:val="00B24F30"/>
    <w:rsid w:val="00B31ABF"/>
    <w:rsid w:val="00B33BE3"/>
    <w:rsid w:val="00B53B5D"/>
    <w:rsid w:val="00B6055E"/>
    <w:rsid w:val="00B6317D"/>
    <w:rsid w:val="00B7723F"/>
    <w:rsid w:val="00B80534"/>
    <w:rsid w:val="00B8433C"/>
    <w:rsid w:val="00B87491"/>
    <w:rsid w:val="00BA29E9"/>
    <w:rsid w:val="00BA7142"/>
    <w:rsid w:val="00BB237C"/>
    <w:rsid w:val="00BB41A3"/>
    <w:rsid w:val="00BC32DC"/>
    <w:rsid w:val="00BC35B6"/>
    <w:rsid w:val="00BD0C3F"/>
    <w:rsid w:val="00BD1B51"/>
    <w:rsid w:val="00BD4596"/>
    <w:rsid w:val="00BE1405"/>
    <w:rsid w:val="00BE312D"/>
    <w:rsid w:val="00BF1C20"/>
    <w:rsid w:val="00C10578"/>
    <w:rsid w:val="00C135BC"/>
    <w:rsid w:val="00C15C95"/>
    <w:rsid w:val="00C2596A"/>
    <w:rsid w:val="00C27537"/>
    <w:rsid w:val="00C328FE"/>
    <w:rsid w:val="00C33507"/>
    <w:rsid w:val="00C4409D"/>
    <w:rsid w:val="00C44E72"/>
    <w:rsid w:val="00C45A06"/>
    <w:rsid w:val="00C47E5B"/>
    <w:rsid w:val="00C61E4B"/>
    <w:rsid w:val="00C64BFF"/>
    <w:rsid w:val="00C704E9"/>
    <w:rsid w:val="00C763C9"/>
    <w:rsid w:val="00C80057"/>
    <w:rsid w:val="00C82232"/>
    <w:rsid w:val="00C82913"/>
    <w:rsid w:val="00C9140D"/>
    <w:rsid w:val="00C972B1"/>
    <w:rsid w:val="00CA2CCE"/>
    <w:rsid w:val="00CA43FD"/>
    <w:rsid w:val="00CA7EF8"/>
    <w:rsid w:val="00CC489B"/>
    <w:rsid w:val="00CD2BCD"/>
    <w:rsid w:val="00CD3A4C"/>
    <w:rsid w:val="00CE10E9"/>
    <w:rsid w:val="00CE2910"/>
    <w:rsid w:val="00CE5393"/>
    <w:rsid w:val="00CF36BE"/>
    <w:rsid w:val="00CF6000"/>
    <w:rsid w:val="00D003F3"/>
    <w:rsid w:val="00D0364F"/>
    <w:rsid w:val="00D06834"/>
    <w:rsid w:val="00D308ED"/>
    <w:rsid w:val="00D36D86"/>
    <w:rsid w:val="00D428AA"/>
    <w:rsid w:val="00D50A34"/>
    <w:rsid w:val="00D53EFA"/>
    <w:rsid w:val="00D94A7C"/>
    <w:rsid w:val="00D95896"/>
    <w:rsid w:val="00DB2983"/>
    <w:rsid w:val="00DC1257"/>
    <w:rsid w:val="00DC3DC0"/>
    <w:rsid w:val="00DC5B2B"/>
    <w:rsid w:val="00DD318D"/>
    <w:rsid w:val="00DF2E12"/>
    <w:rsid w:val="00DF514A"/>
    <w:rsid w:val="00DF6690"/>
    <w:rsid w:val="00DF6804"/>
    <w:rsid w:val="00E0358D"/>
    <w:rsid w:val="00E04323"/>
    <w:rsid w:val="00E070A2"/>
    <w:rsid w:val="00E2656A"/>
    <w:rsid w:val="00E412D0"/>
    <w:rsid w:val="00E56322"/>
    <w:rsid w:val="00E60982"/>
    <w:rsid w:val="00E62C62"/>
    <w:rsid w:val="00E654C1"/>
    <w:rsid w:val="00E65D97"/>
    <w:rsid w:val="00E72A5A"/>
    <w:rsid w:val="00E73354"/>
    <w:rsid w:val="00E9242D"/>
    <w:rsid w:val="00EB5255"/>
    <w:rsid w:val="00EB5C47"/>
    <w:rsid w:val="00ED0639"/>
    <w:rsid w:val="00EE24CF"/>
    <w:rsid w:val="00EF4755"/>
    <w:rsid w:val="00EF7135"/>
    <w:rsid w:val="00F027DB"/>
    <w:rsid w:val="00F14A7A"/>
    <w:rsid w:val="00F22985"/>
    <w:rsid w:val="00F3383E"/>
    <w:rsid w:val="00F465A7"/>
    <w:rsid w:val="00F50B7C"/>
    <w:rsid w:val="00F550E6"/>
    <w:rsid w:val="00F74345"/>
    <w:rsid w:val="00F80A0A"/>
    <w:rsid w:val="00F82B19"/>
    <w:rsid w:val="00F9212D"/>
    <w:rsid w:val="00F965DA"/>
    <w:rsid w:val="00FA406A"/>
    <w:rsid w:val="00FB503A"/>
    <w:rsid w:val="00FB516C"/>
    <w:rsid w:val="00FD0236"/>
    <w:rsid w:val="00FD18F4"/>
    <w:rsid w:val="00FD54DB"/>
    <w:rsid w:val="00FD619F"/>
    <w:rsid w:val="01024FFA"/>
    <w:rsid w:val="01290F7E"/>
    <w:rsid w:val="01496DE4"/>
    <w:rsid w:val="014C11D0"/>
    <w:rsid w:val="015D1E09"/>
    <w:rsid w:val="018F5D8A"/>
    <w:rsid w:val="01C847F2"/>
    <w:rsid w:val="01E43C17"/>
    <w:rsid w:val="02697903"/>
    <w:rsid w:val="029F6342"/>
    <w:rsid w:val="02C54C56"/>
    <w:rsid w:val="02F96569"/>
    <w:rsid w:val="03A53155"/>
    <w:rsid w:val="03B65FF1"/>
    <w:rsid w:val="03B92C81"/>
    <w:rsid w:val="03EA7B21"/>
    <w:rsid w:val="043447A9"/>
    <w:rsid w:val="0472627E"/>
    <w:rsid w:val="047C77A2"/>
    <w:rsid w:val="049D275A"/>
    <w:rsid w:val="04AB29EC"/>
    <w:rsid w:val="05D47A74"/>
    <w:rsid w:val="05F83EAE"/>
    <w:rsid w:val="06071E22"/>
    <w:rsid w:val="061B039A"/>
    <w:rsid w:val="063E7D85"/>
    <w:rsid w:val="0653382A"/>
    <w:rsid w:val="069629CC"/>
    <w:rsid w:val="07293586"/>
    <w:rsid w:val="07295285"/>
    <w:rsid w:val="07482033"/>
    <w:rsid w:val="07605B88"/>
    <w:rsid w:val="07636392"/>
    <w:rsid w:val="07770C56"/>
    <w:rsid w:val="07B47950"/>
    <w:rsid w:val="08373FBD"/>
    <w:rsid w:val="0847753D"/>
    <w:rsid w:val="086E5B88"/>
    <w:rsid w:val="087351B8"/>
    <w:rsid w:val="089E3E17"/>
    <w:rsid w:val="08B208E2"/>
    <w:rsid w:val="08E57E82"/>
    <w:rsid w:val="090579BB"/>
    <w:rsid w:val="09143080"/>
    <w:rsid w:val="092217DD"/>
    <w:rsid w:val="093A7294"/>
    <w:rsid w:val="09510CB4"/>
    <w:rsid w:val="097202B5"/>
    <w:rsid w:val="09BC6071"/>
    <w:rsid w:val="09C91E87"/>
    <w:rsid w:val="09DA2438"/>
    <w:rsid w:val="0A263993"/>
    <w:rsid w:val="0A2C5B88"/>
    <w:rsid w:val="0A2D3AC2"/>
    <w:rsid w:val="0AA755DF"/>
    <w:rsid w:val="0AF674AA"/>
    <w:rsid w:val="0AFD2BFD"/>
    <w:rsid w:val="0B120D44"/>
    <w:rsid w:val="0B361312"/>
    <w:rsid w:val="0B5D1B3B"/>
    <w:rsid w:val="0B671CA8"/>
    <w:rsid w:val="0BB41D03"/>
    <w:rsid w:val="0BD27BF6"/>
    <w:rsid w:val="0BE15C37"/>
    <w:rsid w:val="0BEB03E0"/>
    <w:rsid w:val="0BF85F40"/>
    <w:rsid w:val="0BFF1FE3"/>
    <w:rsid w:val="0C360E8F"/>
    <w:rsid w:val="0C3B3C7D"/>
    <w:rsid w:val="0C437F80"/>
    <w:rsid w:val="0C547ACE"/>
    <w:rsid w:val="0C5B215F"/>
    <w:rsid w:val="0C872BCD"/>
    <w:rsid w:val="0CAB2EAE"/>
    <w:rsid w:val="0CBA524C"/>
    <w:rsid w:val="0CE97191"/>
    <w:rsid w:val="0D3B27BF"/>
    <w:rsid w:val="0D621C7D"/>
    <w:rsid w:val="0DE24882"/>
    <w:rsid w:val="0E73034D"/>
    <w:rsid w:val="0EC02BD6"/>
    <w:rsid w:val="0EE44AF3"/>
    <w:rsid w:val="0EEC26ED"/>
    <w:rsid w:val="0F095BF5"/>
    <w:rsid w:val="0F13775A"/>
    <w:rsid w:val="0F2044B8"/>
    <w:rsid w:val="0F59545C"/>
    <w:rsid w:val="0F5F45FE"/>
    <w:rsid w:val="0F802489"/>
    <w:rsid w:val="0F852FE9"/>
    <w:rsid w:val="0F9356FC"/>
    <w:rsid w:val="0F9A112B"/>
    <w:rsid w:val="0FD2688E"/>
    <w:rsid w:val="100B7ABF"/>
    <w:rsid w:val="100F5E76"/>
    <w:rsid w:val="10553794"/>
    <w:rsid w:val="106D2F64"/>
    <w:rsid w:val="10B20503"/>
    <w:rsid w:val="10B63710"/>
    <w:rsid w:val="10F10820"/>
    <w:rsid w:val="111C2F7A"/>
    <w:rsid w:val="11233566"/>
    <w:rsid w:val="112863E3"/>
    <w:rsid w:val="116316F2"/>
    <w:rsid w:val="11665CA1"/>
    <w:rsid w:val="11FE18E6"/>
    <w:rsid w:val="12107D36"/>
    <w:rsid w:val="128C620B"/>
    <w:rsid w:val="12DE2F20"/>
    <w:rsid w:val="132B0DD5"/>
    <w:rsid w:val="13951726"/>
    <w:rsid w:val="13E71C8A"/>
    <w:rsid w:val="13E72C04"/>
    <w:rsid w:val="140E7E0D"/>
    <w:rsid w:val="14213FC1"/>
    <w:rsid w:val="14396509"/>
    <w:rsid w:val="144D5A0F"/>
    <w:rsid w:val="146B26EF"/>
    <w:rsid w:val="14780E1C"/>
    <w:rsid w:val="14813DB1"/>
    <w:rsid w:val="14DD2C3C"/>
    <w:rsid w:val="151A3FCD"/>
    <w:rsid w:val="15900113"/>
    <w:rsid w:val="15E74A2C"/>
    <w:rsid w:val="16087E1D"/>
    <w:rsid w:val="1615095A"/>
    <w:rsid w:val="16201DC1"/>
    <w:rsid w:val="16534DCB"/>
    <w:rsid w:val="16696D7C"/>
    <w:rsid w:val="16800135"/>
    <w:rsid w:val="1708410C"/>
    <w:rsid w:val="171566FE"/>
    <w:rsid w:val="171C4A4E"/>
    <w:rsid w:val="17207642"/>
    <w:rsid w:val="172427CA"/>
    <w:rsid w:val="17570C92"/>
    <w:rsid w:val="17701D14"/>
    <w:rsid w:val="17735226"/>
    <w:rsid w:val="177720E8"/>
    <w:rsid w:val="17971A38"/>
    <w:rsid w:val="179D321B"/>
    <w:rsid w:val="17E73651"/>
    <w:rsid w:val="18487E42"/>
    <w:rsid w:val="187038A8"/>
    <w:rsid w:val="189F624C"/>
    <w:rsid w:val="18A47F3B"/>
    <w:rsid w:val="18C431E6"/>
    <w:rsid w:val="18E35613"/>
    <w:rsid w:val="18F440AD"/>
    <w:rsid w:val="193E7D91"/>
    <w:rsid w:val="19470720"/>
    <w:rsid w:val="19742D44"/>
    <w:rsid w:val="19B96F68"/>
    <w:rsid w:val="19C70FA9"/>
    <w:rsid w:val="19D64527"/>
    <w:rsid w:val="1A1C66C0"/>
    <w:rsid w:val="1A2B6E03"/>
    <w:rsid w:val="1A42393B"/>
    <w:rsid w:val="1A8F0F11"/>
    <w:rsid w:val="1AAD45DE"/>
    <w:rsid w:val="1AF92445"/>
    <w:rsid w:val="1B046F80"/>
    <w:rsid w:val="1B3267B5"/>
    <w:rsid w:val="1B40161D"/>
    <w:rsid w:val="1B441859"/>
    <w:rsid w:val="1B6606B1"/>
    <w:rsid w:val="1BAF6654"/>
    <w:rsid w:val="1BB5631E"/>
    <w:rsid w:val="1BC93A3F"/>
    <w:rsid w:val="1C5C6731"/>
    <w:rsid w:val="1C5E7925"/>
    <w:rsid w:val="1C5F7C4F"/>
    <w:rsid w:val="1C625D3D"/>
    <w:rsid w:val="1CA37410"/>
    <w:rsid w:val="1CE76713"/>
    <w:rsid w:val="1CFD070F"/>
    <w:rsid w:val="1D117452"/>
    <w:rsid w:val="1D5F6196"/>
    <w:rsid w:val="1D6132A5"/>
    <w:rsid w:val="1D656786"/>
    <w:rsid w:val="1D754791"/>
    <w:rsid w:val="1D8E56D5"/>
    <w:rsid w:val="1D901B97"/>
    <w:rsid w:val="1D940DB0"/>
    <w:rsid w:val="1DA344B8"/>
    <w:rsid w:val="1DAB1CCD"/>
    <w:rsid w:val="1E0968DC"/>
    <w:rsid w:val="1E4428FF"/>
    <w:rsid w:val="1E4B0DCA"/>
    <w:rsid w:val="1E64093C"/>
    <w:rsid w:val="1E7A43DA"/>
    <w:rsid w:val="1ED97CE5"/>
    <w:rsid w:val="1EDD3004"/>
    <w:rsid w:val="1F1E457B"/>
    <w:rsid w:val="1F802FD4"/>
    <w:rsid w:val="1FA91429"/>
    <w:rsid w:val="1FE7539E"/>
    <w:rsid w:val="202579E6"/>
    <w:rsid w:val="202742AA"/>
    <w:rsid w:val="205149BC"/>
    <w:rsid w:val="20671BE0"/>
    <w:rsid w:val="20674D20"/>
    <w:rsid w:val="20832130"/>
    <w:rsid w:val="20963CB8"/>
    <w:rsid w:val="20A81A1B"/>
    <w:rsid w:val="20B07FB6"/>
    <w:rsid w:val="20B646FB"/>
    <w:rsid w:val="20D44A5E"/>
    <w:rsid w:val="20EF3B7E"/>
    <w:rsid w:val="20F53531"/>
    <w:rsid w:val="21015009"/>
    <w:rsid w:val="210D6AF8"/>
    <w:rsid w:val="211E5AAE"/>
    <w:rsid w:val="213B74B1"/>
    <w:rsid w:val="215538E5"/>
    <w:rsid w:val="21586599"/>
    <w:rsid w:val="215A2310"/>
    <w:rsid w:val="216B17B1"/>
    <w:rsid w:val="21763672"/>
    <w:rsid w:val="21DE318A"/>
    <w:rsid w:val="21E3110C"/>
    <w:rsid w:val="21EF5B80"/>
    <w:rsid w:val="22222E58"/>
    <w:rsid w:val="22576990"/>
    <w:rsid w:val="22864750"/>
    <w:rsid w:val="229A6618"/>
    <w:rsid w:val="22C801ED"/>
    <w:rsid w:val="22F47480"/>
    <w:rsid w:val="232E1657"/>
    <w:rsid w:val="237243A5"/>
    <w:rsid w:val="23B67414"/>
    <w:rsid w:val="23DE1C48"/>
    <w:rsid w:val="240210CD"/>
    <w:rsid w:val="24054517"/>
    <w:rsid w:val="243D2C55"/>
    <w:rsid w:val="243D5AF5"/>
    <w:rsid w:val="249D1557"/>
    <w:rsid w:val="24BF09F7"/>
    <w:rsid w:val="24DB0A54"/>
    <w:rsid w:val="24F237C4"/>
    <w:rsid w:val="252D53FE"/>
    <w:rsid w:val="2592103D"/>
    <w:rsid w:val="259B08F3"/>
    <w:rsid w:val="25EC2D81"/>
    <w:rsid w:val="26203842"/>
    <w:rsid w:val="26442A7B"/>
    <w:rsid w:val="26672398"/>
    <w:rsid w:val="26BE2A60"/>
    <w:rsid w:val="26BF154E"/>
    <w:rsid w:val="26F50E4C"/>
    <w:rsid w:val="27342D76"/>
    <w:rsid w:val="2735156F"/>
    <w:rsid w:val="273F27F9"/>
    <w:rsid w:val="274F286D"/>
    <w:rsid w:val="277057A2"/>
    <w:rsid w:val="27A26A64"/>
    <w:rsid w:val="27AC335A"/>
    <w:rsid w:val="280E36F1"/>
    <w:rsid w:val="284C5056"/>
    <w:rsid w:val="28601FDB"/>
    <w:rsid w:val="289439BB"/>
    <w:rsid w:val="28CE392E"/>
    <w:rsid w:val="29206EB8"/>
    <w:rsid w:val="29511E01"/>
    <w:rsid w:val="29595666"/>
    <w:rsid w:val="29874881"/>
    <w:rsid w:val="29E325E0"/>
    <w:rsid w:val="29EB071F"/>
    <w:rsid w:val="29F77D5D"/>
    <w:rsid w:val="2A16511E"/>
    <w:rsid w:val="2A452503"/>
    <w:rsid w:val="2AAD65B1"/>
    <w:rsid w:val="2ABF60CD"/>
    <w:rsid w:val="2AD225EE"/>
    <w:rsid w:val="2B4F6DA7"/>
    <w:rsid w:val="2B677BFF"/>
    <w:rsid w:val="2B6C5721"/>
    <w:rsid w:val="2BA936A8"/>
    <w:rsid w:val="2BBE076F"/>
    <w:rsid w:val="2BC02B30"/>
    <w:rsid w:val="2BE414A3"/>
    <w:rsid w:val="2BF03F9A"/>
    <w:rsid w:val="2BF92634"/>
    <w:rsid w:val="2C315A5A"/>
    <w:rsid w:val="2C4B1C25"/>
    <w:rsid w:val="2C4E1C33"/>
    <w:rsid w:val="2C5B2F5D"/>
    <w:rsid w:val="2C5C49F7"/>
    <w:rsid w:val="2CF51881"/>
    <w:rsid w:val="2D4E5E92"/>
    <w:rsid w:val="2D516D17"/>
    <w:rsid w:val="2D68642F"/>
    <w:rsid w:val="2D9E56F5"/>
    <w:rsid w:val="2DBF09AB"/>
    <w:rsid w:val="2E667F96"/>
    <w:rsid w:val="2E6B53F3"/>
    <w:rsid w:val="2E8226AB"/>
    <w:rsid w:val="2EDB6FB6"/>
    <w:rsid w:val="2F0562AC"/>
    <w:rsid w:val="2F227DDD"/>
    <w:rsid w:val="2F2F1BF5"/>
    <w:rsid w:val="2F3D0DDB"/>
    <w:rsid w:val="2F3D0EA5"/>
    <w:rsid w:val="2F89718F"/>
    <w:rsid w:val="2FD065E6"/>
    <w:rsid w:val="2FD96870"/>
    <w:rsid w:val="30580BC9"/>
    <w:rsid w:val="30A93836"/>
    <w:rsid w:val="311E2ED7"/>
    <w:rsid w:val="311F10D6"/>
    <w:rsid w:val="315619EE"/>
    <w:rsid w:val="315C449C"/>
    <w:rsid w:val="319C302E"/>
    <w:rsid w:val="31AA5E72"/>
    <w:rsid w:val="31B82709"/>
    <w:rsid w:val="31D05482"/>
    <w:rsid w:val="31F7440B"/>
    <w:rsid w:val="32400B34"/>
    <w:rsid w:val="324270F2"/>
    <w:rsid w:val="32634556"/>
    <w:rsid w:val="32672243"/>
    <w:rsid w:val="329E6876"/>
    <w:rsid w:val="32A4229E"/>
    <w:rsid w:val="32AC75CA"/>
    <w:rsid w:val="32AD2F28"/>
    <w:rsid w:val="32BB0AB8"/>
    <w:rsid w:val="32C040AE"/>
    <w:rsid w:val="333015F2"/>
    <w:rsid w:val="334B6320"/>
    <w:rsid w:val="334E66CE"/>
    <w:rsid w:val="33D934D4"/>
    <w:rsid w:val="33FE2F6A"/>
    <w:rsid w:val="34015E3D"/>
    <w:rsid w:val="340E07E5"/>
    <w:rsid w:val="34235BF7"/>
    <w:rsid w:val="34415316"/>
    <w:rsid w:val="345C3137"/>
    <w:rsid w:val="347654A2"/>
    <w:rsid w:val="348545AE"/>
    <w:rsid w:val="349231C1"/>
    <w:rsid w:val="34954075"/>
    <w:rsid w:val="34BE6AC1"/>
    <w:rsid w:val="34D047B4"/>
    <w:rsid w:val="351331F9"/>
    <w:rsid w:val="35305E12"/>
    <w:rsid w:val="3534427D"/>
    <w:rsid w:val="355A6BF1"/>
    <w:rsid w:val="358C5FA8"/>
    <w:rsid w:val="358D26E0"/>
    <w:rsid w:val="358D6E84"/>
    <w:rsid w:val="35C15DF1"/>
    <w:rsid w:val="35ED30EC"/>
    <w:rsid w:val="35F779DD"/>
    <w:rsid w:val="36074A7F"/>
    <w:rsid w:val="36195E29"/>
    <w:rsid w:val="36265286"/>
    <w:rsid w:val="36923549"/>
    <w:rsid w:val="36A70B12"/>
    <w:rsid w:val="36B75FBF"/>
    <w:rsid w:val="36B808A5"/>
    <w:rsid w:val="36BD0C45"/>
    <w:rsid w:val="36E4730D"/>
    <w:rsid w:val="37660B99"/>
    <w:rsid w:val="37CB659A"/>
    <w:rsid w:val="37E00298"/>
    <w:rsid w:val="37EA66E1"/>
    <w:rsid w:val="38150372"/>
    <w:rsid w:val="38166F08"/>
    <w:rsid w:val="38305B3C"/>
    <w:rsid w:val="3830672B"/>
    <w:rsid w:val="388D3615"/>
    <w:rsid w:val="38A111F9"/>
    <w:rsid w:val="38AC4D55"/>
    <w:rsid w:val="38AD7301"/>
    <w:rsid w:val="38B302F9"/>
    <w:rsid w:val="38F12CD3"/>
    <w:rsid w:val="38F94775"/>
    <w:rsid w:val="390214DE"/>
    <w:rsid w:val="390C1F49"/>
    <w:rsid w:val="391C5DFD"/>
    <w:rsid w:val="392971ED"/>
    <w:rsid w:val="39325651"/>
    <w:rsid w:val="39550CFD"/>
    <w:rsid w:val="39661562"/>
    <w:rsid w:val="3985159F"/>
    <w:rsid w:val="39E519D8"/>
    <w:rsid w:val="39EF72AE"/>
    <w:rsid w:val="3A2C353E"/>
    <w:rsid w:val="3A660CAA"/>
    <w:rsid w:val="3A811FC7"/>
    <w:rsid w:val="3A872856"/>
    <w:rsid w:val="3AC42054"/>
    <w:rsid w:val="3ADA1ACA"/>
    <w:rsid w:val="3AE93180"/>
    <w:rsid w:val="3B331E11"/>
    <w:rsid w:val="3B343A2E"/>
    <w:rsid w:val="3B3763D1"/>
    <w:rsid w:val="3BBD3454"/>
    <w:rsid w:val="3BE37F7B"/>
    <w:rsid w:val="3C0F25C5"/>
    <w:rsid w:val="3C19541D"/>
    <w:rsid w:val="3C2F6E1E"/>
    <w:rsid w:val="3C4F64BA"/>
    <w:rsid w:val="3C8A5FAF"/>
    <w:rsid w:val="3C906C91"/>
    <w:rsid w:val="3C9F68F2"/>
    <w:rsid w:val="3CA5165E"/>
    <w:rsid w:val="3CDA245A"/>
    <w:rsid w:val="3CE522BB"/>
    <w:rsid w:val="3D1E06B7"/>
    <w:rsid w:val="3D4F78C8"/>
    <w:rsid w:val="3D811960"/>
    <w:rsid w:val="3D8B14FA"/>
    <w:rsid w:val="3DDA0CE0"/>
    <w:rsid w:val="3DDC7912"/>
    <w:rsid w:val="3E592839"/>
    <w:rsid w:val="3E603844"/>
    <w:rsid w:val="3E6404F5"/>
    <w:rsid w:val="3E7C692D"/>
    <w:rsid w:val="3E9E1FEB"/>
    <w:rsid w:val="3E9F1194"/>
    <w:rsid w:val="3EBD6576"/>
    <w:rsid w:val="3EDA0523"/>
    <w:rsid w:val="3EDF7B46"/>
    <w:rsid w:val="3F05304F"/>
    <w:rsid w:val="3F2E4ADC"/>
    <w:rsid w:val="3F8724B1"/>
    <w:rsid w:val="3F885A41"/>
    <w:rsid w:val="3FC232A5"/>
    <w:rsid w:val="3FD054E1"/>
    <w:rsid w:val="40097566"/>
    <w:rsid w:val="401C2F2A"/>
    <w:rsid w:val="40444572"/>
    <w:rsid w:val="40510BF2"/>
    <w:rsid w:val="407A6407"/>
    <w:rsid w:val="40D14A10"/>
    <w:rsid w:val="40D73BA8"/>
    <w:rsid w:val="40F36398"/>
    <w:rsid w:val="4169199A"/>
    <w:rsid w:val="41BD02CD"/>
    <w:rsid w:val="41CB20C6"/>
    <w:rsid w:val="4200449D"/>
    <w:rsid w:val="42076C16"/>
    <w:rsid w:val="42236C01"/>
    <w:rsid w:val="423A3BCC"/>
    <w:rsid w:val="424E57D2"/>
    <w:rsid w:val="427F71A4"/>
    <w:rsid w:val="42923EE6"/>
    <w:rsid w:val="42B26C49"/>
    <w:rsid w:val="42BD0BDC"/>
    <w:rsid w:val="42D84E73"/>
    <w:rsid w:val="430D6E9D"/>
    <w:rsid w:val="433A6FE6"/>
    <w:rsid w:val="43480868"/>
    <w:rsid w:val="4350713C"/>
    <w:rsid w:val="436653E0"/>
    <w:rsid w:val="43995E63"/>
    <w:rsid w:val="43C4431A"/>
    <w:rsid w:val="4412033B"/>
    <w:rsid w:val="446B638C"/>
    <w:rsid w:val="44826240"/>
    <w:rsid w:val="44B951CC"/>
    <w:rsid w:val="44CD14E0"/>
    <w:rsid w:val="44F20B0B"/>
    <w:rsid w:val="45060CA3"/>
    <w:rsid w:val="452E5F4C"/>
    <w:rsid w:val="453F0617"/>
    <w:rsid w:val="45612018"/>
    <w:rsid w:val="4584225E"/>
    <w:rsid w:val="458946E9"/>
    <w:rsid w:val="45A47C0E"/>
    <w:rsid w:val="45AB3B27"/>
    <w:rsid w:val="45D11BF4"/>
    <w:rsid w:val="45F75678"/>
    <w:rsid w:val="46354F72"/>
    <w:rsid w:val="46577FD6"/>
    <w:rsid w:val="467A1E02"/>
    <w:rsid w:val="469E1A31"/>
    <w:rsid w:val="46B75D3F"/>
    <w:rsid w:val="46D02E6E"/>
    <w:rsid w:val="46D955A7"/>
    <w:rsid w:val="46DD6B9F"/>
    <w:rsid w:val="47133957"/>
    <w:rsid w:val="472B15B9"/>
    <w:rsid w:val="47881B37"/>
    <w:rsid w:val="47A07E0C"/>
    <w:rsid w:val="48174107"/>
    <w:rsid w:val="481D241F"/>
    <w:rsid w:val="483801B3"/>
    <w:rsid w:val="4870272E"/>
    <w:rsid w:val="48950565"/>
    <w:rsid w:val="48C1181D"/>
    <w:rsid w:val="48D03109"/>
    <w:rsid w:val="48EE407C"/>
    <w:rsid w:val="49046E44"/>
    <w:rsid w:val="491E35DA"/>
    <w:rsid w:val="49626277"/>
    <w:rsid w:val="49C415B9"/>
    <w:rsid w:val="49D12C7A"/>
    <w:rsid w:val="49DC7715"/>
    <w:rsid w:val="4A023139"/>
    <w:rsid w:val="4A696166"/>
    <w:rsid w:val="4A7B576F"/>
    <w:rsid w:val="4AB32E15"/>
    <w:rsid w:val="4ABB2762"/>
    <w:rsid w:val="4AE13903"/>
    <w:rsid w:val="4AF561A9"/>
    <w:rsid w:val="4B361218"/>
    <w:rsid w:val="4B381438"/>
    <w:rsid w:val="4B3B58A8"/>
    <w:rsid w:val="4B3C24D4"/>
    <w:rsid w:val="4B83261B"/>
    <w:rsid w:val="4B996181"/>
    <w:rsid w:val="4B9A70F5"/>
    <w:rsid w:val="4BDB7C5A"/>
    <w:rsid w:val="4C2C67E0"/>
    <w:rsid w:val="4C4A0649"/>
    <w:rsid w:val="4C732890"/>
    <w:rsid w:val="4C7E5ECA"/>
    <w:rsid w:val="4C876AA5"/>
    <w:rsid w:val="4CC322D9"/>
    <w:rsid w:val="4CCD4AC8"/>
    <w:rsid w:val="4D07719E"/>
    <w:rsid w:val="4D0E00FB"/>
    <w:rsid w:val="4D176606"/>
    <w:rsid w:val="4D197893"/>
    <w:rsid w:val="4D3904CD"/>
    <w:rsid w:val="4D7378CF"/>
    <w:rsid w:val="4DB60E03"/>
    <w:rsid w:val="4DB73931"/>
    <w:rsid w:val="4DCC60CA"/>
    <w:rsid w:val="4DD56D3A"/>
    <w:rsid w:val="4DEC4FB0"/>
    <w:rsid w:val="4E075D8A"/>
    <w:rsid w:val="4E243DBE"/>
    <w:rsid w:val="4E705A3B"/>
    <w:rsid w:val="4E70682F"/>
    <w:rsid w:val="4E7E5C0D"/>
    <w:rsid w:val="4E8113A6"/>
    <w:rsid w:val="4E821D07"/>
    <w:rsid w:val="4EC00FAD"/>
    <w:rsid w:val="4F0639B2"/>
    <w:rsid w:val="4F12792E"/>
    <w:rsid w:val="4F3709BD"/>
    <w:rsid w:val="4F6731D3"/>
    <w:rsid w:val="4F9843DC"/>
    <w:rsid w:val="4FA8127B"/>
    <w:rsid w:val="4FB40936"/>
    <w:rsid w:val="4FC1444E"/>
    <w:rsid w:val="4FC62A8C"/>
    <w:rsid w:val="4FE20F0D"/>
    <w:rsid w:val="4FE51552"/>
    <w:rsid w:val="50196558"/>
    <w:rsid w:val="50504C4B"/>
    <w:rsid w:val="505D206E"/>
    <w:rsid w:val="5086767B"/>
    <w:rsid w:val="50884D02"/>
    <w:rsid w:val="509C6E7C"/>
    <w:rsid w:val="50F40BD4"/>
    <w:rsid w:val="511F1AFD"/>
    <w:rsid w:val="514F143A"/>
    <w:rsid w:val="5162104E"/>
    <w:rsid w:val="516C1CB5"/>
    <w:rsid w:val="51702D45"/>
    <w:rsid w:val="51EF0D82"/>
    <w:rsid w:val="51FD1646"/>
    <w:rsid w:val="52024883"/>
    <w:rsid w:val="521850C1"/>
    <w:rsid w:val="521C7771"/>
    <w:rsid w:val="539816D1"/>
    <w:rsid w:val="53A039CC"/>
    <w:rsid w:val="53A1505A"/>
    <w:rsid w:val="53C9110C"/>
    <w:rsid w:val="53F35125"/>
    <w:rsid w:val="54063E08"/>
    <w:rsid w:val="5428214D"/>
    <w:rsid w:val="543437E8"/>
    <w:rsid w:val="54EA4F99"/>
    <w:rsid w:val="54F73313"/>
    <w:rsid w:val="54F80955"/>
    <w:rsid w:val="55295403"/>
    <w:rsid w:val="553A2F24"/>
    <w:rsid w:val="555170A7"/>
    <w:rsid w:val="5587536D"/>
    <w:rsid w:val="559B174B"/>
    <w:rsid w:val="55CE0CF4"/>
    <w:rsid w:val="56B22A9C"/>
    <w:rsid w:val="56E747FB"/>
    <w:rsid w:val="56FB367C"/>
    <w:rsid w:val="574E5C21"/>
    <w:rsid w:val="576D4FAA"/>
    <w:rsid w:val="579F5393"/>
    <w:rsid w:val="57B72A76"/>
    <w:rsid w:val="57C3426C"/>
    <w:rsid w:val="57CE1F93"/>
    <w:rsid w:val="585013DA"/>
    <w:rsid w:val="58627B2B"/>
    <w:rsid w:val="5881442B"/>
    <w:rsid w:val="588743D1"/>
    <w:rsid w:val="5887701A"/>
    <w:rsid w:val="58BA7875"/>
    <w:rsid w:val="58C52890"/>
    <w:rsid w:val="58C77603"/>
    <w:rsid w:val="598A70BE"/>
    <w:rsid w:val="59C0439F"/>
    <w:rsid w:val="59C96464"/>
    <w:rsid w:val="59F11964"/>
    <w:rsid w:val="5A41496A"/>
    <w:rsid w:val="5A7F7E07"/>
    <w:rsid w:val="5AAF779E"/>
    <w:rsid w:val="5AB0076C"/>
    <w:rsid w:val="5ABE2233"/>
    <w:rsid w:val="5ADF7F94"/>
    <w:rsid w:val="5AE02F22"/>
    <w:rsid w:val="5B331FD5"/>
    <w:rsid w:val="5B421AF5"/>
    <w:rsid w:val="5B4C1EBB"/>
    <w:rsid w:val="5B94106A"/>
    <w:rsid w:val="5B9E4891"/>
    <w:rsid w:val="5BB85C75"/>
    <w:rsid w:val="5BD352F0"/>
    <w:rsid w:val="5BDF5D95"/>
    <w:rsid w:val="5BE37977"/>
    <w:rsid w:val="5BFE7528"/>
    <w:rsid w:val="5C164175"/>
    <w:rsid w:val="5C806E88"/>
    <w:rsid w:val="5C9F2FC3"/>
    <w:rsid w:val="5D5B33A0"/>
    <w:rsid w:val="5DAE5F4E"/>
    <w:rsid w:val="5DC43BD5"/>
    <w:rsid w:val="5DFD1B95"/>
    <w:rsid w:val="5E054467"/>
    <w:rsid w:val="5E2467F1"/>
    <w:rsid w:val="5E2A3FA3"/>
    <w:rsid w:val="5E5A4C80"/>
    <w:rsid w:val="5E8855A8"/>
    <w:rsid w:val="5EEC2C5D"/>
    <w:rsid w:val="5EED22E7"/>
    <w:rsid w:val="5F1A2B43"/>
    <w:rsid w:val="5F586378"/>
    <w:rsid w:val="5F5C6B7A"/>
    <w:rsid w:val="5F6B1FD0"/>
    <w:rsid w:val="5FAE4872"/>
    <w:rsid w:val="5FB837BB"/>
    <w:rsid w:val="5FBD302F"/>
    <w:rsid w:val="5FE32218"/>
    <w:rsid w:val="6032709C"/>
    <w:rsid w:val="60421D1C"/>
    <w:rsid w:val="6059124B"/>
    <w:rsid w:val="60B53446"/>
    <w:rsid w:val="60BB0ABD"/>
    <w:rsid w:val="60C3385B"/>
    <w:rsid w:val="60CC405A"/>
    <w:rsid w:val="611D1FCC"/>
    <w:rsid w:val="61291D29"/>
    <w:rsid w:val="614400FC"/>
    <w:rsid w:val="61522693"/>
    <w:rsid w:val="61AA113C"/>
    <w:rsid w:val="61E215D8"/>
    <w:rsid w:val="61F1242D"/>
    <w:rsid w:val="621B3775"/>
    <w:rsid w:val="62364782"/>
    <w:rsid w:val="62456CE5"/>
    <w:rsid w:val="625F79DD"/>
    <w:rsid w:val="628F10F4"/>
    <w:rsid w:val="63283A59"/>
    <w:rsid w:val="632D1829"/>
    <w:rsid w:val="637A1985"/>
    <w:rsid w:val="6394356A"/>
    <w:rsid w:val="63AA328D"/>
    <w:rsid w:val="63C61B2C"/>
    <w:rsid w:val="63D40BE9"/>
    <w:rsid w:val="63E61CF1"/>
    <w:rsid w:val="64102431"/>
    <w:rsid w:val="641D01A1"/>
    <w:rsid w:val="64204D90"/>
    <w:rsid w:val="646362D2"/>
    <w:rsid w:val="647F5769"/>
    <w:rsid w:val="648F2152"/>
    <w:rsid w:val="64A5243A"/>
    <w:rsid w:val="64B147AF"/>
    <w:rsid w:val="64F531DE"/>
    <w:rsid w:val="6507404E"/>
    <w:rsid w:val="65313A7A"/>
    <w:rsid w:val="65373578"/>
    <w:rsid w:val="65920F68"/>
    <w:rsid w:val="659F7BAA"/>
    <w:rsid w:val="65A04493"/>
    <w:rsid w:val="65E11BCD"/>
    <w:rsid w:val="65F62DFC"/>
    <w:rsid w:val="664F7DBA"/>
    <w:rsid w:val="66681859"/>
    <w:rsid w:val="667D580A"/>
    <w:rsid w:val="66EC7E14"/>
    <w:rsid w:val="671F124A"/>
    <w:rsid w:val="67723343"/>
    <w:rsid w:val="67792539"/>
    <w:rsid w:val="677A33C6"/>
    <w:rsid w:val="67AF5F87"/>
    <w:rsid w:val="67FD2BAD"/>
    <w:rsid w:val="681F6961"/>
    <w:rsid w:val="682C260C"/>
    <w:rsid w:val="68306E63"/>
    <w:rsid w:val="68610A2F"/>
    <w:rsid w:val="68757F3C"/>
    <w:rsid w:val="68805514"/>
    <w:rsid w:val="69063B4C"/>
    <w:rsid w:val="691471D4"/>
    <w:rsid w:val="69316E2F"/>
    <w:rsid w:val="694E2071"/>
    <w:rsid w:val="69766163"/>
    <w:rsid w:val="697A3B33"/>
    <w:rsid w:val="698D6A04"/>
    <w:rsid w:val="69B22068"/>
    <w:rsid w:val="69D44760"/>
    <w:rsid w:val="6A0154E3"/>
    <w:rsid w:val="6A520EC7"/>
    <w:rsid w:val="6AF87E20"/>
    <w:rsid w:val="6B322639"/>
    <w:rsid w:val="6B882430"/>
    <w:rsid w:val="6BCF2245"/>
    <w:rsid w:val="6BE66F85"/>
    <w:rsid w:val="6C0E7A0E"/>
    <w:rsid w:val="6C3F5727"/>
    <w:rsid w:val="6C636C38"/>
    <w:rsid w:val="6CC25CE0"/>
    <w:rsid w:val="6CC924AF"/>
    <w:rsid w:val="6CDC3640"/>
    <w:rsid w:val="6D2E5FC9"/>
    <w:rsid w:val="6D4C3D11"/>
    <w:rsid w:val="6D57338D"/>
    <w:rsid w:val="6DB34098"/>
    <w:rsid w:val="6DB545B6"/>
    <w:rsid w:val="6DB6785C"/>
    <w:rsid w:val="6DC8529E"/>
    <w:rsid w:val="6DE02FB4"/>
    <w:rsid w:val="6DF2114B"/>
    <w:rsid w:val="6E002055"/>
    <w:rsid w:val="6E1F19CB"/>
    <w:rsid w:val="6E514CED"/>
    <w:rsid w:val="6E597D3A"/>
    <w:rsid w:val="6E60765C"/>
    <w:rsid w:val="6EB41E64"/>
    <w:rsid w:val="6EB563D5"/>
    <w:rsid w:val="6ED92677"/>
    <w:rsid w:val="6EF412F2"/>
    <w:rsid w:val="6F0E340E"/>
    <w:rsid w:val="6F225983"/>
    <w:rsid w:val="6F5D2A4B"/>
    <w:rsid w:val="6F992CB0"/>
    <w:rsid w:val="6F9B6F81"/>
    <w:rsid w:val="6FD375F5"/>
    <w:rsid w:val="6FE47E8A"/>
    <w:rsid w:val="6FF22E81"/>
    <w:rsid w:val="6FFC5590"/>
    <w:rsid w:val="701721F7"/>
    <w:rsid w:val="70375770"/>
    <w:rsid w:val="70422ED3"/>
    <w:rsid w:val="704B508B"/>
    <w:rsid w:val="706D1DD0"/>
    <w:rsid w:val="707C7B8C"/>
    <w:rsid w:val="70856B87"/>
    <w:rsid w:val="70CC17B1"/>
    <w:rsid w:val="70D527EE"/>
    <w:rsid w:val="70DC0EB8"/>
    <w:rsid w:val="712E6EF3"/>
    <w:rsid w:val="715B5300"/>
    <w:rsid w:val="71764003"/>
    <w:rsid w:val="717C4B0F"/>
    <w:rsid w:val="71A3409C"/>
    <w:rsid w:val="71AD326D"/>
    <w:rsid w:val="71CF3F9D"/>
    <w:rsid w:val="71D27F8A"/>
    <w:rsid w:val="72362245"/>
    <w:rsid w:val="72553024"/>
    <w:rsid w:val="72572334"/>
    <w:rsid w:val="729B7BAA"/>
    <w:rsid w:val="72C57F76"/>
    <w:rsid w:val="73122968"/>
    <w:rsid w:val="7317587D"/>
    <w:rsid w:val="731F5D5E"/>
    <w:rsid w:val="73557A18"/>
    <w:rsid w:val="73583C3E"/>
    <w:rsid w:val="73C51AD5"/>
    <w:rsid w:val="73F075C5"/>
    <w:rsid w:val="73FC619A"/>
    <w:rsid w:val="741E793C"/>
    <w:rsid w:val="745E3944"/>
    <w:rsid w:val="748120E1"/>
    <w:rsid w:val="748266FB"/>
    <w:rsid w:val="74A159D4"/>
    <w:rsid w:val="750D7D7F"/>
    <w:rsid w:val="750E70AC"/>
    <w:rsid w:val="751A5833"/>
    <w:rsid w:val="753F36F1"/>
    <w:rsid w:val="755F6208"/>
    <w:rsid w:val="75836A21"/>
    <w:rsid w:val="758C361D"/>
    <w:rsid w:val="758D51FB"/>
    <w:rsid w:val="75A262BB"/>
    <w:rsid w:val="75C0221A"/>
    <w:rsid w:val="75C51499"/>
    <w:rsid w:val="75DC6B41"/>
    <w:rsid w:val="75E10447"/>
    <w:rsid w:val="75F701D3"/>
    <w:rsid w:val="760C401E"/>
    <w:rsid w:val="761E4025"/>
    <w:rsid w:val="7635099D"/>
    <w:rsid w:val="767D7174"/>
    <w:rsid w:val="767F7401"/>
    <w:rsid w:val="76A61923"/>
    <w:rsid w:val="76CD02C8"/>
    <w:rsid w:val="7730116A"/>
    <w:rsid w:val="77377CE0"/>
    <w:rsid w:val="775A6479"/>
    <w:rsid w:val="775A7E43"/>
    <w:rsid w:val="77762421"/>
    <w:rsid w:val="777E00C3"/>
    <w:rsid w:val="778F713D"/>
    <w:rsid w:val="77B56B1F"/>
    <w:rsid w:val="77FE6FED"/>
    <w:rsid w:val="780442E2"/>
    <w:rsid w:val="780F09F4"/>
    <w:rsid w:val="785B5EA5"/>
    <w:rsid w:val="78A90480"/>
    <w:rsid w:val="78AA291C"/>
    <w:rsid w:val="78C740DC"/>
    <w:rsid w:val="78F06E6C"/>
    <w:rsid w:val="79205668"/>
    <w:rsid w:val="795F45B5"/>
    <w:rsid w:val="796320E9"/>
    <w:rsid w:val="797C1708"/>
    <w:rsid w:val="797C69C1"/>
    <w:rsid w:val="79974A93"/>
    <w:rsid w:val="79CB7ABA"/>
    <w:rsid w:val="79FB3163"/>
    <w:rsid w:val="79FE07D2"/>
    <w:rsid w:val="7A2B4B0D"/>
    <w:rsid w:val="7A364017"/>
    <w:rsid w:val="7A717A45"/>
    <w:rsid w:val="7A8265E1"/>
    <w:rsid w:val="7AB36AA2"/>
    <w:rsid w:val="7ACA1F6C"/>
    <w:rsid w:val="7AD678F8"/>
    <w:rsid w:val="7AD926AB"/>
    <w:rsid w:val="7AF54D37"/>
    <w:rsid w:val="7B686D42"/>
    <w:rsid w:val="7B841746"/>
    <w:rsid w:val="7BD644A9"/>
    <w:rsid w:val="7BEB7B41"/>
    <w:rsid w:val="7C086913"/>
    <w:rsid w:val="7C5335DF"/>
    <w:rsid w:val="7C5E095D"/>
    <w:rsid w:val="7C6C5AC7"/>
    <w:rsid w:val="7C8C2AE3"/>
    <w:rsid w:val="7C907A41"/>
    <w:rsid w:val="7CC6544B"/>
    <w:rsid w:val="7CE275B9"/>
    <w:rsid w:val="7CF61B4A"/>
    <w:rsid w:val="7D0239FF"/>
    <w:rsid w:val="7D2379EB"/>
    <w:rsid w:val="7D5E40CD"/>
    <w:rsid w:val="7D601643"/>
    <w:rsid w:val="7D676CA0"/>
    <w:rsid w:val="7DC431AB"/>
    <w:rsid w:val="7DCD56F2"/>
    <w:rsid w:val="7DD117E2"/>
    <w:rsid w:val="7DEA37BD"/>
    <w:rsid w:val="7E222935"/>
    <w:rsid w:val="7EAA42AC"/>
    <w:rsid w:val="7EB234A3"/>
    <w:rsid w:val="7EB72BD5"/>
    <w:rsid w:val="7EE123DF"/>
    <w:rsid w:val="7EF74A98"/>
    <w:rsid w:val="7F001CE7"/>
    <w:rsid w:val="7F332188"/>
    <w:rsid w:val="7F6578FB"/>
    <w:rsid w:val="7FE47E50"/>
    <w:rsid w:val="7FEC4EA6"/>
  </w:rsids>
  <w:docVars>
    <w:docVar w:name="commondata" w:val="eyJoZGlkIjoiZTg1MTZhMmVjZGY3OWI2MmRhN2Q0ODA2ZDY3YmUyZDkifQ=="/>
  </w:docVars>
  <w:uiCompat97To2003/>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0" w:uiPriority="0" w:unhideWhenUsed="0"/>
    <w:lsdException w:name="index 2" w:locked="1" w:semiHidden="0" w:uiPriority="0" w:unhideWhenUsed="0"/>
    <w:lsdException w:name="index 3" w:locked="1" w:semiHidden="0" w:uiPriority="0" w:unhideWhenUsed="0"/>
    <w:lsdException w:name="index 4" w:locked="1" w:semiHidden="0" w:uiPriority="0" w:unhideWhenUsed="0"/>
    <w:lsdException w:name="index 5" w:locked="1" w:semiHidden="0" w:uiPriority="0" w:unhideWhenUsed="0"/>
    <w:lsdException w:name="index 6" w:locked="1" w:semiHidden="0" w:uiPriority="0" w:unhideWhenUsed="0"/>
    <w:lsdException w:name="index 7" w:locked="1" w:semiHidden="0" w:uiPriority="0" w:unhideWhenUsed="0"/>
    <w:lsdException w:name="index 8" w:locked="1" w:semiHidden="0" w:uiPriority="0" w:unhideWhenUsed="0"/>
    <w:lsdException w:name="index 9" w:locked="1" w:semiHidden="0" w:uiPriority="0" w:unhideWhenUsed="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qFormat="1"/>
    <w:lsdException w:name="toc 7" w:locked="1" w:semiHidden="0" w:uiPriority="0" w:unhideWhenUsed="0"/>
    <w:lsdException w:name="toc 8" w:locked="1" w:semiHidden="0" w:uiPriority="0" w:unhideWhenUsed="0"/>
    <w:lsdException w:name="toc 9" w:locked="1" w:semiHidden="0" w:uiPriority="0" w:unhideWhenUsed="0"/>
    <w:lsdException w:name="Normal Indent" w:locked="1" w:semiHidden="0" w:unhideWhenUsed="0" w:qFormat="1"/>
    <w:lsdException w:name="footnote text" w:locked="1" w:semiHidden="0" w:uiPriority="0" w:unhideWhenUsed="0"/>
    <w:lsdException w:name="annotation text" w:uiPriority="0" w:unhideWhenUsed="0"/>
    <w:lsdException w:name="header" w:semiHidden="0" w:uiPriority="0" w:unhideWhenUsed="0"/>
    <w:lsdException w:name="footer" w:semiHidden="0" w:unhideWhenUsed="0"/>
    <w:lsdException w:name="index heading" w:locked="1" w:semiHidden="0" w:uiPriority="0" w:unhideWhenUsed="0"/>
    <w:lsdException w:name="caption" w:locked="1" w:uiPriority="0" w:qFormat="1"/>
    <w:lsdException w:name="table of figures" w:locked="1" w:uiPriority="0" w:unhideWhenUsed="0" w:qFormat="1"/>
    <w:lsdException w:name="envelope address" w:locked="1" w:semiHidden="0" w:uiPriority="0" w:unhideWhenUsed="0"/>
    <w:lsdException w:name="envelope return" w:locked="1" w:semiHidden="0" w:uiPriority="0" w:unhideWhenUsed="0"/>
    <w:lsdException w:name="footnote reference" w:locked="1" w:semiHidden="0" w:uiPriority="0" w:unhideWhenUsed="0"/>
    <w:lsdException w:name="annotation reference" w:uiPriority="0" w:unhideWhenUsed="0"/>
    <w:lsdException w:name="line number" w:locked="1" w:semiHidden="0" w:uiPriority="0" w:unhideWhenUsed="0"/>
    <w:lsdException w:name="page number" w:locked="1" w:semiHidden="0" w:uiPriority="0" w:unhideWhenUsed="0"/>
    <w:lsdException w:name="endnote reference" w:locked="1" w:semiHidden="0" w:uiPriority="0" w:unhideWhenUsed="0"/>
    <w:lsdException w:name="endnote text" w:locked="1" w:semiHidden="0" w:uiPriority="0" w:unhideWhenUsed="0"/>
    <w:lsdException w:name="table of authorities" w:locked="1" w:semiHidden="0" w:uiPriority="0" w:unhideWhenUsed="0"/>
    <w:lsdException w:name="macro" w:locked="1" w:semiHidden="0" w:uiPriority="0" w:unhideWhenUsed="0"/>
    <w:lsdException w:name="toa heading" w:locked="1" w:semiHidden="0" w:uiPriority="0" w:unhideWhenUsed="0"/>
    <w:lsdException w:name="List" w:locked="1" w:semiHidden="0" w:uiPriority="0" w:unhideWhenUsed="0" w:qFormat="1"/>
    <w:lsdException w:name="List Bullet" w:locked="1" w:semiHidden="0" w:uiPriority="0" w:unhideWhenUsed="0"/>
    <w:lsdException w:name="List Number" w:locked="1" w:semiHidden="0" w:uiPriority="0" w:unhideWhenUsed="0"/>
    <w:lsdException w:name="List 2" w:locked="1" w:semiHidden="0" w:uiPriority="0" w:unhideWhenUsed="0"/>
    <w:lsdException w:name="List 3" w:locked="1" w:semiHidden="0" w:uiPriority="0" w:unhideWhenUsed="0"/>
    <w:lsdException w:name="List 4" w:locked="1" w:semiHidden="0" w:uiPriority="0" w:unhideWhenUsed="0"/>
    <w:lsdException w:name="List 5" w:locked="1" w:semiHidden="0" w:uiPriority="0" w:unhideWhenUsed="0"/>
    <w:lsdException w:name="List Bullet 2" w:locked="1" w:semiHidden="0" w:uiPriority="0" w:unhideWhenUsed="0"/>
    <w:lsdException w:name="List Bullet 3" w:locked="1" w:semiHidden="0" w:uiPriority="0" w:unhideWhenUsed="0"/>
    <w:lsdException w:name="List Bullet 4" w:locked="1" w:semiHidden="0" w:uiPriority="0" w:unhideWhenUsed="0"/>
    <w:lsdException w:name="List Bullet 5" w:locked="1" w:semiHidden="0" w:uiPriority="0" w:unhideWhenUsed="0"/>
    <w:lsdException w:name="List Number 2" w:locked="1" w:semiHidden="0" w:uiPriority="0" w:unhideWhenUsed="0"/>
    <w:lsdException w:name="List Number 3" w:locked="1" w:semiHidden="0" w:uiPriority="0" w:unhideWhenUsed="0"/>
    <w:lsdException w:name="List Number 4" w:locked="1" w:semiHidden="0" w:uiPriority="0" w:unhideWhenUsed="0"/>
    <w:lsdException w:name="List Number 5" w:locked="1" w:semiHidden="0" w:uiPriority="0" w:unhideWhenUsed="0"/>
    <w:lsdException w:name="Title" w:locked="1" w:semiHidden="0" w:uiPriority="0" w:unhideWhenUsed="0" w:qFormat="1"/>
    <w:lsdException w:name="Closing" w:locked="1" w:semiHidden="0" w:uiPriority="0" w:unhideWhenUsed="0"/>
    <w:lsdException w:name="Signature" w:locked="1"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locked="1" w:semiHidden="0" w:uiPriority="0" w:unhideWhenUsed="0"/>
    <w:lsdException w:name="List Continue 2" w:locked="1" w:semiHidden="0" w:uiPriority="0" w:unhideWhenUsed="0"/>
    <w:lsdException w:name="List Continue 3" w:locked="1" w:semiHidden="0" w:uiPriority="0" w:unhideWhenUsed="0"/>
    <w:lsdException w:name="List Continue 4" w:locked="1" w:semiHidden="0" w:uiPriority="0" w:unhideWhenUsed="0"/>
    <w:lsdException w:name="List Continue 5" w:locked="1" w:semiHidden="0" w:uiPriority="0" w:unhideWhenUsed="0"/>
    <w:lsdException w:name="Message Header" w:locked="1" w:semiHidden="0" w:uiPriority="0" w:unhideWhenUsed="0"/>
    <w:lsdException w:name="Subtitle" w:locked="1" w:semiHidden="0" w:uiPriority="0" w:unhideWhenUsed="0" w:qFormat="1"/>
    <w:lsdException w:name="Salutation" w:locked="1" w:semiHidden="0" w:uiPriority="0" w:unhideWhenUsed="0"/>
    <w:lsdException w:name="Date" w:semiHidden="0" w:uiPriority="0" w:unhideWhenUsed="0"/>
    <w:lsdException w:name="Body Text First Indent" w:locked="1" w:semiHidden="0" w:uiPriority="0" w:unhideWhenUsed="0"/>
    <w:lsdException w:name="Body Text First Indent 2" w:locked="1" w:semiHidden="0" w:unhideWhenUsed="0" w:qFormat="1"/>
    <w:lsdException w:name="Note Heading" w:locked="1" w:semiHidden="0" w:uiPriority="0" w:unhideWhenUsed="0"/>
    <w:lsdException w:name="Body Text 2" w:locked="1" w:semiHidden="0" w:uiPriority="0" w:unhideWhenUsed="0"/>
    <w:lsdException w:name="Body Text 3" w:locked="1" w:semiHidden="0" w:uiPriority="0" w:unhideWhenUsed="0"/>
    <w:lsdException w:name="Body Text Indent 2" w:locked="1" w:semiHidden="0" w:uiPriority="0" w:unhideWhenUsed="0"/>
    <w:lsdException w:name="Body Text Indent 3" w:locked="1" w:semiHidden="0" w:uiPriority="0" w:unhideWhenUsed="0" w:qFormat="1"/>
    <w:lsdException w:name="Block Text" w:locked="1" w:semiHidden="0" w:uiPriority="0" w:unhideWhenUsed="0" w:qFormat="1"/>
    <w:lsdException w:name="Hyperlink" w:locked="1" w:semiHidden="0" w:uiPriority="0" w:unhideWhenUsed="0"/>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Document Map" w:locked="1" w:semiHidden="0" w:uiPriority="0" w:unhideWhenUsed="0"/>
    <w:lsdException w:name="Plain Text" w:locked="1" w:semiHidden="0" w:uiPriority="0" w:unhideWhenUsed="0" w:qFormat="1"/>
    <w:lsdException w:name="E-mail Signature" w:locked="1" w:semiHidden="0" w:uiPriority="0" w:unhideWhenUsed="0"/>
    <w:lsdException w:name="Normal (Web)" w:semiHidden="0" w:uiPriority="0" w:unhideWhenUsed="0"/>
    <w:lsdException w:name="HTML Acronym" w:locked="1" w:semiHidden="0" w:uiPriority="0" w:unhideWhenUsed="0"/>
    <w:lsdException w:name="HTML Address" w:locked="1" w:semiHidden="0" w:uiPriority="0" w:unhideWhenUsed="0"/>
    <w:lsdException w:name="HTML Cite" w:locked="1" w:semiHidden="0" w:uiPriority="0" w:unhideWhenUsed="0"/>
    <w:lsdException w:name="HTML Code" w:locked="1" w:semiHidden="0" w:uiPriority="0" w:unhideWhenUsed="0"/>
    <w:lsdException w:name="HTML Definition" w:locked="1" w:semiHidden="0" w:uiPriority="0" w:unhideWhenUsed="0"/>
    <w:lsdException w:name="HTML Keyboard" w:locked="1" w:semiHidden="0" w:uiPriority="0" w:unhideWhenUsed="0"/>
    <w:lsdException w:name="HTML Preformatted" w:locked="1" w:semiHidden="0" w:uiPriority="0" w:unhideWhenUsed="0"/>
    <w:lsdException w:name="HTML Sample" w:locked="1" w:semiHidden="0" w:uiPriority="0" w:unhideWhenUsed="0"/>
    <w:lsdException w:name="HTML Typewriter" w:locked="1" w:semiHidden="0" w:uiPriority="0" w:unhideWhenUsed="0"/>
    <w:lsdException w:name="HTML Variable" w:locked="1" w:semiHidden="0" w:uiPriority="0" w:unhideWhenUsed="0"/>
    <w:lsdException w:name="Normal Table" w:uiPriority="0" w:unhideWhenUsed="0"/>
    <w:lsdException w:name="annotation subject" w:uiPriority="0" w:unhideWhenUsed="0"/>
    <w:lsdException w:name="Table Simple 1" w:locked="1" w:semiHidden="0" w:uiPriority="0" w:unhideWhenUsed="0"/>
    <w:lsdException w:name="Table Simple 2" w:locked="1" w:semiHidden="0" w:uiPriority="0" w:unhideWhenUsed="0"/>
    <w:lsdException w:name="Table Simple 3" w:locked="1" w:semiHidden="0" w:uiPriority="0" w:unhideWhenUsed="0"/>
    <w:lsdException w:name="Table Classic 1" w:locked="1" w:semiHidden="0" w:uiPriority="0" w:unhideWhenUsed="0"/>
    <w:lsdException w:name="Table Classic 2" w:locked="1" w:semiHidden="0" w:uiPriority="0" w:unhideWhenUsed="0"/>
    <w:lsdException w:name="Table Classic 3" w:locked="1" w:semiHidden="0" w:uiPriority="0" w:unhideWhenUsed="0"/>
    <w:lsdException w:name="Table Classic 4" w:locked="1" w:semiHidden="0" w:uiPriority="0" w:unhideWhenUsed="0"/>
    <w:lsdException w:name="Table Colorful 1" w:locked="1" w:semiHidden="0" w:uiPriority="0" w:unhideWhenUsed="0"/>
    <w:lsdException w:name="Table Colorful 2" w:locked="1" w:semiHidden="0" w:uiPriority="0" w:unhideWhenUsed="0"/>
    <w:lsdException w:name="Table Colorful 3" w:locked="1" w:semiHidden="0" w:uiPriority="0" w:unhideWhenUsed="0"/>
    <w:lsdException w:name="Table Columns 1" w:locked="1" w:semiHidden="0" w:uiPriority="0" w:unhideWhenUsed="0"/>
    <w:lsdException w:name="Table Columns 2" w:locked="1" w:semiHidden="0" w:uiPriority="0" w:unhideWhenUsed="0"/>
    <w:lsdException w:name="Table Columns 3" w:locked="1" w:semiHidden="0" w:uiPriority="0" w:unhideWhenUsed="0"/>
    <w:lsdException w:name="Table Columns 4" w:locked="1" w:semiHidden="0" w:uiPriority="0" w:unhideWhenUsed="0"/>
    <w:lsdException w:name="Table Columns 5" w:locked="1" w:semiHidden="0" w:uiPriority="0" w:unhideWhenUsed="0"/>
    <w:lsdException w:name="Table Grid 1" w:locked="1" w:semiHidden="0" w:uiPriority="0" w:unhideWhenUsed="0"/>
    <w:lsdException w:name="Table Grid 2" w:locked="1" w:semiHidden="0" w:uiPriority="0" w:unhideWhenUsed="0"/>
    <w:lsdException w:name="Table Grid 3" w:locked="1" w:semiHidden="0" w:uiPriority="0" w:unhideWhenUsed="0"/>
    <w:lsdException w:name="Table Grid 4" w:locked="1" w:semiHidden="0" w:uiPriority="0" w:unhideWhenUsed="0"/>
    <w:lsdException w:name="Table Grid 5" w:locked="1" w:semiHidden="0" w:uiPriority="0" w:unhideWhenUsed="0"/>
    <w:lsdException w:name="Table Grid 6" w:locked="1" w:semiHidden="0" w:uiPriority="0" w:unhideWhenUsed="0"/>
    <w:lsdException w:name="Table Grid 7" w:locked="1" w:semiHidden="0" w:uiPriority="0" w:unhideWhenUsed="0"/>
    <w:lsdException w:name="Table Grid 8" w:locked="1" w:semiHidden="0" w:uiPriority="0" w:unhideWhenUsed="0"/>
    <w:lsdException w:name="Table List 1" w:locked="1" w:semiHidden="0" w:uiPriority="0" w:unhideWhenUsed="0"/>
    <w:lsdException w:name="Table List 2" w:locked="1" w:semiHidden="0" w:uiPriority="0" w:unhideWhenUsed="0"/>
    <w:lsdException w:name="Table List 3" w:locked="1" w:semiHidden="0" w:uiPriority="0" w:unhideWhenUsed="0"/>
    <w:lsdException w:name="Table List 4" w:locked="1" w:semiHidden="0" w:uiPriority="0" w:unhideWhenUsed="0"/>
    <w:lsdException w:name="Table List 5" w:locked="1" w:semiHidden="0" w:uiPriority="0" w:unhideWhenUsed="0"/>
    <w:lsdException w:name="Table List 6" w:locked="1" w:semiHidden="0" w:uiPriority="0" w:unhideWhenUsed="0"/>
    <w:lsdException w:name="Table List 7" w:locked="1" w:semiHidden="0" w:uiPriority="0" w:unhideWhenUsed="0"/>
    <w:lsdException w:name="Table List 8" w:locked="1" w:semiHidden="0" w:uiPriority="0" w:unhideWhenUsed="0"/>
    <w:lsdException w:name="Table 3D effects 1" w:locked="1" w:semiHidden="0" w:uiPriority="0" w:unhideWhenUsed="0"/>
    <w:lsdException w:name="Table 3D effects 2" w:locked="1" w:semiHidden="0" w:uiPriority="0" w:unhideWhenUsed="0"/>
    <w:lsdException w:name="Table 3D effects 3" w:locked="1" w:semiHidden="0" w:uiPriority="0" w:unhideWhenUsed="0"/>
    <w:lsdException w:name="Table Contemporary" w:locked="1" w:semiHidden="0" w:uiPriority="0" w:unhideWhenUsed="0"/>
    <w:lsdException w:name="Table Elegant" w:locked="1" w:semiHidden="0" w:uiPriority="0" w:unhideWhenUsed="0"/>
    <w:lsdException w:name="Table Professional" w:locked="1" w:semiHidden="0" w:uiPriority="0" w:unhideWhenUsed="0"/>
    <w:lsdException w:name="Table Subtle 1" w:locked="1" w:semiHidden="0" w:uiPriority="0" w:unhideWhenUsed="0"/>
    <w:lsdException w:name="Table Subtle 2" w:locked="1" w:semiHidden="0" w:uiPriority="0" w:unhideWhenUsed="0"/>
    <w:lsdException w:name="Table Web 1" w:locked="1" w:semiHidden="0" w:uiPriority="0" w:unhideWhenUsed="0"/>
    <w:lsdException w:name="Table Web 2" w:locked="1" w:semiHidden="0" w:uiPriority="0" w:unhideWhenUsed="0"/>
    <w:lsdException w:name="Table Web 3" w:locked="1" w:semiHidden="0" w:uiPriority="0" w:unhideWhenUsed="0"/>
    <w:lsdException w:name="Balloon Text" w:uiPriority="0" w:unhideWhenUsed="0"/>
    <w:lsdException w:name="Table Grid" w:semiHidden="0" w:uiPriority="0" w:unhideWhenUsed="0"/>
    <w:lsdException w:name="Table Theme" w:locked="1" w:semiHidden="0"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Default"/>
    <w:qFormat/>
    <w:pPr>
      <w:widowControl w:val="0"/>
      <w:jc w:val="both"/>
    </w:pPr>
    <w:rPr>
      <w:kern w:val="2"/>
      <w:sz w:val="21"/>
      <w:szCs w:val="24"/>
      <w:lang w:val="en-US" w:eastAsia="zh-CN" w:bidi="ar-SA"/>
    </w:rPr>
  </w:style>
  <w:style w:type="paragraph" w:styleId="Heading1">
    <w:name w:val="heading 1"/>
    <w:basedOn w:val="Normal"/>
    <w:next w:val="Normal"/>
    <w:uiPriority w:val="99"/>
    <w:qFormat/>
    <w:locked/>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Heading2">
    <w:name w:val="heading 2"/>
    <w:basedOn w:val="Normal"/>
    <w:next w:val="Normal"/>
    <w:qFormat/>
    <w:locked/>
    <w:pPr>
      <w:keepNext/>
      <w:spacing w:line="360" w:lineRule="auto"/>
      <w:outlineLvl w:val="1"/>
    </w:pPr>
    <w:rPr>
      <w:sz w:val="28"/>
    </w:rPr>
  </w:style>
  <w:style w:type="paragraph" w:styleId="Heading3">
    <w:name w:val="heading 3"/>
    <w:basedOn w:val="Normal"/>
    <w:next w:val="Normal"/>
    <w:qFormat/>
    <w:locked/>
    <w:pPr>
      <w:spacing w:before="100" w:beforeAutospacing="1" w:after="100" w:afterAutospacing="1"/>
      <w:jc w:val="left"/>
      <w:outlineLvl w:val="2"/>
    </w:pPr>
    <w:rPr>
      <w:rFonts w:ascii="宋体" w:eastAsia="宋体" w:hAnsi="宋体" w:cs="宋体" w:hint="eastAsia"/>
      <w:b/>
      <w:bCs/>
      <w:kern w:val="0"/>
      <w:sz w:val="27"/>
      <w:szCs w:val="27"/>
      <w:lang w:val="en-US" w:eastAsia="zh-CN" w:bidi="ar"/>
    </w:rPr>
  </w:style>
  <w:style w:type="paragraph" w:styleId="Heading4">
    <w:name w:val="heading 4"/>
    <w:basedOn w:val="Normal"/>
    <w:next w:val="Normal"/>
    <w:qFormat/>
    <w:locked/>
    <w:pPr>
      <w:keepNext/>
      <w:keepLines/>
      <w:spacing w:before="280" w:beforeLines="0" w:beforeAutospacing="0" w:after="290" w:afterLines="0" w:afterAutospacing="0" w:line="372" w:lineRule="auto"/>
      <w:outlineLvl w:val="3"/>
    </w:pPr>
    <w:rPr>
      <w:rFonts w:ascii="Arial" w:eastAsia="黑体" w:hAnsi="Arial"/>
      <w:b/>
      <w:sz w:val="28"/>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styleId="PageNumber">
    <w:name w:val="page number"/>
    <w:locked/>
  </w:style>
  <w:style w:type="character" w:customStyle="1" w:styleId="a">
    <w:name w:val="批注框文本 字符"/>
    <w:link w:val="BalloonText"/>
    <w:semiHidden/>
    <w:locked/>
    <w:rPr>
      <w:rFonts w:ascii="Times New Roman" w:eastAsia="宋体" w:hAnsi="Times New Roman"/>
      <w:sz w:val="18"/>
    </w:rPr>
  </w:style>
  <w:style w:type="character" w:customStyle="1" w:styleId="1">
    <w:name w:val="日期 字符1"/>
    <w:link w:val="Date"/>
    <w:locked/>
    <w:rPr>
      <w:rFonts w:ascii="Times New Roman" w:eastAsia="宋体" w:hAnsi="Times New Roman"/>
      <w:sz w:val="24"/>
    </w:rPr>
  </w:style>
  <w:style w:type="character" w:customStyle="1" w:styleId="a0">
    <w:name w:val="批注文字 字符"/>
    <w:link w:val="CommentText"/>
    <w:locked/>
    <w:rPr>
      <w:rFonts w:ascii="Times New Roman" w:eastAsia="宋体" w:hAnsi="Times New Roman"/>
      <w:sz w:val="24"/>
    </w:rPr>
  </w:style>
  <w:style w:type="character" w:styleId="Strong">
    <w:name w:val="Strong"/>
    <w:qFormat/>
    <w:locked/>
    <w:rPr>
      <w:b/>
    </w:rPr>
  </w:style>
  <w:style w:type="character" w:customStyle="1" w:styleId="a1">
    <w:name w:val="普通(网站) 字符"/>
    <w:link w:val="NormalWeb"/>
    <w:locked/>
    <w:rPr>
      <w:rFonts w:ascii="宋体" w:eastAsia="宋体" w:hAnsi="宋体"/>
      <w:sz w:val="24"/>
    </w:rPr>
  </w:style>
  <w:style w:type="character" w:customStyle="1" w:styleId="a2">
    <w:name w:val="批注主题 字符"/>
    <w:link w:val="CommentSubject"/>
    <w:semiHidden/>
    <w:locked/>
    <w:rPr>
      <w:rFonts w:ascii="Times New Roman" w:eastAsia="宋体" w:hAnsi="Times New Roman"/>
      <w:b/>
      <w:kern w:val="2"/>
      <w:sz w:val="24"/>
    </w:rPr>
  </w:style>
  <w:style w:type="character" w:customStyle="1" w:styleId="a3">
    <w:name w:val="正文文本缩进 字符"/>
    <w:link w:val="BodyTextIndent"/>
    <w:semiHidden/>
    <w:locked/>
    <w:rPr>
      <w:rFonts w:ascii="Times New Roman" w:eastAsia="宋体" w:hAnsi="Times New Roman"/>
      <w:sz w:val="24"/>
    </w:rPr>
  </w:style>
  <w:style w:type="character" w:customStyle="1" w:styleId="font11">
    <w:name w:val="font11"/>
    <w:qFormat/>
    <w:rPr>
      <w:rFonts w:ascii="宋体" w:eastAsia="宋体" w:hAnsi="宋体" w:cs="宋体" w:hint="eastAsia"/>
      <w:color w:val="000000"/>
      <w:sz w:val="22"/>
      <w:szCs w:val="22"/>
      <w:u w:val="none"/>
    </w:rPr>
  </w:style>
  <w:style w:type="character" w:customStyle="1" w:styleId="unnamed11">
    <w:name w:val="unnamed11"/>
    <w:rPr>
      <w:sz w:val="21"/>
    </w:rPr>
  </w:style>
  <w:style w:type="character" w:styleId="CommentReference">
    <w:name w:val="annotation reference"/>
    <w:semiHidden/>
    <w:rPr>
      <w:sz w:val="21"/>
    </w:rPr>
  </w:style>
  <w:style w:type="character" w:customStyle="1" w:styleId="font21">
    <w:name w:val="font21"/>
    <w:qFormat/>
    <w:rPr>
      <w:rFonts w:ascii="宋体" w:eastAsia="宋体" w:hAnsi="宋体" w:cs="宋体" w:hint="eastAsia"/>
      <w:color w:val="000000"/>
      <w:sz w:val="22"/>
      <w:szCs w:val="22"/>
      <w:u w:val="none"/>
    </w:rPr>
  </w:style>
  <w:style w:type="character" w:customStyle="1" w:styleId="10">
    <w:name w:val="批注文字 字符1"/>
    <w:semiHidden/>
    <w:rPr>
      <w:rFonts w:ascii="Times New Roman" w:eastAsia="宋体" w:hAnsi="Times New Roman"/>
      <w:sz w:val="24"/>
    </w:rPr>
  </w:style>
  <w:style w:type="character" w:styleId="Hyperlink">
    <w:name w:val="Hyperlink"/>
    <w:locked/>
    <w:rPr>
      <w:color w:val="0000FF"/>
      <w:u w:val="single"/>
    </w:rPr>
  </w:style>
  <w:style w:type="character" w:customStyle="1" w:styleId="a4">
    <w:name w:val="正文文本 字符"/>
    <w:link w:val="BodyText"/>
    <w:locked/>
    <w:rPr>
      <w:sz w:val="18"/>
    </w:rPr>
  </w:style>
  <w:style w:type="character" w:customStyle="1" w:styleId="11">
    <w:name w:val="页脚 字符1"/>
    <w:link w:val="Footer"/>
    <w:uiPriority w:val="99"/>
    <w:locked/>
    <w:rPr>
      <w:sz w:val="18"/>
    </w:rPr>
  </w:style>
  <w:style w:type="character" w:customStyle="1" w:styleId="CharChar">
    <w:name w:val="正文文本 Char Char"/>
    <w:rPr>
      <w:rFonts w:ascii="宋体" w:eastAsia="宋体"/>
      <w:sz w:val="28"/>
      <w:lang w:val="en-US" w:eastAsia="zh-CN" w:bidi="ar-SA"/>
    </w:rPr>
  </w:style>
  <w:style w:type="character" w:customStyle="1" w:styleId="Char">
    <w:name w:val="表格 Char"/>
    <w:link w:val="a17"/>
    <w:locked/>
    <w:rPr>
      <w:rFonts w:ascii="宋体"/>
      <w:sz w:val="21"/>
    </w:rPr>
  </w:style>
  <w:style w:type="character" w:customStyle="1" w:styleId="a5">
    <w:name w:val="页眉 字符"/>
    <w:link w:val="Header"/>
    <w:locked/>
    <w:rPr>
      <w:sz w:val="18"/>
    </w:rPr>
  </w:style>
  <w:style w:type="character" w:customStyle="1" w:styleId="a6">
    <w:name w:val="日期 字符"/>
    <w:semiHidden/>
    <w:rPr>
      <w:rFonts w:ascii="Times New Roman" w:eastAsia="宋体" w:hAnsi="Times New Roman"/>
      <w:sz w:val="24"/>
    </w:rPr>
  </w:style>
  <w:style w:type="character" w:customStyle="1" w:styleId="12">
    <w:name w:val="正文文本 字符1"/>
    <w:semiHidden/>
    <w:rPr>
      <w:rFonts w:ascii="Times New Roman" w:eastAsia="宋体" w:hAnsi="Times New Roman"/>
      <w:sz w:val="24"/>
    </w:rPr>
  </w:style>
  <w:style w:type="character" w:customStyle="1" w:styleId="a7">
    <w:name w:val="页脚 字符"/>
    <w:uiPriority w:val="99"/>
  </w:style>
  <w:style w:type="character" w:customStyle="1" w:styleId="font01">
    <w:name w:val="font01"/>
    <w:qFormat/>
    <w:rPr>
      <w:rFonts w:ascii="宋体" w:eastAsia="宋体" w:hAnsi="宋体" w:cs="宋体" w:hint="eastAsia"/>
      <w:color w:val="000000"/>
      <w:sz w:val="22"/>
      <w:szCs w:val="22"/>
      <w:u w:val="none"/>
      <w:vertAlign w:val="subscript"/>
    </w:rPr>
  </w:style>
  <w:style w:type="paragraph" w:customStyle="1" w:styleId="2">
    <w:name w:val="样式 正文文本 + 首行缩进:  2 字符"/>
    <w:basedOn w:val="BodyText"/>
    <w:qFormat/>
    <w:pPr>
      <w:spacing w:after="0" w:line="480" w:lineRule="exact"/>
      <w:ind w:firstLine="480" w:firstLineChars="200"/>
    </w:pPr>
    <w:rPr>
      <w:sz w:val="24"/>
    </w:rPr>
  </w:style>
  <w:style w:type="paragraph" w:customStyle="1" w:styleId="a8">
    <w:name w:val="表格标题"/>
    <w:basedOn w:val="Normal"/>
    <w:next w:val="Normal"/>
    <w:qFormat/>
    <w:pPr>
      <w:adjustRightInd w:val="0"/>
      <w:spacing w:line="360" w:lineRule="auto"/>
      <w:ind w:firstLine="0" w:firstLineChars="0"/>
      <w:jc w:val="center"/>
    </w:pPr>
    <w:rPr>
      <w:rFonts w:ascii="Times New Roman" w:eastAsia="宋体" w:hAnsi="Times New Roman"/>
      <w:b/>
      <w:kern w:val="0"/>
      <w:sz w:val="21"/>
      <w:szCs w:val="28"/>
    </w:rPr>
  </w:style>
  <w:style w:type="paragraph" w:customStyle="1" w:styleId="a9">
    <w:name w:val="图表题"/>
    <w:basedOn w:val="a11"/>
    <w:next w:val="a11"/>
    <w:pPr>
      <w:spacing w:line="360" w:lineRule="auto"/>
    </w:pPr>
    <w:rPr>
      <w:rFonts w:eastAsia="黑体"/>
      <w:sz w:val="24"/>
      <w:lang w:val="en-US" w:eastAsia="zh-CN" w:bidi="ar-SA"/>
    </w:rPr>
  </w:style>
  <w:style w:type="paragraph" w:customStyle="1" w:styleId="100">
    <w:name w:val="正文_10"/>
    <w:pPr>
      <w:widowControl w:val="0"/>
      <w:jc w:val="both"/>
    </w:pPr>
    <w:rPr>
      <w:kern w:val="2"/>
      <w:sz w:val="21"/>
      <w:szCs w:val="22"/>
      <w:lang w:val="en-US" w:eastAsia="zh-CN" w:bidi="ar-SA"/>
    </w:rPr>
  </w:style>
  <w:style w:type="paragraph" w:styleId="ListParagraph">
    <w:name w:val="List Paragraph"/>
    <w:basedOn w:val="Normal"/>
    <w:uiPriority w:val="34"/>
    <w:qFormat/>
    <w:pPr>
      <w:ind w:firstLine="420" w:firstLineChars="200"/>
    </w:pPr>
  </w:style>
  <w:style w:type="paragraph" w:styleId="NormalIndent">
    <w:name w:val="Normal Indent"/>
    <w:basedOn w:val="Normal"/>
    <w:next w:val="Normal"/>
    <w:uiPriority w:val="99"/>
    <w:qFormat/>
    <w:locked/>
    <w:pPr>
      <w:ind w:firstLine="420"/>
    </w:pPr>
    <w:rPr>
      <w:sz w:val="24"/>
      <w:szCs w:val="20"/>
    </w:rPr>
  </w:style>
  <w:style w:type="paragraph" w:customStyle="1" w:styleId="13">
    <w:name w:val="批注文字1"/>
    <w:qFormat/>
    <w:pPr>
      <w:widowControl w:val="0"/>
    </w:pPr>
    <w:rPr>
      <w:color w:val="000000"/>
      <w:kern w:val="2"/>
      <w:sz w:val="21"/>
      <w:szCs w:val="24"/>
      <w:lang w:val="en-US" w:eastAsia="zh-CN" w:bidi="ar-SA"/>
    </w:rPr>
  </w:style>
  <w:style w:type="paragraph" w:styleId="PlainText">
    <w:name w:val="Plain Text"/>
    <w:basedOn w:val="Normal"/>
    <w:qFormat/>
    <w:locked/>
    <w:pPr>
      <w:snapToGrid w:val="0"/>
      <w:spacing w:line="520" w:lineRule="atLeast"/>
      <w:ind w:firstLine="420"/>
    </w:pPr>
    <w:rPr>
      <w:rFonts w:ascii="宋体" w:hAnsi="Courier New"/>
      <w:sz w:val="28"/>
    </w:rPr>
  </w:style>
  <w:style w:type="paragraph" w:customStyle="1" w:styleId="22222">
    <w:name w:val="22222"/>
    <w:basedOn w:val="Normal"/>
    <w:pPr>
      <w:spacing w:line="480" w:lineRule="exact"/>
      <w:ind w:firstLine="480" w:firstLineChars="200"/>
    </w:pPr>
    <w:rPr>
      <w:rFonts w:hAnsi="宋体"/>
      <w:sz w:val="24"/>
    </w:rPr>
  </w:style>
  <w:style w:type="paragraph" w:customStyle="1" w:styleId="TableParagraph">
    <w:name w:val="Table Paragraph"/>
    <w:basedOn w:val="Normal"/>
    <w:uiPriority w:val="1"/>
    <w:qFormat/>
    <w:rPr>
      <w:rFonts w:ascii="宋体" w:eastAsia="宋体" w:hAnsi="宋体" w:cs="宋体"/>
      <w:lang w:val="zh-CN" w:eastAsia="zh-CN" w:bidi="zh-CN"/>
    </w:rPr>
  </w:style>
  <w:style w:type="paragraph" w:customStyle="1" w:styleId="-ls">
    <w:name w:val="正文-ls"/>
    <w:basedOn w:val="Normal"/>
    <w:uiPriority w:val="99"/>
    <w:qFormat/>
    <w:pPr>
      <w:spacing w:line="360" w:lineRule="auto"/>
      <w:ind w:firstLine="200" w:firstLineChars="200"/>
    </w:pPr>
    <w:rPr>
      <w:rFonts w:hAnsi="宋体" w:cs="宋体"/>
      <w:sz w:val="24"/>
      <w:szCs w:val="20"/>
    </w:rPr>
  </w:style>
  <w:style w:type="paragraph" w:customStyle="1" w:styleId="a10">
    <w:name w:val="表格文字"/>
    <w:basedOn w:val="Normal"/>
    <w:next w:val="Normal"/>
    <w:qFormat/>
    <w:pPr>
      <w:autoSpaceDE w:val="0"/>
      <w:autoSpaceDN w:val="0"/>
      <w:adjustRightInd w:val="0"/>
      <w:snapToGrid w:val="0"/>
      <w:spacing w:beforeLines="20" w:afterLines="20"/>
      <w:jc w:val="center"/>
    </w:pPr>
    <w:rPr>
      <w:rFonts w:ascii="宋体" w:hAnsi="宋体" w:cs="宋体"/>
    </w:rPr>
  </w:style>
  <w:style w:type="paragraph" w:styleId="BodyTextIndent">
    <w:name w:val="Body Text Indent"/>
    <w:basedOn w:val="Normal"/>
    <w:next w:val="Normal"/>
    <w:link w:val="a3"/>
    <w:pPr>
      <w:spacing w:after="120"/>
      <w:ind w:left="420" w:leftChars="200"/>
    </w:pPr>
    <w:rPr>
      <w:kern w:val="0"/>
      <w:sz w:val="24"/>
      <w:szCs w:val="20"/>
    </w:rPr>
  </w:style>
  <w:style w:type="paragraph" w:styleId="TableofFigures">
    <w:name w:val="table of figures"/>
    <w:basedOn w:val="Normal"/>
    <w:next w:val="Normal"/>
    <w:semiHidden/>
    <w:qFormat/>
    <w:locked/>
    <w:pPr>
      <w:spacing w:before="50" w:beforeLines="50" w:after="50" w:afterLines="50"/>
      <w:jc w:val="center"/>
    </w:pPr>
    <w:rPr>
      <w:b/>
      <w:sz w:val="28"/>
    </w:rPr>
  </w:style>
  <w:style w:type="paragraph" w:customStyle="1" w:styleId="20">
    <w:name w:val="普通(网站)2"/>
    <w:basedOn w:val="Normal"/>
    <w:pPr>
      <w:widowControl/>
      <w:spacing w:before="100" w:beforeAutospacing="1" w:after="100" w:afterAutospacing="1"/>
      <w:jc w:val="left"/>
    </w:pPr>
    <w:rPr>
      <w:rFonts w:ascii="宋体" w:hAnsi="宋体"/>
      <w:sz w:val="24"/>
      <w:szCs w:val="20"/>
    </w:rPr>
  </w:style>
  <w:style w:type="paragraph" w:styleId="Header">
    <w:name w:val="header"/>
    <w:basedOn w:val="Normal"/>
    <w:link w:val="a5"/>
    <w:pPr>
      <w:pBdr>
        <w:bottom w:val="single" w:sz="6" w:space="1" w:color="auto"/>
      </w:pBdr>
      <w:tabs>
        <w:tab w:val="center" w:pos="4153"/>
        <w:tab w:val="right" w:pos="8306"/>
      </w:tabs>
      <w:snapToGrid w:val="0"/>
      <w:jc w:val="center"/>
    </w:pPr>
    <w:rPr>
      <w:kern w:val="0"/>
      <w:sz w:val="18"/>
      <w:szCs w:val="20"/>
    </w:rPr>
  </w:style>
  <w:style w:type="paragraph" w:customStyle="1" w:styleId="a11">
    <w:name w:val="图表"/>
    <w:next w:val="Normal"/>
    <w:qFormat/>
    <w:pPr>
      <w:jc w:val="center"/>
    </w:pPr>
    <w:rPr>
      <w:kern w:val="2"/>
      <w:sz w:val="21"/>
      <w:szCs w:val="24"/>
      <w:lang w:val="en-US" w:eastAsia="zh-CN" w:bidi="ar-SA"/>
    </w:rPr>
  </w:style>
  <w:style w:type="paragraph" w:customStyle="1" w:styleId="a12">
    <w:name w:val="中文"/>
    <w:basedOn w:val="Normal"/>
    <w:qFormat/>
    <w:pPr>
      <w:widowControl/>
      <w:spacing w:line="360" w:lineRule="auto"/>
      <w:ind w:firstLine="200" w:firstLineChars="200"/>
    </w:pPr>
    <w:rPr>
      <w:rFonts w:cs="宋体"/>
      <w:kern w:val="0"/>
      <w:sz w:val="24"/>
      <w:lang w:eastAsia="en-US"/>
    </w:rPr>
  </w:style>
  <w:style w:type="paragraph" w:styleId="BlockText">
    <w:name w:val="Block Text"/>
    <w:basedOn w:val="Normal"/>
    <w:qFormat/>
    <w:locked/>
    <w:pPr>
      <w:autoSpaceDE w:val="0"/>
      <w:autoSpaceDN w:val="0"/>
      <w:adjustRightInd w:val="0"/>
      <w:spacing w:line="480" w:lineRule="auto"/>
      <w:ind w:left="57" w:right="57" w:firstLine="570"/>
    </w:pPr>
    <w:rPr>
      <w:rFonts w:ascii="仿宋_GB2312" w:eastAsia="仿宋_GB2312" w:hAnsi="宋体" w:hint="eastAsia"/>
      <w:b/>
      <w:color w:val="000000"/>
      <w:kern w:val="0"/>
      <w:sz w:val="28"/>
      <w:szCs w:val="20"/>
    </w:rPr>
  </w:style>
  <w:style w:type="paragraph" w:styleId="TOC6">
    <w:name w:val="toc 6"/>
    <w:basedOn w:val="Normal"/>
    <w:next w:val="Normal"/>
    <w:qFormat/>
    <w:locked/>
    <w:pPr>
      <w:ind w:left="1050"/>
      <w:jc w:val="left"/>
    </w:pPr>
    <w:rPr>
      <w:sz w:val="18"/>
      <w:szCs w:val="18"/>
    </w:rPr>
  </w:style>
  <w:style w:type="paragraph" w:customStyle="1" w:styleId="a13">
    <w:name w:val="标准段落"/>
    <w:basedOn w:val="Normal"/>
    <w:next w:val="Normal"/>
    <w:qFormat/>
    <w:pPr>
      <w:spacing w:line="360" w:lineRule="auto"/>
      <w:ind w:firstLine="480" w:firstLineChars="200"/>
    </w:pPr>
    <w:rPr>
      <w:kern w:val="0"/>
      <w:sz w:val="24"/>
    </w:rPr>
  </w:style>
  <w:style w:type="paragraph" w:customStyle="1" w:styleId="a14">
    <w:name w:val="惠泽表格"/>
    <w:basedOn w:val="Normal"/>
    <w:pPr>
      <w:spacing w:line="480" w:lineRule="exact"/>
      <w:jc w:val="center"/>
    </w:pPr>
    <w:rPr>
      <w:rFonts w:ascii="黑体" w:eastAsia="黑体" w:hAnsi="黑体" w:cs="宋体"/>
      <w:sz w:val="24"/>
      <w:szCs w:val="20"/>
    </w:rPr>
  </w:style>
  <w:style w:type="paragraph" w:customStyle="1" w:styleId="a15">
    <w:name w:val="惠泽正文"/>
    <w:basedOn w:val="Normal"/>
    <w:pPr>
      <w:spacing w:line="480" w:lineRule="exact"/>
      <w:ind w:firstLine="480" w:firstLineChars="200"/>
    </w:pPr>
    <w:rPr>
      <w:rFonts w:ascii="Times New Roman" w:hAnsi="Times New Roman" w:cs="宋体"/>
      <w:sz w:val="24"/>
      <w:szCs w:val="20"/>
    </w:rPr>
  </w:style>
  <w:style w:type="paragraph" w:styleId="Date">
    <w:name w:val="Date"/>
    <w:basedOn w:val="Normal"/>
    <w:next w:val="Normal"/>
    <w:link w:val="1"/>
    <w:pPr>
      <w:ind w:left="100" w:leftChars="2500"/>
    </w:pPr>
    <w:rPr>
      <w:kern w:val="0"/>
      <w:sz w:val="24"/>
      <w:szCs w:val="20"/>
    </w:rPr>
  </w:style>
  <w:style w:type="paragraph" w:customStyle="1" w:styleId="Default1">
    <w:name w:val="Default1"/>
    <w:qFormat/>
    <w:pPr>
      <w:widowControl w:val="0"/>
      <w:autoSpaceDE w:val="0"/>
      <w:autoSpaceDN w:val="0"/>
      <w:adjustRightInd w:val="0"/>
    </w:pPr>
    <w:rPr>
      <w:rFonts w:ascii="宋体" w:cs="宋体"/>
      <w:color w:val="000000"/>
      <w:sz w:val="24"/>
      <w:szCs w:val="24"/>
      <w:lang w:val="en-US" w:eastAsia="zh-CN" w:bidi="ar-SA"/>
    </w:rPr>
  </w:style>
  <w:style w:type="paragraph" w:styleId="BodyTextFirstIndent2">
    <w:name w:val="Body Text First Indent 2"/>
    <w:basedOn w:val="Normal"/>
    <w:next w:val="Normal"/>
    <w:uiPriority w:val="99"/>
    <w:qFormat/>
    <w:locked/>
    <w:pPr>
      <w:spacing w:before="0" w:after="120"/>
      <w:ind w:left="420" w:firstLine="420" w:leftChars="200" w:firstLineChars="200"/>
    </w:pPr>
  </w:style>
  <w:style w:type="paragraph" w:styleId="BodyText">
    <w:name w:val="Body Text"/>
    <w:basedOn w:val="Normal"/>
    <w:link w:val="a4"/>
    <w:pPr>
      <w:widowControl/>
      <w:snapToGrid w:val="0"/>
      <w:spacing w:before="60" w:after="160" w:line="259" w:lineRule="auto"/>
      <w:ind w:right="113"/>
    </w:pPr>
    <w:rPr>
      <w:kern w:val="0"/>
      <w:sz w:val="18"/>
      <w:szCs w:val="20"/>
    </w:rPr>
  </w:style>
  <w:style w:type="paragraph" w:styleId="NoSpacing">
    <w:name w:val="No Spacing"/>
    <w:uiPriority w:val="1"/>
    <w:qFormat/>
    <w:pPr>
      <w:widowControl w:val="0"/>
      <w:adjustRightInd w:val="0"/>
      <w:snapToGrid w:val="0"/>
      <w:jc w:val="center"/>
    </w:pPr>
    <w:rPr>
      <w:b/>
      <w:kern w:val="2"/>
      <w:sz w:val="21"/>
      <w:szCs w:val="22"/>
      <w:lang w:val="en-US" w:eastAsia="zh-CN" w:bidi="ar-SA"/>
    </w:rPr>
  </w:style>
  <w:style w:type="paragraph" w:customStyle="1" w:styleId="a16">
    <w:name w:val="妇幼正文"/>
    <w:basedOn w:val="Normal"/>
    <w:qFormat/>
    <w:pPr>
      <w:adjustRightInd w:val="0"/>
      <w:spacing w:line="360" w:lineRule="auto"/>
      <w:ind w:firstLine="480" w:firstLineChars="200"/>
    </w:pPr>
    <w:rPr>
      <w:color w:val="000000"/>
      <w:kern w:val="0"/>
      <w:sz w:val="24"/>
    </w:rPr>
  </w:style>
  <w:style w:type="paragraph" w:customStyle="1" w:styleId="01">
    <w:name w:val="正文01"/>
    <w:basedOn w:val="Normal"/>
    <w:qFormat/>
    <w:pPr>
      <w:spacing w:before="60" w:line="460" w:lineRule="exact"/>
      <w:ind w:firstLine="200" w:firstLineChars="200"/>
    </w:pPr>
    <w:rPr>
      <w:sz w:val="24"/>
    </w:rPr>
  </w:style>
  <w:style w:type="paragraph" w:styleId="CommentText">
    <w:name w:val="annotation text"/>
    <w:basedOn w:val="Normal"/>
    <w:link w:val="a0"/>
    <w:semiHidden/>
    <w:pPr>
      <w:jc w:val="left"/>
    </w:pPr>
    <w:rPr>
      <w:kern w:val="0"/>
      <w:sz w:val="24"/>
      <w:szCs w:val="20"/>
    </w:rPr>
  </w:style>
  <w:style w:type="paragraph" w:styleId="List">
    <w:name w:val="List"/>
    <w:basedOn w:val="Normal"/>
    <w:qFormat/>
    <w:locked/>
    <w:pPr>
      <w:ind w:left="200" w:hanging="200" w:hangingChars="200"/>
    </w:pPr>
    <w:rPr>
      <w:rFonts w:ascii="Times New Roman" w:hAnsi="Times New Roman" w:cs="Times New Roman"/>
      <w:szCs w:val="24"/>
    </w:rPr>
  </w:style>
  <w:style w:type="paragraph" w:customStyle="1" w:styleId="Default">
    <w:name w:val="Default"/>
    <w:basedOn w:val="13"/>
    <w:next w:val="BodyTextFirstIndent2"/>
    <w:pPr>
      <w:widowControl w:val="0"/>
      <w:autoSpaceDE w:val="0"/>
      <w:autoSpaceDN w:val="0"/>
      <w:adjustRightInd w:val="0"/>
    </w:pPr>
    <w:rPr>
      <w:rFonts w:ascii="宋体" w:hAnsi="Calibri" w:cs="宋体"/>
      <w:color w:val="000000"/>
      <w:sz w:val="24"/>
      <w:szCs w:val="24"/>
      <w:lang w:val="en-US" w:eastAsia="zh-CN" w:bidi="ar-SA"/>
    </w:rPr>
  </w:style>
  <w:style w:type="paragraph" w:styleId="CommentSubject">
    <w:name w:val="annotation subject"/>
    <w:basedOn w:val="CommentText"/>
    <w:next w:val="CommentText"/>
    <w:link w:val="a2"/>
    <w:semiHidden/>
    <w:rPr>
      <w:b/>
      <w:kern w:val="2"/>
    </w:rPr>
  </w:style>
  <w:style w:type="paragraph" w:styleId="BodyTextIndent3">
    <w:name w:val="Body Text Indent 3"/>
    <w:basedOn w:val="Normal"/>
    <w:qFormat/>
    <w:locked/>
    <w:pPr>
      <w:spacing w:line="360" w:lineRule="auto"/>
      <w:ind w:firstLine="480" w:firstLineChars="200"/>
    </w:pPr>
    <w:rPr>
      <w:sz w:val="24"/>
    </w:rPr>
  </w:style>
  <w:style w:type="paragraph" w:styleId="BalloonText">
    <w:name w:val="Balloon Text"/>
    <w:basedOn w:val="Normal"/>
    <w:link w:val="a"/>
    <w:semiHidden/>
    <w:rPr>
      <w:kern w:val="0"/>
      <w:sz w:val="18"/>
      <w:szCs w:val="20"/>
    </w:rPr>
  </w:style>
  <w:style w:type="paragraph" w:styleId="Footer">
    <w:name w:val="footer"/>
    <w:basedOn w:val="Normal"/>
    <w:link w:val="11"/>
    <w:uiPriority w:val="99"/>
    <w:pPr>
      <w:tabs>
        <w:tab w:val="center" w:pos="4153"/>
        <w:tab w:val="right" w:pos="8306"/>
      </w:tabs>
      <w:snapToGrid w:val="0"/>
      <w:jc w:val="left"/>
    </w:pPr>
    <w:rPr>
      <w:kern w:val="0"/>
      <w:sz w:val="18"/>
      <w:szCs w:val="20"/>
    </w:rPr>
  </w:style>
  <w:style w:type="paragraph" w:customStyle="1" w:styleId="biaotou">
    <w:name w:val="biaotou"/>
    <w:basedOn w:val="BodyText"/>
    <w:uiPriority w:val="99"/>
    <w:pPr>
      <w:spacing w:after="0" w:line="460" w:lineRule="exact"/>
      <w:jc w:val="center"/>
    </w:pPr>
    <w:rPr>
      <w:rFonts w:ascii="黑体" w:eastAsia="黑体" w:hAnsi="黑体" w:cs="宋体"/>
      <w:sz w:val="24"/>
      <w:szCs w:val="20"/>
    </w:rPr>
  </w:style>
  <w:style w:type="paragraph" w:customStyle="1" w:styleId="a17">
    <w:name w:val="表格"/>
    <w:basedOn w:val="List"/>
    <w:next w:val="Normal"/>
    <w:link w:val="Char"/>
    <w:pPr>
      <w:adjustRightInd w:val="0"/>
      <w:snapToGrid w:val="0"/>
      <w:spacing w:beforeLines="10" w:afterLines="10" w:line="259" w:lineRule="auto"/>
      <w:jc w:val="center"/>
    </w:pPr>
    <w:rPr>
      <w:rFonts w:ascii="宋体"/>
      <w:kern w:val="0"/>
      <w:szCs w:val="20"/>
    </w:rPr>
  </w:style>
  <w:style w:type="paragraph" w:customStyle="1" w:styleId="a18">
    <w:name w:val="图表文字"/>
    <w:qFormat/>
    <w:pPr>
      <w:widowControl w:val="0"/>
      <w:jc w:val="center"/>
    </w:pPr>
    <w:rPr>
      <w:snapToGrid w:val="0"/>
      <w:kern w:val="2"/>
      <w:sz w:val="21"/>
      <w:szCs w:val="24"/>
      <w:lang w:val="en-US" w:eastAsia="zh-CN" w:bidi="ar-SA"/>
    </w:rPr>
  </w:style>
  <w:style w:type="paragraph" w:customStyle="1" w:styleId="21">
    <w:name w:val="样式 首行缩进:  2 字符"/>
    <w:basedOn w:val="Normal"/>
    <w:qFormat/>
    <w:pPr>
      <w:snapToGrid w:val="0"/>
      <w:spacing w:line="360" w:lineRule="auto"/>
      <w:ind w:firstLine="200" w:firstLineChars="200"/>
    </w:pPr>
    <w:rPr>
      <w:rFonts w:ascii="宋体" w:cs="宋体"/>
      <w:sz w:val="28"/>
      <w:szCs w:val="20"/>
    </w:rPr>
  </w:style>
  <w:style w:type="paragraph" w:styleId="NormalWeb">
    <w:name w:val="Normal (Web)"/>
    <w:basedOn w:val="Normal"/>
    <w:link w:val="a1"/>
    <w:pPr>
      <w:widowControl/>
      <w:spacing w:before="100" w:beforeAutospacing="1" w:after="100" w:afterAutospacing="1"/>
      <w:jc w:val="left"/>
    </w:pPr>
    <w:rPr>
      <w:rFonts w:ascii="宋体" w:hAnsi="宋体"/>
      <w:kern w:val="0"/>
      <w:sz w:val="24"/>
      <w:szCs w:val="20"/>
    </w:rPr>
  </w:style>
  <w:style w:type="table" w:styleId="TableGrid">
    <w:name w:val="Table Grid"/>
    <w:basedOn w:val="TableNormal"/>
    <w:rPr>
      <w:lang w:val="en-US" w:eastAsia="zh-C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hyperlink" Target="https://d.book118.com/226000121235010102" TargetMode="External" /><Relationship Id="rId13" Type="http://schemas.openxmlformats.org/officeDocument/2006/relationships/footer" Target="footer9.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_rels/settings.xml.rels><?xml version="1.0" encoding="utf-8" standalone="yes"?><Relationships xmlns="http://schemas.openxmlformats.org/package/2006/relationships"><Relationship Id="rId1" Type="http://schemas.openxmlformats.org/officeDocument/2006/relationships/attachedTemplate" Target="file:///c:\dsoa\wdzx97.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wdzx97.dot</Template>
  <TotalTime>0</TotalTime>
  <Pages>13</Pages>
  <Words>5581</Words>
  <Characters>31813</Characters>
  <Application>Microsoft Office Word</Application>
  <DocSecurity>0</DocSecurity>
  <Lines>265</Lines>
  <Paragraphs>74</Paragraphs>
  <ScaleCrop>false</ScaleCrop>
  <Company>微软中国</Company>
  <LinksUpToDate>false</LinksUpToDate>
  <CharactersWithSpaces>37320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lhj</dc:creator>
  <cp:lastModifiedBy>WPS_1559717548</cp:lastModifiedBy>
  <cp:revision>2</cp:revision>
  <cp:lastPrinted>2022-04-24T06:13:00Z</cp:lastPrinted>
  <dcterms:created xsi:type="dcterms:W3CDTF">2020-12-24T01:29:00Z</dcterms:created>
  <dcterms:modified xsi:type="dcterms:W3CDTF">2024-03-18T07:30:36Z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eyJoZGlkIjoiZTg1MTZhMmVjZGY3OWI2MmRhN2Q0ODA2ZDY3YmUyZDkifQ==</vt:lpwstr>
  </property>
  <property fmtid="{D5CDD505-2E9C-101B-9397-08002B2CF9AE}" pid="3" name="ICV">
    <vt:lpwstr>60F0B46AF1F1432090B80C202B1238E4</vt:lpwstr>
  </property>
  <property fmtid="{D5CDD505-2E9C-101B-9397-08002B2CF9AE}" pid="4" name="KSOProductBuildVer">
    <vt:lpwstr>2052-11.1.0.10009</vt:lpwstr>
  </property>
</Properties>
</file>