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雕刻工艺项目安全调研评估报告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一、法人治理架构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三、雕刻工艺项目文档管理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四、建设内容与产品方案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(二)、雕刻工艺产品规划方案及生产纲领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五、 进入国际市场的方式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六、社交媒体与在线营销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6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_Toc30556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(二)、雕刻工艺行业企业战略风险的分类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(三)、雕刻工艺项目对环境的主要影响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_Toc14003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九、雕刻工艺消费者市场分析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十、应急救援预案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50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_Toc23750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十一、雕刻工艺项目承办单位基本情况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8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_Toc7378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十二、环境可持续性管理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十四、融资及使用计划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十五、建设规模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十六、人力资源与员工培训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十七、投资方案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(五)、雕刻工艺项目总投资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十八、战略风险的识别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(一)、雕刻工艺行业企业在确定愿景及使命时的风险识别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(二)、制定雕刻工艺行业企业战略目标的风险识别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(三)、雕刻工艺行业企业战略分析的风险识别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(四)、雕刻工艺行业企业战略选择的风险识别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(五)、雕刻工艺行业企业战略实施的风险识别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二十、雕刻工艺项目管理计划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(一)、雕刻工艺项目管理概述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eastAsia="zh-CN"/>
          </w:rPr>
          <w:t>(二)、雕刻工艺项目组织结构</w:t>
        </w:r>
        <w:r>
          <w:tab/>
        </w:r>
        <w:r>
          <w:fldChar w:fldCharType="begin"/>
        </w:r>
        <w:r>
          <w:instrText xml:space="preserve"> PAGEREF _Toc16813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(三)、雕刻工艺项目计划与进度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(四)、雕刻工艺项目质量管理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(五)、雕刻工艺项目风险管理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(六)、雕刻工艺项目成本管理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(七)、雕刻工艺项目人力资源管理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(八)、雕刻工艺项目沟通与合作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24"/>
      <w:r>
        <w:rPr>
          <w:rFonts w:ascii="仿宋" w:eastAsia="仿宋" w:hAnsi="仿宋" w:cs="仿宋" w:hint="eastAsia"/>
          <w:sz w:val="28"/>
          <w:lang w:eastAsia="zh-CN"/>
        </w:rPr>
        <w:t>一、法人治理架构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80"/>
      <w:r>
        <w:rPr>
          <w:rFonts w:ascii="仿宋" w:eastAsia="仿宋" w:hAnsi="仿宋" w:cs="仿宋" w:hint="eastAsia"/>
          <w:lang w:eastAsia="zh-CN"/>
        </w:rPr>
        <w:t>(一)、股东权益与义务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所有权权益：股东持有公司股份，代表他们在公司的所有权。这些所有权权益赋予股东公司的股东大会选举公司领导层、审批公司的关键决策和政策，以及分享公司盈利的权利。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红利权：股东有权分享公司的盈利。公司盈余分配方案一般在股东大会上通过，股东按其所持股份比例分享利润。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知情权：股东有权了解公司的财务状况、运营情况和重要决策。公司应向股东提供相关信息，使他们能够有效行使其知情权。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监督权：股东可以参与公司治理，包括选举董事会成员、审计公司财务报表，以及提出和审批公司政策和决策。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https://d.book118.com/226033155150010053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雕刻工艺项目安全调研评估报告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雕刻工艺项目安全调研评估报告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雕刻工艺项目安全调研评估报告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雕刻工艺项目安全调研评估报告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雕刻工艺项目安全调研评估报告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A75161"/>
    <w:rsid w:val="31A7516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603315515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2024-02-22T03:53:00Z</dcterms:created>
  <dcterms:modified xsi:type="dcterms:W3CDTF">2024-02-22T03:53:12Z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AA6B543185A04F54B0B47AEF91899222_11</vt:lpwstr>
  </property>
  <property fmtid="{D5CDD505-2E9C-101B-9397-08002B2CF9AE}" pid="3" name="KSOProductBuildVer">
    <vt:lpwstr>2052-12.1.0.16250</vt:lpwstr>
  </property>
</Properties>
</file>