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2018-2023年天津工艺美术职业学院高职单招（数学／语文／英语）历年常考试题库含答案解析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《报刘一丈书》中“权者”的形象特征是（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D.才德称位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对“岂得之难而失之易欤 抑本其成败之迹，而皆自于人欤 ”一句理解准确的一项是（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A.强调得天下困难而失天下容易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B.强调“得”“失”都是人事决定的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C.否定“得”与“失”的难易都是由人事决定的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D.否定得天下困难，承认失天下容易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《秋水》中北海若对“自多”的态度是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A.反对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B.赞成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C.无所谓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D.顺其自然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“人有悲欢离合，月有阴晴圆缺”这两句诗出自（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A.李煜《虞美人》（春花秋月何时了）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B.柳永《八声甘州》（对潇潇暮雨洒江天）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C.苏轼《水调歌头》（明月几时有）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D.李清照《声声慢》（寻寻觅觅）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下列诗集中，属于郭沫若的是（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“人与马对话”的感人情节是契诃夫哪部小说中所描写的情节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A.《万卡》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B.《渴睡》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D.《醋栗》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在《张中丞传后叙》中，当南霁云抽刀断指时，“一座大惊，皆感激为云泣下”，对刻画南霁云的形象来说，这里所运用的表现方法是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A.正面描写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B.侧面描写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D.行为描写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《灯下漫笔》一文向青年所阐明的最重要的道理是（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A.如何读书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B.改造国民性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C.如何绘画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D.创建新时代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《背影》本文为刻画一个慈父形象所选取的描写重点是（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A.人物的面貌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B.人物的行动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C.人物的背影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D.人物的语言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《日出》的主题是（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A.偏重写人性的悲剧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B.写家庭悲剧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C.偏重对社会悲剧的揭示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D.写性格悲剧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A.俄国诗人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B.俄国散文随笔作家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C.俄国短篇小说之王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D.俄国政论家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《秋水》中河伯“以天下之美为尽在己”中“美”的意思是指（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A.风景优美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B.水大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C.水小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D.明大理的人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《李将军列传》中，李广和李蔡的对比描写，主要是为了表现李广的（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A.骁勇善战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B.爱护士卒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C.乐观旷达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D.白首未封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https://d.book118.com/226115053230010052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226115053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