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27" w:line="266" w:lineRule="auto"/>
        <w:ind w:left="3715" w:hanging="3710"/>
        <w:outlineLvl w:val="0"/>
        <w:rPr>
          <w:rFonts w:ascii="SimSun" w:eastAsia="SimSun" w:hAnsi="SimSun" w:cs="SimSun"/>
          <w:sz w:val="39"/>
          <w:szCs w:val="39"/>
        </w:rPr>
      </w:pPr>
      <w:r>
        <w:rPr>
          <w:rFonts w:ascii="SimSun" w:eastAsia="SimSun" w:hAnsi="SimSun" w:cs="SimSun"/>
          <w:b/>
          <w:bCs/>
          <w:spacing w:val="13"/>
          <w:sz w:val="39"/>
          <w:szCs w:val="39"/>
        </w:rPr>
        <w:t>关于《全国失信惩戒措施基础清单(2024年版)》</w:t>
      </w:r>
      <w:r>
        <w:rPr>
          <w:rFonts w:ascii="SimSun" w:eastAsia="SimSun" w:hAnsi="SimSun" w:cs="SimSun"/>
          <w:spacing w:val="12"/>
          <w:sz w:val="39"/>
          <w:szCs w:val="39"/>
        </w:rPr>
        <w:t xml:space="preserve"> </w:t>
      </w:r>
      <w:r>
        <w:rPr>
          <w:rFonts w:ascii="SimSun" w:eastAsia="SimSun" w:hAnsi="SimSun" w:cs="SimSun"/>
          <w:b/>
          <w:bCs/>
          <w:spacing w:val="3"/>
          <w:sz w:val="39"/>
          <w:szCs w:val="39"/>
        </w:rPr>
        <w:t>的说明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95" w:line="372" w:lineRule="auto"/>
        <w:ind w:right="34" w:firstLine="599"/>
      </w:pPr>
      <w:r>
        <w:rPr>
          <w:spacing w:val="4"/>
        </w:rPr>
        <w:t>为贯彻落实党中央、国务院关于推动社会信用体系高质量发展</w:t>
      </w:r>
      <w:r>
        <w:rPr>
          <w:spacing w:val="2"/>
        </w:rPr>
        <w:t xml:space="preserve"> </w:t>
      </w:r>
      <w:r>
        <w:rPr>
          <w:spacing w:val="6"/>
        </w:rPr>
        <w:t>的决策部署，按照《中华人民共和国国民经济和社会发</w:t>
      </w:r>
      <w:r>
        <w:rPr>
          <w:spacing w:val="5"/>
        </w:rPr>
        <w:t>展第十四个</w:t>
      </w:r>
      <w:r>
        <w:t xml:space="preserve"> </w:t>
      </w:r>
      <w:r>
        <w:rPr>
          <w:spacing w:val="5"/>
        </w:rPr>
        <w:t>五年规划和2035年远景目标纲要》《中共中央办公厅、国务院办公</w:t>
      </w:r>
      <w:r>
        <w:rPr>
          <w:spacing w:val="14"/>
        </w:rPr>
        <w:t xml:space="preserve"> </w:t>
      </w:r>
      <w:r>
        <w:rPr>
          <w:spacing w:val="6"/>
        </w:rPr>
        <w:t>厅印发〈关于推进社会信用体系建设高质量发展</w:t>
      </w:r>
      <w:r>
        <w:rPr>
          <w:spacing w:val="5"/>
        </w:rPr>
        <w:t>促进形成新发展格</w:t>
      </w:r>
      <w:r>
        <w:t xml:space="preserve"> </w:t>
      </w:r>
      <w:r>
        <w:rPr>
          <w:spacing w:val="6"/>
        </w:rPr>
        <w:t>局的意见〉的通知》《国务院办公厅关于进一步完善失信约束制度</w:t>
      </w:r>
      <w:r>
        <w:t xml:space="preserve"> </w:t>
      </w:r>
      <w:r>
        <w:rPr>
          <w:spacing w:val="6"/>
        </w:rPr>
        <w:t>构建诚信建设长效机制的指导意见》要求，进一步</w:t>
      </w:r>
      <w:r>
        <w:rPr>
          <w:spacing w:val="5"/>
        </w:rPr>
        <w:t>规范失信惩戒措</w:t>
      </w:r>
      <w:r>
        <w:t xml:space="preserve"> </w:t>
      </w:r>
      <w:r>
        <w:rPr>
          <w:spacing w:val="6"/>
        </w:rPr>
        <w:t>施，保护信用主体合法权益，国家发展改革委、人</w:t>
      </w:r>
      <w:r>
        <w:rPr>
          <w:spacing w:val="5"/>
        </w:rPr>
        <w:t>民银行会同国务</w:t>
      </w:r>
      <w:r>
        <w:t xml:space="preserve"> </w:t>
      </w:r>
      <w:r>
        <w:rPr>
          <w:spacing w:val="21"/>
        </w:rPr>
        <w:t>院社会信用体系建设部际联席会议成员单位和其他有关部门(单</w:t>
      </w:r>
      <w:r>
        <w:rPr>
          <w:spacing w:val="16"/>
        </w:rPr>
        <w:t xml:space="preserve"> </w:t>
      </w:r>
      <w:r>
        <w:rPr>
          <w:spacing w:val="15"/>
        </w:rPr>
        <w:t>位),严格以法律、行政法规和党中央、国务院政策文件为依</w:t>
      </w:r>
      <w:r>
        <w:rPr>
          <w:spacing w:val="14"/>
        </w:rPr>
        <w:t>据，</w:t>
      </w:r>
    </w:p>
    <w:p>
      <w:pPr>
        <w:pStyle w:val="BodyText"/>
        <w:spacing w:before="1" w:line="220" w:lineRule="auto"/>
      </w:pPr>
      <w:r>
        <w:rPr>
          <w:spacing w:val="-1"/>
        </w:rPr>
        <w:t>编制本清单。</w:t>
      </w:r>
    </w:p>
    <w:p>
      <w:pPr>
        <w:pStyle w:val="BodyText"/>
        <w:spacing w:before="234" w:line="369" w:lineRule="auto"/>
        <w:ind w:right="25" w:firstLine="599"/>
      </w:pPr>
      <w:r>
        <w:rPr>
          <w:spacing w:val="5"/>
        </w:rPr>
        <w:t>一、本清单所称的失信惩戒，是指国家机关和法律、法规授权</w:t>
      </w:r>
      <w:r>
        <w:rPr>
          <w:spacing w:val="13"/>
        </w:rPr>
        <w:t xml:space="preserve"> </w:t>
      </w:r>
      <w:r>
        <w:rPr>
          <w:spacing w:val="16"/>
        </w:rPr>
        <w:t>的具有管理公共事务职能的组织(以下统称“公共管理机构”)以</w:t>
      </w:r>
      <w:r>
        <w:rPr>
          <w:spacing w:val="8"/>
        </w:rPr>
        <w:t xml:space="preserve"> </w:t>
      </w:r>
      <w:r>
        <w:rPr>
          <w:spacing w:val="6"/>
        </w:rPr>
        <w:t>及其他组织依法依规运用司法、行政、市场等手段对失信行</w:t>
      </w:r>
      <w:r>
        <w:rPr>
          <w:spacing w:val="5"/>
        </w:rPr>
        <w:t>为责任</w:t>
      </w:r>
    </w:p>
    <w:p>
      <w:pPr>
        <w:pStyle w:val="BodyText"/>
        <w:spacing w:before="1" w:line="220" w:lineRule="auto"/>
        <w:sectPr>
          <w:footerReference w:type="default" r:id="rId4"/>
          <w:pgSz w:w="11900" w:h="16840"/>
          <w:pgMar w:top="1431" w:right="1660" w:bottom="1617" w:left="1619" w:header="0" w:footer="1508" w:gutter="0"/>
          <w:cols w:space="708"/>
        </w:sectPr>
      </w:pPr>
      <w:r>
        <w:rPr>
          <w:spacing w:val="1"/>
        </w:rPr>
        <w:t>主体进行惩戒的活动。</w:t>
      </w:r>
    </w:p>
    <w:p>
      <w:pPr>
        <w:pStyle w:val="BodyText"/>
        <w:spacing w:before="260" w:line="370" w:lineRule="auto"/>
        <w:ind w:right="44" w:firstLine="599"/>
      </w:pPr>
      <w:r>
        <w:rPr>
          <w:spacing w:val="5"/>
        </w:rPr>
        <w:t>二、本清单旨在规范界定失信惩戒措施的种类及其适用对象。</w:t>
      </w:r>
      <w:r>
        <w:rPr>
          <w:spacing w:val="9"/>
        </w:rPr>
        <w:t xml:space="preserve"> </w:t>
      </w:r>
      <w:r>
        <w:rPr>
          <w:spacing w:val="4"/>
        </w:rPr>
        <w:t>除法律、法规或者党中央、国务院政策文件另有规定外，公共管理</w:t>
      </w:r>
    </w:p>
    <w:p>
      <w:pPr>
        <w:pStyle w:val="BodyText"/>
        <w:spacing w:before="1" w:line="220" w:lineRule="auto"/>
      </w:pPr>
      <w:r>
        <w:rPr>
          <w:spacing w:val="16"/>
        </w:rPr>
        <w:t>机构不得超出本清单所列范围采取对相关主体减损权益或增加义</w:t>
      </w:r>
    </w:p>
    <w:p>
      <w:pPr>
        <w:spacing w:line="220" w:lineRule="auto"/>
        <w:sectPr>
          <w:footerReference w:type="default" r:id="rId5"/>
          <w:type w:val="nextPage"/>
          <w:pgSz w:w="11900" w:h="16840"/>
          <w:pgMar w:top="1431" w:right="1660" w:bottom="1617" w:left="1619" w:header="0" w:footer="1508" w:gutter="0"/>
          <w:pgNumType w:start="2"/>
          <w:cols w:space="708"/>
          <w:titlePg w:val="0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95" w:line="580" w:lineRule="exact"/>
      </w:pPr>
      <w:r>
        <w:rPr>
          <w:spacing w:val="15"/>
          <w:position w:val="21"/>
        </w:rPr>
        <w:t>务的失信惩戒措施。公共管理机构以外的组织自主开展失信惩戒</w:t>
      </w:r>
    </w:p>
    <w:p>
      <w:pPr>
        <w:pStyle w:val="BodyText"/>
        <w:spacing w:line="221" w:lineRule="auto"/>
      </w:pPr>
      <w:r>
        <w:rPr>
          <w:spacing w:val="3"/>
        </w:rPr>
        <w:t>的，不得违反相关法律、法规的规定。</w:t>
      </w:r>
    </w:p>
    <w:p>
      <w:pPr>
        <w:pStyle w:val="BodyText"/>
        <w:spacing w:before="234" w:line="369" w:lineRule="auto"/>
        <w:ind w:firstLine="599"/>
      </w:pPr>
      <w:r>
        <w:rPr>
          <w:spacing w:val="6"/>
        </w:rPr>
        <w:t>三、本清单所列失信惩戒措施包括三类，共14项：</w:t>
      </w:r>
      <w:r>
        <w:rPr>
          <w:spacing w:val="115"/>
        </w:rPr>
        <w:t xml:space="preserve"> </w:t>
      </w:r>
      <w:r>
        <w:rPr>
          <w:spacing w:val="6"/>
        </w:rPr>
        <w:t>一是由公</w:t>
      </w:r>
      <w:r>
        <w:rPr>
          <w:spacing w:val="6"/>
        </w:rPr>
        <w:t xml:space="preserve"> </w:t>
      </w:r>
      <w:r>
        <w:rPr>
          <w:spacing w:val="15"/>
        </w:rPr>
        <w:t>共管理机构依法依规实施的减损信用主体权益或增加其义务的措</w:t>
      </w:r>
      <w:r>
        <w:rPr>
          <w:spacing w:val="15"/>
        </w:rPr>
        <w:t xml:space="preserve"> </w:t>
      </w:r>
      <w:r>
        <w:rPr>
          <w:spacing w:val="5"/>
        </w:rPr>
        <w:t>施，包括限制市场或行业准入、限制任职、限制消费、限制出境、</w:t>
      </w:r>
      <w:r>
        <w:rPr>
          <w:spacing w:val="5"/>
        </w:rPr>
        <w:t xml:space="preserve"> </w:t>
      </w:r>
      <w:r>
        <w:rPr>
          <w:spacing w:val="5"/>
        </w:rPr>
        <w:t>限制升学复学等；二是由公共管理机构根据履职需要实</w:t>
      </w:r>
      <w:r>
        <w:rPr>
          <w:spacing w:val="4"/>
        </w:rPr>
        <w:t>施的相关管</w:t>
      </w:r>
      <w:r>
        <w:t xml:space="preserve">  </w:t>
      </w:r>
      <w:r>
        <w:rPr>
          <w:spacing w:val="5"/>
        </w:rPr>
        <w:t>理措施，不涉及减损信用主体权益或增加其义务，包括限制申请财</w:t>
      </w:r>
      <w:r>
        <w:rPr>
          <w:spacing w:val="5"/>
        </w:rPr>
        <w:t xml:space="preserve"> </w:t>
      </w:r>
      <w:r>
        <w:t>政性资金项目、限制参加评先评优、限制享受优惠政</w:t>
      </w:r>
      <w:r>
        <w:rPr>
          <w:spacing w:val="-1"/>
        </w:rPr>
        <w:t>策和便利措施、</w:t>
      </w:r>
      <w:r>
        <w:t xml:space="preserve"> </w:t>
      </w:r>
      <w:r>
        <w:rPr>
          <w:spacing w:val="6"/>
        </w:rPr>
        <w:t>纳入重点监管范围等；三是由公共管理机构以外的</w:t>
      </w:r>
      <w:r>
        <w:rPr>
          <w:spacing w:val="5"/>
        </w:rPr>
        <w:t>组织自主实施的</w:t>
      </w:r>
    </w:p>
    <w:p>
      <w:pPr>
        <w:pStyle w:val="BodyText"/>
        <w:spacing w:line="221" w:lineRule="auto"/>
      </w:pPr>
      <w:r>
        <w:rPr>
          <w:spacing w:val="5"/>
        </w:rPr>
        <w:t>措施，包括纳入市场化征信或评级报告、从严审慎授信等。</w:t>
      </w:r>
    </w:p>
    <w:p>
      <w:pPr>
        <w:pStyle w:val="BodyText"/>
        <w:spacing w:before="273" w:line="369" w:lineRule="auto"/>
        <w:ind w:right="119" w:firstLine="599"/>
      </w:pPr>
      <w:r>
        <w:rPr>
          <w:spacing w:val="4"/>
        </w:rPr>
        <w:t>四、设列严重失信主体名单的领域，必须以法律、法规或者党</w:t>
      </w:r>
      <w:r>
        <w:rPr>
          <w:spacing w:val="11"/>
        </w:rPr>
        <w:t xml:space="preserve"> </w:t>
      </w:r>
      <w:r>
        <w:rPr>
          <w:spacing w:val="15"/>
        </w:rPr>
        <w:t>中央、国务院政策文件为依据，任何部门(</w:t>
      </w:r>
      <w:r>
        <w:rPr>
          <w:spacing w:val="14"/>
        </w:rPr>
        <w:t>单位)不得擅自增加或</w:t>
      </w:r>
      <w:r>
        <w:t xml:space="preserve"> </w:t>
      </w:r>
      <w:r>
        <w:rPr>
          <w:spacing w:val="6"/>
        </w:rPr>
        <w:t>扩展。设列严重失信主体名单的部门，应严</w:t>
      </w:r>
      <w:r>
        <w:rPr>
          <w:spacing w:val="5"/>
        </w:rPr>
        <w:t>格规范名单认定标准、</w:t>
      </w:r>
      <w:r>
        <w:t xml:space="preserve"> </w:t>
      </w:r>
      <w:r>
        <w:rPr>
          <w:spacing w:val="4"/>
        </w:rPr>
        <w:t>移出条件、程序以及救济措施等，并通过“信用中国”网站及该领</w:t>
      </w:r>
    </w:p>
    <w:p>
      <w:pPr>
        <w:pStyle w:val="BodyText"/>
        <w:spacing w:before="1" w:line="221" w:lineRule="auto"/>
      </w:pPr>
      <w:r>
        <w:rPr>
          <w:spacing w:val="22"/>
        </w:rPr>
        <w:t>域主管(监管)部门指定的网站公开。</w:t>
      </w:r>
    </w:p>
    <w:p>
      <w:pPr>
        <w:pStyle w:val="BodyText"/>
        <w:spacing w:before="228" w:line="377" w:lineRule="auto"/>
        <w:ind w:right="29" w:firstLine="599"/>
      </w:pPr>
      <w:r>
        <w:rPr>
          <w:spacing w:val="5"/>
        </w:rPr>
        <w:t>五、在全国范围内实施的严重失信主体名单制度，其名单认定</w:t>
      </w:r>
      <w:r>
        <w:rPr>
          <w:spacing w:val="4"/>
        </w:rPr>
        <w:t xml:space="preserve"> </w:t>
      </w:r>
      <w:r>
        <w:rPr>
          <w:spacing w:val="-1"/>
        </w:rPr>
        <w:t>标准应当以法律、行政法规或者党中央、国务院政策文</w:t>
      </w:r>
      <w:r>
        <w:rPr>
          <w:spacing w:val="-2"/>
        </w:rPr>
        <w:t>件形式确定，</w:t>
      </w:r>
    </w:p>
    <w:p>
      <w:pPr>
        <w:pStyle w:val="BodyText"/>
        <w:spacing w:before="1" w:line="221" w:lineRule="auto"/>
        <w:sectPr>
          <w:footerReference w:type="default" r:id="rId6"/>
          <w:pgSz w:w="11900" w:h="16840"/>
          <w:pgMar w:top="1431" w:right="1585" w:bottom="1687" w:left="1619" w:header="0" w:footer="1479" w:gutter="0"/>
          <w:pgNumType w:start="3"/>
          <w:cols w:space="708"/>
        </w:sectPr>
      </w:pPr>
      <w:r>
        <w:rPr>
          <w:spacing w:val="8"/>
        </w:rPr>
        <w:t>暂不具备条件的可由该领域主管(监管)部门以部门规章形式确定。</w:t>
      </w:r>
    </w:p>
    <w:p>
      <w:pPr>
        <w:pStyle w:val="BodyText"/>
        <w:spacing w:before="232" w:line="369" w:lineRule="auto"/>
        <w:ind w:right="113" w:firstLine="599"/>
      </w:pPr>
      <w:r>
        <w:rPr>
          <w:spacing w:val="2"/>
        </w:rPr>
        <w:t>六、</w:t>
      </w:r>
      <w:r>
        <w:rPr>
          <w:spacing w:val="-55"/>
        </w:rPr>
        <w:t xml:space="preserve"> </w:t>
      </w:r>
      <w:r>
        <w:rPr>
          <w:spacing w:val="2"/>
        </w:rPr>
        <w:t>除本清单所列失信惩戒措施外，地方性法规对相关主</w:t>
      </w:r>
      <w:r>
        <w:rPr>
          <w:spacing w:val="1"/>
        </w:rPr>
        <w:t>体减</w:t>
      </w:r>
      <w:r>
        <w:t xml:space="preserve"> </w:t>
      </w:r>
      <w:r>
        <w:rPr>
          <w:spacing w:val="5"/>
        </w:rPr>
        <w:t>损权益或增加义务的失信惩戒措施有特殊规定的，或地方公共管理</w:t>
      </w:r>
      <w:r>
        <w:rPr>
          <w:spacing w:val="11"/>
        </w:rPr>
        <w:t xml:space="preserve"> </w:t>
      </w:r>
      <w:r>
        <w:rPr>
          <w:spacing w:val="16"/>
        </w:rPr>
        <w:t>机构根据履职需要实施不涉及减损信用主体权益或增加义务的相</w:t>
      </w:r>
    </w:p>
    <w:p>
      <w:pPr>
        <w:pStyle w:val="BodyText"/>
        <w:spacing w:before="1" w:line="220" w:lineRule="auto"/>
      </w:pPr>
      <w:r>
        <w:rPr>
          <w:spacing w:val="10"/>
        </w:rPr>
        <w:t>关管理措施，地方社会信用体系建设牵头单位可会同有关部门(单</w:t>
      </w:r>
    </w:p>
    <w:p>
      <w:pPr>
        <w:spacing w:line="220" w:lineRule="auto"/>
        <w:sectPr>
          <w:footerReference w:type="default" r:id="rId7"/>
          <w:type w:val="nextPage"/>
          <w:pgSz w:w="11900" w:h="16840"/>
          <w:pgMar w:top="1431" w:right="1585" w:bottom="1687" w:left="1619" w:header="0" w:footer="1479" w:gutter="0"/>
          <w:pgNumType w:start="4"/>
          <w:cols w:space="708"/>
          <w:titlePg w:val="0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94" w:line="592" w:lineRule="exact"/>
      </w:pPr>
      <w:r>
        <w:rPr>
          <w:spacing w:val="16"/>
          <w:position w:val="22"/>
        </w:rPr>
        <w:t>位),依据地方性法规编制仅适用于本地区的失</w:t>
      </w:r>
      <w:r>
        <w:rPr>
          <w:spacing w:val="15"/>
          <w:position w:val="22"/>
        </w:rPr>
        <w:t>信惩戒措施补充清</w:t>
      </w:r>
    </w:p>
    <w:p>
      <w:pPr>
        <w:pStyle w:val="BodyText"/>
        <w:spacing w:before="1" w:line="220" w:lineRule="auto"/>
      </w:pPr>
      <w:r>
        <w:rPr>
          <w:spacing w:val="-7"/>
        </w:rPr>
        <w:t>单。</w:t>
      </w:r>
    </w:p>
    <w:p>
      <w:pPr>
        <w:pStyle w:val="BodyText"/>
        <w:spacing w:before="223" w:line="588" w:lineRule="exact"/>
        <w:jc w:val="right"/>
      </w:pPr>
      <w:r>
        <w:rPr>
          <w:spacing w:val="5"/>
          <w:position w:val="22"/>
        </w:rPr>
        <w:t>七、法律、行政法规或者党中央、国务院政策文件对失信惩戒</w:t>
      </w:r>
    </w:p>
    <w:p>
      <w:pPr>
        <w:pStyle w:val="BodyText"/>
        <w:spacing w:line="220" w:lineRule="auto"/>
      </w:pPr>
      <w:r>
        <w:rPr>
          <w:spacing w:val="3"/>
        </w:rPr>
        <w:t>措施作出新的规定的，从其规定。</w:t>
      </w:r>
    </w:p>
    <w:p>
      <w:pPr>
        <w:spacing w:line="220" w:lineRule="auto"/>
        <w:sectPr>
          <w:footerReference w:type="default" r:id="rId8"/>
          <w:pgSz w:w="11900" w:h="16840"/>
          <w:pgMar w:top="1431" w:right="1691" w:bottom="1670" w:left="1619" w:header="0" w:footer="1471" w:gutter="0"/>
          <w:pgNumType w:start="5"/>
          <w:cols w:space="708"/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78" w:line="219" w:lineRule="auto"/>
        <w:ind w:left="2288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b/>
          <w:bCs/>
          <w:spacing w:val="6"/>
          <w:sz w:val="24"/>
          <w:szCs w:val="24"/>
        </w:rPr>
        <w:t>全国失信惩戒措施基础清单(2024年版)</w:t>
      </w:r>
    </w:p>
    <w:p>
      <w:pPr>
        <w:spacing w:line="153" w:lineRule="exact"/>
      </w:pPr>
    </w:p>
    <w:tbl>
      <w:tblPr>
        <w:tblStyle w:val="TableNormal0"/>
        <w:tblW w:w="88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4"/>
        <w:gridCol w:w="699"/>
        <w:gridCol w:w="1628"/>
        <w:gridCol w:w="3007"/>
        <w:gridCol w:w="1908"/>
        <w:gridCol w:w="904"/>
      </w:tblGrid>
      <w:tr>
        <w:tblPrEx>
          <w:tblW w:w="883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65"/>
        </w:trPr>
        <w:tc>
          <w:tcPr>
            <w:tcW w:w="684" w:type="dxa"/>
            <w:vAlign w:val="top"/>
          </w:tcPr>
          <w:p>
            <w:pPr>
              <w:pStyle w:val="TableText"/>
              <w:spacing w:before="140" w:line="221" w:lineRule="auto"/>
              <w:ind w:left="15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699" w:type="dxa"/>
            <w:vAlign w:val="top"/>
          </w:tcPr>
          <w:p>
            <w:pPr>
              <w:pStyle w:val="TableText"/>
              <w:spacing w:before="13" w:line="237" w:lineRule="exact"/>
              <w:ind w:left="163"/>
            </w:pPr>
            <w:r>
              <w:rPr>
                <w:b/>
                <w:bCs/>
                <w:spacing w:val="-5"/>
                <w:position w:val="3"/>
              </w:rPr>
              <w:t>惩戒</w:t>
            </w:r>
          </w:p>
          <w:p>
            <w:pPr>
              <w:pStyle w:val="TableText"/>
              <w:spacing w:line="209" w:lineRule="auto"/>
              <w:ind w:left="123"/>
            </w:pPr>
            <w:r>
              <w:rPr>
                <w:b/>
                <w:bCs/>
                <w:spacing w:val="-4"/>
              </w:rPr>
              <w:t>措施</w:t>
            </w:r>
          </w:p>
        </w:tc>
        <w:tc>
          <w:tcPr>
            <w:tcW w:w="1628" w:type="dxa"/>
            <w:vAlign w:val="top"/>
          </w:tcPr>
          <w:p>
            <w:pPr>
              <w:pStyle w:val="TableText"/>
              <w:spacing w:before="139" w:line="219" w:lineRule="auto"/>
              <w:ind w:left="384"/>
            </w:pPr>
            <w:r>
              <w:rPr>
                <w:b/>
                <w:bCs/>
                <w:spacing w:val="-13"/>
              </w:rPr>
              <w:t>惩</w:t>
            </w:r>
            <w:r>
              <w:rPr>
                <w:spacing w:val="-18"/>
              </w:rPr>
              <w:t xml:space="preserve"> </w:t>
            </w:r>
            <w:r>
              <w:rPr>
                <w:b/>
                <w:bCs/>
                <w:spacing w:val="-13"/>
              </w:rPr>
              <w:t>戒</w:t>
            </w:r>
            <w:r>
              <w:rPr>
                <w:spacing w:val="-13"/>
              </w:rPr>
              <w:t xml:space="preserve"> </w:t>
            </w:r>
            <w:r>
              <w:rPr>
                <w:b/>
                <w:bCs/>
                <w:spacing w:val="-13"/>
              </w:rPr>
              <w:t>内</w:t>
            </w:r>
            <w:r>
              <w:rPr>
                <w:spacing w:val="-23"/>
              </w:rPr>
              <w:t xml:space="preserve"> </w:t>
            </w:r>
            <w:r>
              <w:rPr>
                <w:b/>
                <w:bCs/>
                <w:spacing w:val="-13"/>
              </w:rPr>
              <w:t>容</w:t>
            </w:r>
          </w:p>
        </w:tc>
        <w:tc>
          <w:tcPr>
            <w:tcW w:w="3007" w:type="dxa"/>
            <w:vAlign w:val="top"/>
          </w:tcPr>
          <w:p>
            <w:pPr>
              <w:pStyle w:val="TableText"/>
              <w:spacing w:before="139" w:line="219" w:lineRule="auto"/>
              <w:ind w:left="1056"/>
            </w:pPr>
            <w:r>
              <w:rPr>
                <w:b/>
                <w:bCs/>
                <w:spacing w:val="-9"/>
              </w:rPr>
              <w:t>惩</w:t>
            </w:r>
            <w:r>
              <w:rPr>
                <w:spacing w:val="-22"/>
              </w:rPr>
              <w:t xml:space="preserve"> </w:t>
            </w:r>
            <w:r>
              <w:rPr>
                <w:b/>
                <w:bCs/>
                <w:spacing w:val="-9"/>
              </w:rPr>
              <w:t>戒</w:t>
            </w:r>
            <w:r>
              <w:rPr>
                <w:spacing w:val="-26"/>
              </w:rPr>
              <w:t xml:space="preserve"> </w:t>
            </w:r>
            <w:r>
              <w:rPr>
                <w:b/>
                <w:bCs/>
                <w:spacing w:val="-9"/>
              </w:rPr>
              <w:t>对</w:t>
            </w:r>
            <w:r>
              <w:rPr>
                <w:spacing w:val="-19"/>
              </w:rPr>
              <w:t xml:space="preserve"> </w:t>
            </w:r>
            <w:r>
              <w:rPr>
                <w:b/>
                <w:bCs/>
                <w:spacing w:val="-9"/>
              </w:rPr>
              <w:t>象</w:t>
            </w:r>
          </w:p>
        </w:tc>
        <w:tc>
          <w:tcPr>
            <w:tcW w:w="1908" w:type="dxa"/>
            <w:vAlign w:val="top"/>
          </w:tcPr>
          <w:p>
            <w:pPr>
              <w:pStyle w:val="TableText"/>
              <w:spacing w:before="138" w:line="219" w:lineRule="auto"/>
              <w:ind w:left="409"/>
            </w:pPr>
            <w:r>
              <w:rPr>
                <w:b/>
                <w:bCs/>
                <w:spacing w:val="-3"/>
              </w:rPr>
              <w:t>法规政策依据</w:t>
            </w:r>
          </w:p>
        </w:tc>
        <w:tc>
          <w:tcPr>
            <w:tcW w:w="904" w:type="dxa"/>
            <w:vAlign w:val="top"/>
          </w:tcPr>
          <w:p>
            <w:pPr>
              <w:pStyle w:val="TableText"/>
              <w:spacing w:before="10" w:line="196" w:lineRule="auto"/>
              <w:ind w:left="271"/>
            </w:pPr>
            <w:r>
              <w:rPr>
                <w:b/>
                <w:bCs/>
                <w:spacing w:val="-5"/>
              </w:rPr>
              <w:t>实施</w:t>
            </w:r>
          </w:p>
          <w:p>
            <w:pPr>
              <w:pStyle w:val="TableText"/>
              <w:spacing w:line="220" w:lineRule="auto"/>
              <w:ind w:left="241"/>
            </w:pPr>
            <w:r>
              <w:rPr>
                <w:b/>
                <w:bCs/>
                <w:spacing w:val="-5"/>
              </w:rPr>
              <w:t>主体</w:t>
            </w:r>
          </w:p>
        </w:tc>
      </w:tr>
      <w:tr>
        <w:tblPrEx>
          <w:tblW w:w="8830" w:type="dxa"/>
          <w:tblInd w:w="5" w:type="dxa"/>
          <w:tblLayout w:type="fixed"/>
        </w:tblPrEx>
        <w:trPr>
          <w:trHeight w:val="1968"/>
        </w:trPr>
        <w:tc>
          <w:tcPr>
            <w:tcW w:w="684" w:type="dxa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</w:tc>
        <w:tc>
          <w:tcPr>
            <w:tcW w:w="699" w:type="dxa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16" w:lineRule="auto"/>
              <w:ind w:left="101"/>
            </w:pPr>
            <w:r>
              <w:rPr>
                <w:spacing w:val="-1"/>
              </w:rPr>
              <w:t>在一定期限内依</w:t>
            </w:r>
          </w:p>
          <w:p>
            <w:pPr>
              <w:pStyle w:val="TableText"/>
              <w:spacing w:line="219" w:lineRule="auto"/>
              <w:ind w:left="111"/>
            </w:pPr>
            <w:r>
              <w:rPr>
                <w:spacing w:val="-1"/>
              </w:rPr>
              <w:t>法禁止取得特定</w:t>
            </w:r>
          </w:p>
          <w:p>
            <w:pPr>
              <w:pStyle w:val="TableText"/>
              <w:spacing w:before="46" w:line="219" w:lineRule="auto"/>
              <w:ind w:left="101"/>
            </w:pPr>
            <w:r>
              <w:rPr>
                <w:spacing w:val="1"/>
              </w:rPr>
              <w:t>的直接关系公共</w:t>
            </w:r>
          </w:p>
          <w:p>
            <w:pPr>
              <w:pStyle w:val="TableText"/>
              <w:spacing w:before="36" w:line="231" w:lineRule="auto"/>
              <w:ind w:left="111"/>
            </w:pPr>
            <w:r>
              <w:rPr>
                <w:spacing w:val="8"/>
              </w:rPr>
              <w:t>安全、人身健康、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生命财产安全的</w:t>
            </w:r>
          </w:p>
          <w:p>
            <w:pPr>
              <w:pStyle w:val="TableText"/>
              <w:spacing w:line="220" w:lineRule="auto"/>
              <w:ind w:left="111"/>
            </w:pPr>
            <w:r>
              <w:rPr>
                <w:spacing w:val="-2"/>
              </w:rPr>
              <w:t>行政许可</w:t>
            </w:r>
          </w:p>
        </w:tc>
        <w:tc>
          <w:tcPr>
            <w:tcW w:w="3007" w:type="dxa"/>
            <w:vAlign w:val="top"/>
          </w:tcPr>
          <w:p>
            <w:pPr>
              <w:pStyle w:val="TableText"/>
              <w:spacing w:before="196" w:line="233" w:lineRule="auto"/>
              <w:ind w:left="53" w:right="56"/>
            </w:pPr>
            <w:r>
              <w:t>申请属于直接关系公共安全、人身健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康、生命财产安全的行政许可时隐瞒</w:t>
            </w:r>
          </w:p>
          <w:p>
            <w:pPr>
              <w:pStyle w:val="TableText"/>
              <w:spacing w:before="34" w:line="239" w:lineRule="auto"/>
              <w:ind w:left="53" w:right="46" w:firstLine="90"/>
            </w:pPr>
            <w:r>
              <w:rPr>
                <w:spacing w:val="-1"/>
              </w:rPr>
              <w:t>有关情况或者提供虚假材料的行政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许可申请人：以欺骗、贿赂等不正当</w:t>
            </w:r>
            <w:r>
              <w:t xml:space="preserve"> </w:t>
            </w:r>
            <w:r>
              <w:rPr>
                <w:spacing w:val="-1"/>
              </w:rPr>
              <w:t>手段取得属于直接关系公共安全、人</w:t>
            </w:r>
            <w:r>
              <w:rPr>
                <w:spacing w:val="7"/>
              </w:rPr>
              <w:t xml:space="preserve"> </w:t>
            </w:r>
            <w:r>
              <w:t>身健康、生命财产安全的行政许可的</w:t>
            </w:r>
            <w:r>
              <w:rPr>
                <w:spacing w:val="13"/>
              </w:rPr>
              <w:t xml:space="preserve"> </w:t>
            </w:r>
            <w:r>
              <w:rPr>
                <w:spacing w:val="15"/>
              </w:rPr>
              <w:t>被许可人</w:t>
            </w:r>
          </w:p>
        </w:tc>
        <w:tc>
          <w:tcPr>
            <w:tcW w:w="190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38" w:lineRule="auto"/>
              <w:ind w:left="137" w:right="148" w:hanging="40"/>
            </w:pPr>
            <w:r>
              <w:rPr>
                <w:spacing w:val="-2"/>
              </w:rPr>
              <w:t>《行政许可法》第七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十八条、第七十九条</w:t>
            </w:r>
          </w:p>
        </w:tc>
        <w:tc>
          <w:tcPr>
            <w:tcW w:w="904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41" w:lineRule="auto"/>
              <w:ind w:left="127" w:right="163" w:hanging="9"/>
              <w:jc w:val="both"/>
            </w:pPr>
            <w:r>
              <w:rPr>
                <w:spacing w:val="-3"/>
              </w:rPr>
              <w:t>相关行</w:t>
            </w:r>
            <w:r>
              <w:t xml:space="preserve">  </w:t>
            </w:r>
            <w:r>
              <w:rPr>
                <w:spacing w:val="14"/>
              </w:rPr>
              <w:t>政许可</w:t>
            </w:r>
            <w:r>
              <w:t xml:space="preserve"> </w:t>
            </w:r>
            <w:r>
              <w:rPr>
                <w:spacing w:val="18"/>
              </w:rPr>
              <w:t>的受理</w:t>
            </w:r>
            <w:r>
              <w:rPr>
                <w:spacing w:val="1"/>
              </w:rPr>
              <w:t xml:space="preserve"> </w:t>
            </w:r>
            <w:r>
              <w:rPr>
                <w:spacing w:val="20"/>
              </w:rPr>
              <w:t>或决定</w:t>
            </w:r>
            <w:r>
              <w:t xml:space="preserve"> </w:t>
            </w:r>
            <w:r>
              <w:rPr>
                <w:spacing w:val="-3"/>
              </w:rPr>
              <w:t>单位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https://d.book118.com/227004132136006046</w:t>
        </w:r>
      </w:hyperlink>
    </w:p>
    <w:p/>
    <w:sectPr>
      <w:footerReference w:type="default" r:id="rId10"/>
      <w:pgSz w:w="11900" w:h="16840"/>
      <w:pgMar w:top="1431" w:right="1574" w:bottom="1687" w:left="1484" w:header="0" w:footer="1479" w:gutter="0"/>
      <w:pgNumType w:start="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6" w:lineRule="auto"/>
      <w:ind w:left="4230"/>
      <w:rPr>
        <w:rFonts w:ascii="SimSun" w:eastAsia="SimSun" w:hAnsi="SimSun" w:cs="SimSun"/>
        <w:sz w:val="11"/>
        <w:szCs w:val="11"/>
      </w:rPr>
    </w:pPr>
    <w:r>
      <w:rPr>
        <w:rFonts w:ascii="SimSun" w:eastAsia="SimSun" w:hAnsi="SimSun" w:cs="SimSun"/>
        <w:sz w:val="11"/>
        <w:szCs w:val="11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6" w:lineRule="auto"/>
      <w:ind w:left="4230"/>
      <w:rPr>
        <w:rFonts w:ascii="SimSun" w:eastAsia="SimSun" w:hAnsi="SimSun" w:cs="SimSun"/>
        <w:sz w:val="11"/>
        <w:szCs w:val="11"/>
      </w:rPr>
    </w:pPr>
    <w:r>
      <w:rPr>
        <w:rFonts w:ascii="SimSun" w:eastAsia="SimSun" w:hAnsi="SimSun" w:cs="SimSun"/>
        <w:sz w:val="11"/>
        <w:szCs w:val="11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200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200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sz w:val="21"/>
        <w:szCs w:val="21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3" w:lineRule="auto"/>
      <w:ind w:left="4210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z w:val="20"/>
        <w:szCs w:val="20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335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sz w:val="21"/>
        <w:szCs w:val="21"/>
      </w:rPr>
      <w:t>4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FangSong" w:eastAsia="FangSong" w:hAnsi="FangSong" w:cs="FangSong"/>
      <w:sz w:val="29"/>
      <w:szCs w:val="29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hyperlink" Target="https://d.book118.com/2270041321360060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2024-03-05T22:40:24Z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2024-03-05T22:40:30Z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65e72ecf7d8934001f6c8402wl</vt:lpwstr>
  </property>
</Properties>
</file>