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生物农药及微生物农药项目计划设计方案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59" w:history="1">
        <w:r>
          <w:rPr>
            <w:rFonts w:ascii="仿宋" w:eastAsia="仿宋" w:hAnsi="仿宋" w:cs="仿宋" w:hint="eastAsia"/>
            <w:lang w:eastAsia="zh-CN"/>
          </w:rPr>
          <w:t>概论</w:t>
        </w:r>
        <w:r>
          <w:tab/>
        </w:r>
        <w:r>
          <w:fldChar w:fldCharType="begin"/>
        </w:r>
        <w:r>
          <w:instrText xml:space="preserve"> PAGEREF _Toc23459 \h </w:instrText>
        </w:r>
        <w:r>
          <w:fldChar w:fldCharType="separate"/>
        </w:r>
        <w:r>
          <w:t>3</w:t>
        </w:r>
        <w:r>
          <w:fldChar w:fldCharType="end"/>
        </w:r>
      </w:hyperlink>
    </w:p>
    <w:p>
      <w:pPr>
        <w:pStyle w:val="TOC1"/>
        <w:tabs>
          <w:tab w:val="right" w:leader="dot" w:pos="8306"/>
        </w:tabs>
      </w:pPr>
      <w:hyperlink w:anchor="_Toc21584" w:history="1">
        <w:r>
          <w:rPr>
            <w:rFonts w:ascii="仿宋" w:eastAsia="仿宋" w:hAnsi="仿宋" w:cs="仿宋" w:hint="eastAsia"/>
            <w:lang w:eastAsia="zh-CN"/>
          </w:rPr>
          <w:t>一、生物农药及微生物农药项目选址可行性分析</w:t>
        </w:r>
        <w:r>
          <w:tab/>
        </w:r>
        <w:r>
          <w:fldChar w:fldCharType="begin"/>
        </w:r>
        <w:r>
          <w:instrText xml:space="preserve"> PAGEREF _Toc21584 \h </w:instrText>
        </w:r>
        <w:r>
          <w:fldChar w:fldCharType="separate"/>
        </w:r>
        <w:r>
          <w:t>3</w:t>
        </w:r>
        <w:r>
          <w:fldChar w:fldCharType="end"/>
        </w:r>
      </w:hyperlink>
    </w:p>
    <w:p>
      <w:pPr>
        <w:pStyle w:val="TOC2"/>
        <w:tabs>
          <w:tab w:val="right" w:leader="dot" w:pos="8306"/>
        </w:tabs>
      </w:pPr>
      <w:hyperlink w:anchor="_Toc3424" w:history="1">
        <w:r>
          <w:rPr>
            <w:rFonts w:ascii="仿宋" w:eastAsia="仿宋" w:hAnsi="仿宋" w:cs="仿宋" w:hint="eastAsia"/>
            <w:lang w:eastAsia="zh-CN"/>
          </w:rPr>
          <w:t>(一)、生物农药及微生物农药项目选址</w:t>
        </w:r>
        <w:r>
          <w:tab/>
        </w:r>
        <w:r>
          <w:fldChar w:fldCharType="begin"/>
        </w:r>
        <w:r>
          <w:instrText xml:space="preserve"> PAGEREF _Toc3424 \h </w:instrText>
        </w:r>
        <w:r>
          <w:fldChar w:fldCharType="separate"/>
        </w:r>
        <w:r>
          <w:t>3</w:t>
        </w:r>
        <w:r>
          <w:fldChar w:fldCharType="end"/>
        </w:r>
      </w:hyperlink>
    </w:p>
    <w:p>
      <w:pPr>
        <w:pStyle w:val="TOC2"/>
        <w:tabs>
          <w:tab w:val="right" w:leader="dot" w:pos="8306"/>
        </w:tabs>
      </w:pPr>
      <w:hyperlink w:anchor="_Toc8026" w:history="1">
        <w:r>
          <w:rPr>
            <w:rFonts w:ascii="仿宋" w:eastAsia="仿宋" w:hAnsi="仿宋" w:cs="仿宋" w:hint="eastAsia"/>
            <w:lang w:eastAsia="zh-CN"/>
          </w:rPr>
          <w:t>(二)、用地控制指标</w:t>
        </w:r>
        <w:r>
          <w:tab/>
        </w:r>
        <w:r>
          <w:fldChar w:fldCharType="begin"/>
        </w:r>
        <w:r>
          <w:instrText xml:space="preserve"> PAGEREF _Toc8026 \h </w:instrText>
        </w:r>
        <w:r>
          <w:fldChar w:fldCharType="separate"/>
        </w:r>
        <w:r>
          <w:t>3</w:t>
        </w:r>
        <w:r>
          <w:fldChar w:fldCharType="end"/>
        </w:r>
      </w:hyperlink>
    </w:p>
    <w:p>
      <w:pPr>
        <w:pStyle w:val="TOC2"/>
        <w:tabs>
          <w:tab w:val="right" w:leader="dot" w:pos="8306"/>
        </w:tabs>
      </w:pPr>
      <w:hyperlink w:anchor="_Toc32411" w:history="1">
        <w:r>
          <w:rPr>
            <w:rFonts w:ascii="仿宋" w:eastAsia="仿宋" w:hAnsi="仿宋" w:cs="仿宋" w:hint="eastAsia"/>
            <w:lang w:eastAsia="zh-CN"/>
          </w:rPr>
          <w:t>(三)、节约用地措施</w:t>
        </w:r>
        <w:r>
          <w:tab/>
        </w:r>
        <w:r>
          <w:fldChar w:fldCharType="begin"/>
        </w:r>
        <w:r>
          <w:instrText xml:space="preserve"> PAGEREF _Toc32411 \h </w:instrText>
        </w:r>
        <w:r>
          <w:fldChar w:fldCharType="separate"/>
        </w:r>
        <w:r>
          <w:t>5</w:t>
        </w:r>
        <w:r>
          <w:fldChar w:fldCharType="end"/>
        </w:r>
      </w:hyperlink>
    </w:p>
    <w:p>
      <w:pPr>
        <w:pStyle w:val="TOC2"/>
        <w:tabs>
          <w:tab w:val="right" w:leader="dot" w:pos="8306"/>
        </w:tabs>
      </w:pPr>
      <w:hyperlink w:anchor="_Toc31551" w:history="1">
        <w:r>
          <w:rPr>
            <w:rFonts w:ascii="仿宋" w:eastAsia="仿宋" w:hAnsi="仿宋" w:cs="仿宋" w:hint="eastAsia"/>
            <w:lang w:eastAsia="zh-CN"/>
          </w:rPr>
          <w:t>(四)、总图布置方案</w:t>
        </w:r>
        <w:r>
          <w:tab/>
        </w:r>
        <w:r>
          <w:fldChar w:fldCharType="begin"/>
        </w:r>
        <w:r>
          <w:instrText xml:space="preserve"> PAGEREF _Toc31551 \h </w:instrText>
        </w:r>
        <w:r>
          <w:fldChar w:fldCharType="separate"/>
        </w:r>
        <w:r>
          <w:t>6</w:t>
        </w:r>
        <w:r>
          <w:fldChar w:fldCharType="end"/>
        </w:r>
      </w:hyperlink>
    </w:p>
    <w:p>
      <w:pPr>
        <w:pStyle w:val="TOC2"/>
        <w:tabs>
          <w:tab w:val="right" w:leader="dot" w:pos="8306"/>
        </w:tabs>
      </w:pPr>
      <w:hyperlink w:anchor="_Toc26702" w:history="1">
        <w:r>
          <w:rPr>
            <w:rFonts w:ascii="仿宋" w:eastAsia="仿宋" w:hAnsi="仿宋" w:cs="仿宋" w:hint="eastAsia"/>
            <w:lang w:eastAsia="zh-CN"/>
          </w:rPr>
          <w:t>(五)、选址综合评价</w:t>
        </w:r>
        <w:r>
          <w:tab/>
        </w:r>
        <w:r>
          <w:fldChar w:fldCharType="begin"/>
        </w:r>
        <w:r>
          <w:instrText xml:space="preserve"> PAGEREF _Toc26702 \h </w:instrText>
        </w:r>
        <w:r>
          <w:fldChar w:fldCharType="separate"/>
        </w:r>
        <w:r>
          <w:t>8</w:t>
        </w:r>
        <w:r>
          <w:fldChar w:fldCharType="end"/>
        </w:r>
      </w:hyperlink>
    </w:p>
    <w:p>
      <w:pPr>
        <w:pStyle w:val="TOC1"/>
        <w:tabs>
          <w:tab w:val="right" w:leader="dot" w:pos="8306"/>
        </w:tabs>
      </w:pPr>
      <w:hyperlink w:anchor="_Toc8604" w:history="1">
        <w:r>
          <w:rPr>
            <w:rFonts w:ascii="仿宋" w:eastAsia="仿宋" w:hAnsi="仿宋" w:cs="仿宋" w:hint="eastAsia"/>
            <w:lang w:eastAsia="zh-CN"/>
          </w:rPr>
          <w:t>二、生物农药及微生物农药项目建设背景及必要性分析</w:t>
        </w:r>
        <w:r>
          <w:tab/>
        </w:r>
        <w:r>
          <w:fldChar w:fldCharType="begin"/>
        </w:r>
        <w:r>
          <w:instrText xml:space="preserve"> PAGEREF _Toc8604 \h </w:instrText>
        </w:r>
        <w:r>
          <w:fldChar w:fldCharType="separate"/>
        </w:r>
        <w:r>
          <w:t>9</w:t>
        </w:r>
        <w:r>
          <w:fldChar w:fldCharType="end"/>
        </w:r>
      </w:hyperlink>
    </w:p>
    <w:p>
      <w:pPr>
        <w:pStyle w:val="TOC2"/>
        <w:tabs>
          <w:tab w:val="right" w:leader="dot" w:pos="8306"/>
        </w:tabs>
      </w:pPr>
      <w:hyperlink w:anchor="_Toc14315" w:history="1">
        <w:r>
          <w:rPr>
            <w:rFonts w:ascii="仿宋" w:eastAsia="仿宋" w:hAnsi="仿宋" w:cs="仿宋" w:hint="eastAsia"/>
            <w:lang w:eastAsia="zh-CN"/>
          </w:rPr>
          <w:t>(一)、生物农药及微生物农药项目背景分析</w:t>
        </w:r>
        <w:r>
          <w:tab/>
        </w:r>
        <w:r>
          <w:fldChar w:fldCharType="begin"/>
        </w:r>
        <w:r>
          <w:instrText xml:space="preserve"> PAGEREF _Toc14315 \h </w:instrText>
        </w:r>
        <w:r>
          <w:fldChar w:fldCharType="separate"/>
        </w:r>
        <w:r>
          <w:t>9</w:t>
        </w:r>
        <w:r>
          <w:fldChar w:fldCharType="end"/>
        </w:r>
      </w:hyperlink>
    </w:p>
    <w:p>
      <w:pPr>
        <w:pStyle w:val="TOC2"/>
        <w:tabs>
          <w:tab w:val="right" w:leader="dot" w:pos="8306"/>
        </w:tabs>
      </w:pPr>
      <w:hyperlink w:anchor="_Toc9029" w:history="1">
        <w:r>
          <w:rPr>
            <w:rFonts w:ascii="仿宋" w:eastAsia="仿宋" w:hAnsi="仿宋" w:cs="仿宋" w:hint="eastAsia"/>
            <w:lang w:eastAsia="zh-CN"/>
          </w:rPr>
          <w:t>(二)、生物农药及微生物农药项目建设必要性分析</w:t>
        </w:r>
        <w:r>
          <w:tab/>
        </w:r>
        <w:r>
          <w:fldChar w:fldCharType="begin"/>
        </w:r>
        <w:r>
          <w:instrText xml:space="preserve"> PAGEREF _Toc9029 \h </w:instrText>
        </w:r>
        <w:r>
          <w:fldChar w:fldCharType="separate"/>
        </w:r>
        <w:r>
          <w:t>10</w:t>
        </w:r>
        <w:r>
          <w:fldChar w:fldCharType="end"/>
        </w:r>
      </w:hyperlink>
    </w:p>
    <w:p>
      <w:pPr>
        <w:pStyle w:val="TOC1"/>
        <w:tabs>
          <w:tab w:val="right" w:leader="dot" w:pos="8306"/>
        </w:tabs>
      </w:pPr>
      <w:hyperlink w:anchor="_Toc14228" w:history="1">
        <w:r>
          <w:rPr>
            <w:rFonts w:ascii="仿宋" w:eastAsia="仿宋" w:hAnsi="仿宋" w:cs="仿宋" w:hint="eastAsia"/>
            <w:lang w:eastAsia="zh-CN"/>
          </w:rPr>
          <w:t>三、生物农药及微生物农药项目概论</w:t>
        </w:r>
        <w:r>
          <w:tab/>
        </w:r>
        <w:r>
          <w:fldChar w:fldCharType="begin"/>
        </w:r>
        <w:r>
          <w:instrText xml:space="preserve"> PAGEREF _Toc14228 \h </w:instrText>
        </w:r>
        <w:r>
          <w:fldChar w:fldCharType="separate"/>
        </w:r>
        <w:r>
          <w:t>12</w:t>
        </w:r>
        <w:r>
          <w:fldChar w:fldCharType="end"/>
        </w:r>
      </w:hyperlink>
    </w:p>
    <w:p>
      <w:pPr>
        <w:pStyle w:val="TOC2"/>
        <w:tabs>
          <w:tab w:val="right" w:leader="dot" w:pos="8306"/>
        </w:tabs>
      </w:pPr>
      <w:hyperlink w:anchor="_Toc5122" w:history="1">
        <w:r>
          <w:rPr>
            <w:rFonts w:ascii="仿宋" w:eastAsia="仿宋" w:hAnsi="仿宋" w:cs="仿宋" w:hint="eastAsia"/>
            <w:lang w:eastAsia="zh-CN"/>
          </w:rPr>
          <w:t>(一)、生物农药及微生物农药项目概况</w:t>
        </w:r>
        <w:r>
          <w:tab/>
        </w:r>
        <w:r>
          <w:fldChar w:fldCharType="begin"/>
        </w:r>
        <w:r>
          <w:instrText xml:space="preserve"> PAGEREF _Toc5122 \h </w:instrText>
        </w:r>
        <w:r>
          <w:fldChar w:fldCharType="separate"/>
        </w:r>
        <w:r>
          <w:t>12</w:t>
        </w:r>
        <w:r>
          <w:fldChar w:fldCharType="end"/>
        </w:r>
      </w:hyperlink>
    </w:p>
    <w:p>
      <w:pPr>
        <w:pStyle w:val="TOC2"/>
        <w:tabs>
          <w:tab w:val="right" w:leader="dot" w:pos="8306"/>
        </w:tabs>
      </w:pPr>
      <w:hyperlink w:anchor="_Toc7511" w:history="1">
        <w:r>
          <w:rPr>
            <w:rFonts w:ascii="仿宋" w:eastAsia="仿宋" w:hAnsi="仿宋" w:cs="仿宋" w:hint="eastAsia"/>
            <w:lang w:eastAsia="zh-CN"/>
          </w:rPr>
          <w:t>(二)、生物农药及微生物农药项目目标</w:t>
        </w:r>
        <w:r>
          <w:tab/>
        </w:r>
        <w:r>
          <w:fldChar w:fldCharType="begin"/>
        </w:r>
        <w:r>
          <w:instrText xml:space="preserve"> PAGEREF _Toc7511 \h </w:instrText>
        </w:r>
        <w:r>
          <w:fldChar w:fldCharType="separate"/>
        </w:r>
        <w:r>
          <w:t>15</w:t>
        </w:r>
        <w:r>
          <w:fldChar w:fldCharType="end"/>
        </w:r>
      </w:hyperlink>
    </w:p>
    <w:p>
      <w:pPr>
        <w:pStyle w:val="TOC2"/>
        <w:tabs>
          <w:tab w:val="right" w:leader="dot" w:pos="8306"/>
        </w:tabs>
      </w:pPr>
      <w:hyperlink w:anchor="_Toc9580" w:history="1">
        <w:r>
          <w:rPr>
            <w:rFonts w:ascii="仿宋" w:eastAsia="仿宋" w:hAnsi="仿宋" w:cs="仿宋" w:hint="eastAsia"/>
            <w:lang w:eastAsia="zh-CN"/>
          </w:rPr>
          <w:t>(三)、生物农药及微生物农药项目提出的理由</w:t>
        </w:r>
        <w:r>
          <w:tab/>
        </w:r>
        <w:r>
          <w:fldChar w:fldCharType="begin"/>
        </w:r>
        <w:r>
          <w:instrText xml:space="preserve"> PAGEREF _Toc9580 \h </w:instrText>
        </w:r>
        <w:r>
          <w:fldChar w:fldCharType="separate"/>
        </w:r>
        <w:r>
          <w:t>16</w:t>
        </w:r>
        <w:r>
          <w:fldChar w:fldCharType="end"/>
        </w:r>
      </w:hyperlink>
    </w:p>
    <w:p>
      <w:pPr>
        <w:pStyle w:val="TOC2"/>
        <w:tabs>
          <w:tab w:val="right" w:leader="dot" w:pos="8306"/>
        </w:tabs>
      </w:pPr>
      <w:hyperlink w:anchor="_Toc24870" w:history="1">
        <w:r>
          <w:rPr>
            <w:rFonts w:ascii="仿宋" w:eastAsia="仿宋" w:hAnsi="仿宋" w:cs="仿宋" w:hint="eastAsia"/>
            <w:lang w:eastAsia="zh-CN"/>
          </w:rPr>
          <w:t>(四)、生物农药及微生物农药项目意义</w:t>
        </w:r>
        <w:r>
          <w:tab/>
        </w:r>
        <w:r>
          <w:fldChar w:fldCharType="begin"/>
        </w:r>
        <w:r>
          <w:instrText xml:space="preserve"> PAGEREF _Toc24870 \h </w:instrText>
        </w:r>
        <w:r>
          <w:fldChar w:fldCharType="separate"/>
        </w:r>
        <w:r>
          <w:t>17</w:t>
        </w:r>
        <w:r>
          <w:fldChar w:fldCharType="end"/>
        </w:r>
      </w:hyperlink>
    </w:p>
    <w:p>
      <w:pPr>
        <w:pStyle w:val="TOC2"/>
        <w:tabs>
          <w:tab w:val="right" w:leader="dot" w:pos="8306"/>
        </w:tabs>
      </w:pPr>
      <w:hyperlink w:anchor="_Toc12669" w:history="1">
        <w:r>
          <w:rPr>
            <w:rFonts w:ascii="仿宋" w:eastAsia="仿宋" w:hAnsi="仿宋" w:cs="仿宋" w:hint="eastAsia"/>
            <w:lang w:eastAsia="zh-CN"/>
          </w:rPr>
          <w:t>(五)、生物农药及微生物农药项目背景</w:t>
        </w:r>
        <w:r>
          <w:tab/>
        </w:r>
        <w:r>
          <w:fldChar w:fldCharType="begin"/>
        </w:r>
        <w:r>
          <w:instrText xml:space="preserve"> PAGEREF _Toc12669 \h </w:instrText>
        </w:r>
        <w:r>
          <w:fldChar w:fldCharType="separate"/>
        </w:r>
        <w:r>
          <w:t>18</w:t>
        </w:r>
        <w:r>
          <w:fldChar w:fldCharType="end"/>
        </w:r>
      </w:hyperlink>
    </w:p>
    <w:p>
      <w:pPr>
        <w:pStyle w:val="TOC1"/>
        <w:tabs>
          <w:tab w:val="right" w:leader="dot" w:pos="8306"/>
        </w:tabs>
      </w:pPr>
      <w:hyperlink w:anchor="_Toc30617" w:history="1">
        <w:r>
          <w:rPr>
            <w:rFonts w:ascii="仿宋" w:eastAsia="仿宋" w:hAnsi="仿宋" w:cs="仿宋" w:hint="eastAsia"/>
            <w:lang w:eastAsia="zh-CN"/>
          </w:rPr>
          <w:t>四、生物农药及微生物农药项目建设单位说明</w:t>
        </w:r>
        <w:r>
          <w:tab/>
        </w:r>
        <w:r>
          <w:fldChar w:fldCharType="begin"/>
        </w:r>
        <w:r>
          <w:instrText xml:space="preserve"> PAGEREF _Toc30617 \h </w:instrText>
        </w:r>
        <w:r>
          <w:fldChar w:fldCharType="separate"/>
        </w:r>
        <w:r>
          <w:t>19</w:t>
        </w:r>
        <w:r>
          <w:fldChar w:fldCharType="end"/>
        </w:r>
      </w:hyperlink>
    </w:p>
    <w:p>
      <w:pPr>
        <w:pStyle w:val="TOC2"/>
        <w:tabs>
          <w:tab w:val="right" w:leader="dot" w:pos="8306"/>
        </w:tabs>
      </w:pPr>
      <w:hyperlink w:anchor="_Toc31437" w:history="1">
        <w:r>
          <w:rPr>
            <w:rFonts w:ascii="仿宋" w:eastAsia="仿宋" w:hAnsi="仿宋" w:cs="仿宋" w:hint="eastAsia"/>
            <w:lang w:eastAsia="zh-CN"/>
          </w:rPr>
          <w:t>(一)、生物农药及微生物农药项目承办单位基本情况</w:t>
        </w:r>
        <w:r>
          <w:tab/>
        </w:r>
        <w:r>
          <w:fldChar w:fldCharType="begin"/>
        </w:r>
        <w:r>
          <w:instrText xml:space="preserve"> PAGEREF _Toc31437 \h </w:instrText>
        </w:r>
        <w:r>
          <w:fldChar w:fldCharType="separate"/>
        </w:r>
        <w:r>
          <w:t>19</w:t>
        </w:r>
        <w:r>
          <w:fldChar w:fldCharType="end"/>
        </w:r>
      </w:hyperlink>
    </w:p>
    <w:p>
      <w:pPr>
        <w:pStyle w:val="TOC2"/>
        <w:tabs>
          <w:tab w:val="right" w:leader="dot" w:pos="8306"/>
        </w:tabs>
      </w:pPr>
      <w:hyperlink w:anchor="_Toc16325" w:history="1">
        <w:r>
          <w:rPr>
            <w:rFonts w:ascii="仿宋" w:eastAsia="仿宋" w:hAnsi="仿宋" w:cs="仿宋" w:hint="eastAsia"/>
            <w:lang w:eastAsia="zh-CN"/>
          </w:rPr>
          <w:t>(二)、公司经济效益分析</w:t>
        </w:r>
        <w:r>
          <w:tab/>
        </w:r>
        <w:r>
          <w:fldChar w:fldCharType="begin"/>
        </w:r>
        <w:r>
          <w:instrText xml:space="preserve"> PAGEREF _Toc16325 \h </w:instrText>
        </w:r>
        <w:r>
          <w:fldChar w:fldCharType="separate"/>
        </w:r>
        <w:r>
          <w:t>20</w:t>
        </w:r>
        <w:r>
          <w:fldChar w:fldCharType="end"/>
        </w:r>
      </w:hyperlink>
    </w:p>
    <w:p>
      <w:pPr>
        <w:pStyle w:val="TOC1"/>
        <w:tabs>
          <w:tab w:val="right" w:leader="dot" w:pos="8306"/>
        </w:tabs>
      </w:pPr>
      <w:hyperlink w:anchor="_Toc22424" w:history="1">
        <w:r>
          <w:rPr>
            <w:rFonts w:ascii="仿宋" w:eastAsia="仿宋" w:hAnsi="仿宋" w:cs="仿宋" w:hint="eastAsia"/>
            <w:lang w:eastAsia="zh-CN"/>
          </w:rPr>
          <w:t>五、生物农药及微生物农药项目可持续发展</w:t>
        </w:r>
        <w:r>
          <w:tab/>
        </w:r>
        <w:r>
          <w:fldChar w:fldCharType="begin"/>
        </w:r>
        <w:r>
          <w:instrText xml:space="preserve"> PAGEREF _Toc22424 \h </w:instrText>
        </w:r>
        <w:r>
          <w:fldChar w:fldCharType="separate"/>
        </w:r>
        <w:r>
          <w:t>21</w:t>
        </w:r>
        <w:r>
          <w:fldChar w:fldCharType="end"/>
        </w:r>
      </w:hyperlink>
    </w:p>
    <w:p>
      <w:pPr>
        <w:pStyle w:val="TOC2"/>
        <w:tabs>
          <w:tab w:val="right" w:leader="dot" w:pos="8306"/>
        </w:tabs>
      </w:pPr>
      <w:hyperlink w:anchor="_Toc9375" w:history="1">
        <w:r>
          <w:rPr>
            <w:rFonts w:ascii="仿宋" w:eastAsia="仿宋" w:hAnsi="仿宋" w:cs="仿宋" w:hint="eastAsia"/>
            <w:lang w:eastAsia="zh-CN"/>
          </w:rPr>
          <w:t>(一)、可持续战略与实践</w:t>
        </w:r>
        <w:r>
          <w:tab/>
        </w:r>
        <w:r>
          <w:fldChar w:fldCharType="begin"/>
        </w:r>
        <w:r>
          <w:instrText xml:space="preserve"> PAGEREF _Toc9375 \h </w:instrText>
        </w:r>
        <w:r>
          <w:fldChar w:fldCharType="separate"/>
        </w:r>
        <w:r>
          <w:t>21</w:t>
        </w:r>
        <w:r>
          <w:fldChar w:fldCharType="end"/>
        </w:r>
      </w:hyperlink>
    </w:p>
    <w:p>
      <w:pPr>
        <w:pStyle w:val="TOC2"/>
        <w:tabs>
          <w:tab w:val="right" w:leader="dot" w:pos="8306"/>
        </w:tabs>
      </w:pPr>
      <w:hyperlink w:anchor="_Toc26104" w:history="1">
        <w:r>
          <w:rPr>
            <w:rFonts w:ascii="仿宋" w:eastAsia="仿宋" w:hAnsi="仿宋" w:cs="仿宋" w:hint="eastAsia"/>
            <w:lang w:eastAsia="zh-CN"/>
          </w:rPr>
          <w:t>(二)、环保与社会责任</w:t>
        </w:r>
        <w:r>
          <w:tab/>
        </w:r>
        <w:r>
          <w:fldChar w:fldCharType="begin"/>
        </w:r>
        <w:r>
          <w:instrText xml:space="preserve"> PAGEREF _Toc26104 \h </w:instrText>
        </w:r>
        <w:r>
          <w:fldChar w:fldCharType="separate"/>
        </w:r>
        <w:r>
          <w:t>22</w:t>
        </w:r>
        <w:r>
          <w:fldChar w:fldCharType="end"/>
        </w:r>
      </w:hyperlink>
    </w:p>
    <w:p>
      <w:pPr>
        <w:pStyle w:val="TOC1"/>
        <w:tabs>
          <w:tab w:val="right" w:leader="dot" w:pos="8306"/>
        </w:tabs>
      </w:pPr>
      <w:hyperlink w:anchor="_Toc14034" w:history="1">
        <w:r>
          <w:rPr>
            <w:rFonts w:ascii="仿宋" w:eastAsia="仿宋" w:hAnsi="仿宋" w:cs="仿宋" w:hint="eastAsia"/>
            <w:lang w:eastAsia="zh-CN"/>
          </w:rPr>
          <w:t>六、市场分析、调研</w:t>
        </w:r>
        <w:r>
          <w:tab/>
        </w:r>
        <w:r>
          <w:fldChar w:fldCharType="begin"/>
        </w:r>
        <w:r>
          <w:instrText xml:space="preserve"> PAGEREF _Toc14034 \h </w:instrText>
        </w:r>
        <w:r>
          <w:fldChar w:fldCharType="separate"/>
        </w:r>
        <w:r>
          <w:t>23</w:t>
        </w:r>
        <w:r>
          <w:fldChar w:fldCharType="end"/>
        </w:r>
      </w:hyperlink>
    </w:p>
    <w:p>
      <w:pPr>
        <w:pStyle w:val="TOC2"/>
        <w:tabs>
          <w:tab w:val="right" w:leader="dot" w:pos="8306"/>
        </w:tabs>
      </w:pPr>
      <w:hyperlink w:anchor="_Toc6912" w:history="1">
        <w:r>
          <w:rPr>
            <w:rFonts w:ascii="仿宋" w:eastAsia="仿宋" w:hAnsi="仿宋" w:cs="仿宋" w:hint="eastAsia"/>
            <w:lang w:eastAsia="zh-CN"/>
          </w:rPr>
          <w:t>(一)、生物农药及微生物农药行业分析</w:t>
        </w:r>
        <w:r>
          <w:tab/>
        </w:r>
        <w:r>
          <w:fldChar w:fldCharType="begin"/>
        </w:r>
        <w:r>
          <w:instrText xml:space="preserve"> PAGEREF _Toc6912 \h </w:instrText>
        </w:r>
        <w:r>
          <w:fldChar w:fldCharType="separate"/>
        </w:r>
        <w:r>
          <w:t>23</w:t>
        </w:r>
        <w:r>
          <w:fldChar w:fldCharType="end"/>
        </w:r>
      </w:hyperlink>
    </w:p>
    <w:p>
      <w:pPr>
        <w:pStyle w:val="TOC2"/>
        <w:tabs>
          <w:tab w:val="right" w:leader="dot" w:pos="8306"/>
        </w:tabs>
      </w:pPr>
      <w:hyperlink w:anchor="_Toc27123" w:history="1">
        <w:r>
          <w:rPr>
            <w:rFonts w:ascii="仿宋" w:eastAsia="仿宋" w:hAnsi="仿宋" w:cs="仿宋" w:hint="eastAsia"/>
            <w:lang w:eastAsia="zh-CN"/>
          </w:rPr>
          <w:t>(二)、生物农药及微生物农药市场分析预测</w:t>
        </w:r>
        <w:r>
          <w:tab/>
        </w:r>
        <w:r>
          <w:fldChar w:fldCharType="begin"/>
        </w:r>
        <w:r>
          <w:instrText xml:space="preserve"> PAGEREF _Toc27123 \h </w:instrText>
        </w:r>
        <w:r>
          <w:fldChar w:fldCharType="separate"/>
        </w:r>
        <w:r>
          <w:t>24</w:t>
        </w:r>
        <w:r>
          <w:fldChar w:fldCharType="end"/>
        </w:r>
      </w:hyperlink>
    </w:p>
    <w:p>
      <w:pPr>
        <w:pStyle w:val="TOC1"/>
        <w:tabs>
          <w:tab w:val="right" w:leader="dot" w:pos="8306"/>
        </w:tabs>
      </w:pPr>
      <w:hyperlink w:anchor="_Toc19350" w:history="1">
        <w:r>
          <w:rPr>
            <w:rFonts w:ascii="仿宋" w:eastAsia="仿宋" w:hAnsi="仿宋" w:cs="仿宋" w:hint="eastAsia"/>
            <w:lang w:eastAsia="zh-CN"/>
          </w:rPr>
          <w:t>七、生物农药及微生物农药项目投资规划</w:t>
        </w:r>
        <w:r>
          <w:tab/>
        </w:r>
        <w:r>
          <w:fldChar w:fldCharType="begin"/>
        </w:r>
        <w:r>
          <w:instrText xml:space="preserve"> PAGEREF _Toc19350 \h </w:instrText>
        </w:r>
        <w:r>
          <w:fldChar w:fldCharType="separate"/>
        </w:r>
        <w:r>
          <w:t>24</w:t>
        </w:r>
        <w:r>
          <w:fldChar w:fldCharType="end"/>
        </w:r>
      </w:hyperlink>
    </w:p>
    <w:p>
      <w:pPr>
        <w:pStyle w:val="TOC2"/>
        <w:tabs>
          <w:tab w:val="right" w:leader="dot" w:pos="8306"/>
        </w:tabs>
      </w:pPr>
      <w:hyperlink w:anchor="_Toc14437" w:history="1">
        <w:r>
          <w:rPr>
            <w:rFonts w:ascii="仿宋" w:eastAsia="仿宋" w:hAnsi="仿宋" w:cs="仿宋" w:hint="eastAsia"/>
            <w:lang w:eastAsia="zh-CN"/>
          </w:rPr>
          <w:t>(一)、生物农药及微生物农药项目总投资估算</w:t>
        </w:r>
        <w:r>
          <w:tab/>
        </w:r>
        <w:r>
          <w:fldChar w:fldCharType="begin"/>
        </w:r>
        <w:r>
          <w:instrText xml:space="preserve"> PAGEREF _Toc14437 \h </w:instrText>
        </w:r>
        <w:r>
          <w:fldChar w:fldCharType="separate"/>
        </w:r>
        <w:r>
          <w:t>24</w:t>
        </w:r>
        <w:r>
          <w:fldChar w:fldCharType="end"/>
        </w:r>
      </w:hyperlink>
    </w:p>
    <w:p>
      <w:pPr>
        <w:pStyle w:val="TOC2"/>
        <w:tabs>
          <w:tab w:val="right" w:leader="dot" w:pos="8306"/>
        </w:tabs>
      </w:pPr>
      <w:hyperlink w:anchor="_Toc1347" w:history="1">
        <w:r>
          <w:rPr>
            <w:rFonts w:ascii="仿宋" w:eastAsia="仿宋" w:hAnsi="仿宋" w:cs="仿宋" w:hint="eastAsia"/>
            <w:lang w:eastAsia="zh-CN"/>
          </w:rPr>
          <w:t>(二)、资金筹措</w:t>
        </w:r>
        <w:r>
          <w:tab/>
        </w:r>
        <w:r>
          <w:fldChar w:fldCharType="begin"/>
        </w:r>
        <w:r>
          <w:instrText xml:space="preserve"> PAGEREF _Toc1347 \h </w:instrText>
        </w:r>
        <w:r>
          <w:fldChar w:fldCharType="separate"/>
        </w:r>
        <w:r>
          <w:t>26</w:t>
        </w:r>
        <w:r>
          <w:fldChar w:fldCharType="end"/>
        </w:r>
      </w:hyperlink>
    </w:p>
    <w:p>
      <w:pPr>
        <w:pStyle w:val="TOC1"/>
        <w:tabs>
          <w:tab w:val="right" w:leader="dot" w:pos="8306"/>
        </w:tabs>
      </w:pPr>
      <w:hyperlink w:anchor="_Toc19323" w:history="1">
        <w:r>
          <w:rPr>
            <w:rFonts w:ascii="仿宋" w:eastAsia="仿宋" w:hAnsi="仿宋" w:cs="仿宋" w:hint="eastAsia"/>
            <w:lang w:eastAsia="zh-CN"/>
          </w:rPr>
          <w:t>八、生产安全保护</w:t>
        </w:r>
        <w:r>
          <w:tab/>
        </w:r>
        <w:r>
          <w:fldChar w:fldCharType="begin"/>
        </w:r>
        <w:r>
          <w:instrText xml:space="preserve"> PAGEREF _Toc19323 \h </w:instrText>
        </w:r>
        <w:r>
          <w:fldChar w:fldCharType="separate"/>
        </w:r>
        <w:r>
          <w:t>27</w:t>
        </w:r>
        <w:r>
          <w:fldChar w:fldCharType="end"/>
        </w:r>
      </w:hyperlink>
    </w:p>
    <w:p>
      <w:pPr>
        <w:pStyle w:val="TOC2"/>
        <w:tabs>
          <w:tab w:val="right" w:leader="dot" w:pos="8306"/>
        </w:tabs>
      </w:pPr>
      <w:hyperlink w:anchor="_Toc32333" w:history="1">
        <w:r>
          <w:rPr>
            <w:rFonts w:ascii="仿宋" w:eastAsia="仿宋" w:hAnsi="仿宋" w:cs="仿宋" w:hint="eastAsia"/>
            <w:lang w:eastAsia="zh-CN"/>
          </w:rPr>
          <w:t>(一)、消防安全</w:t>
        </w:r>
        <w:r>
          <w:tab/>
        </w:r>
        <w:r>
          <w:fldChar w:fldCharType="begin"/>
        </w:r>
        <w:r>
          <w:instrText xml:space="preserve"> PAGEREF _Toc32333 \h </w:instrText>
        </w:r>
        <w:r>
          <w:fldChar w:fldCharType="separate"/>
        </w:r>
        <w:r>
          <w:t>27</w:t>
        </w:r>
        <w:r>
          <w:fldChar w:fldCharType="end"/>
        </w:r>
      </w:hyperlink>
    </w:p>
    <w:p>
      <w:pPr>
        <w:pStyle w:val="TOC2"/>
        <w:tabs>
          <w:tab w:val="right" w:leader="dot" w:pos="8306"/>
        </w:tabs>
      </w:pPr>
      <w:hyperlink w:anchor="_Toc29082" w:history="1">
        <w:r>
          <w:rPr>
            <w:rFonts w:ascii="仿宋" w:eastAsia="仿宋" w:hAnsi="仿宋" w:cs="仿宋" w:hint="eastAsia"/>
            <w:lang w:eastAsia="zh-CN"/>
          </w:rPr>
          <w:t>(二)、防火防爆总图布置措施</w:t>
        </w:r>
        <w:r>
          <w:tab/>
        </w:r>
        <w:r>
          <w:fldChar w:fldCharType="begin"/>
        </w:r>
        <w:r>
          <w:instrText xml:space="preserve"> PAGEREF _Toc29082 \h </w:instrText>
        </w:r>
        <w:r>
          <w:fldChar w:fldCharType="separate"/>
        </w:r>
        <w:r>
          <w:t>28</w:t>
        </w:r>
        <w:r>
          <w:fldChar w:fldCharType="end"/>
        </w:r>
      </w:hyperlink>
    </w:p>
    <w:p>
      <w:pPr>
        <w:pStyle w:val="TOC2"/>
        <w:tabs>
          <w:tab w:val="right" w:leader="dot" w:pos="8306"/>
        </w:tabs>
      </w:pPr>
      <w:hyperlink w:anchor="_Toc24536" w:history="1">
        <w:r>
          <w:rPr>
            <w:rFonts w:ascii="仿宋" w:eastAsia="仿宋" w:hAnsi="仿宋" w:cs="仿宋" w:hint="eastAsia"/>
            <w:lang w:eastAsia="zh-CN"/>
          </w:rPr>
          <w:t>(三)、自然灾害防范措施</w:t>
        </w:r>
        <w:r>
          <w:tab/>
        </w:r>
        <w:r>
          <w:fldChar w:fldCharType="begin"/>
        </w:r>
        <w:r>
          <w:instrText xml:space="preserve"> PAGEREF _Toc24536 \h </w:instrText>
        </w:r>
        <w:r>
          <w:fldChar w:fldCharType="separate"/>
        </w:r>
        <w:r>
          <w:t>29</w:t>
        </w:r>
        <w:r>
          <w:fldChar w:fldCharType="end"/>
        </w:r>
      </w:hyperlink>
    </w:p>
    <w:p>
      <w:pPr>
        <w:pStyle w:val="TOC2"/>
        <w:tabs>
          <w:tab w:val="right" w:leader="dot" w:pos="8306"/>
        </w:tabs>
      </w:pPr>
      <w:hyperlink w:anchor="_Toc14946" w:history="1">
        <w:r>
          <w:rPr>
            <w:rFonts w:ascii="仿宋" w:eastAsia="仿宋" w:hAnsi="仿宋" w:cs="仿宋" w:hint="eastAsia"/>
            <w:lang w:eastAsia="zh-CN"/>
          </w:rPr>
          <w:t>(四)、安全色及安全标志使用要求</w:t>
        </w:r>
        <w:r>
          <w:tab/>
        </w:r>
        <w:r>
          <w:fldChar w:fldCharType="begin"/>
        </w:r>
        <w:r>
          <w:instrText xml:space="preserve"> PAGEREF _Toc14946 \h </w:instrText>
        </w:r>
        <w:r>
          <w:fldChar w:fldCharType="separate"/>
        </w:r>
        <w:r>
          <w:t>30</w:t>
        </w:r>
        <w:r>
          <w:fldChar w:fldCharType="end"/>
        </w:r>
      </w:hyperlink>
    </w:p>
    <w:p>
      <w:pPr>
        <w:pStyle w:val="TOC2"/>
        <w:tabs>
          <w:tab w:val="right" w:leader="dot" w:pos="8306"/>
        </w:tabs>
      </w:pPr>
      <w:hyperlink w:anchor="_Toc484" w:history="1">
        <w:r>
          <w:rPr>
            <w:rFonts w:ascii="仿宋" w:eastAsia="仿宋" w:hAnsi="仿宋" w:cs="仿宋" w:hint="eastAsia"/>
            <w:lang w:eastAsia="zh-CN"/>
          </w:rPr>
          <w:t>(五)、防尘防毒措施</w:t>
        </w:r>
        <w:r>
          <w:tab/>
        </w:r>
        <w:r>
          <w:fldChar w:fldCharType="begin"/>
        </w:r>
        <w:r>
          <w:instrText xml:space="preserve"> PAGEREF _Toc484 \h </w:instrText>
        </w:r>
        <w:r>
          <w:fldChar w:fldCharType="separate"/>
        </w:r>
        <w:r>
          <w:t>31</w:t>
        </w:r>
        <w:r>
          <w:fldChar w:fldCharType="end"/>
        </w:r>
      </w:hyperlink>
    </w:p>
    <w:p>
      <w:pPr>
        <w:pStyle w:val="TOC2"/>
        <w:tabs>
          <w:tab w:val="right" w:leader="dot" w:pos="8306"/>
        </w:tabs>
      </w:pPr>
      <w:hyperlink w:anchor="_Toc4395" w:history="1">
        <w:r>
          <w:rPr>
            <w:rFonts w:ascii="仿宋" w:eastAsia="仿宋" w:hAnsi="仿宋" w:cs="仿宋" w:hint="eastAsia"/>
            <w:lang w:eastAsia="zh-CN"/>
          </w:rPr>
          <w:t>(六)、防静电、触电防护及防雷措施</w:t>
        </w:r>
        <w:r>
          <w:tab/>
        </w:r>
        <w:r>
          <w:fldChar w:fldCharType="begin"/>
        </w:r>
        <w:r>
          <w:instrText xml:space="preserve"> PAGEREF _Toc4395 \h </w:instrText>
        </w:r>
        <w:r>
          <w:fldChar w:fldCharType="separate"/>
        </w:r>
        <w:r>
          <w:t>32</w:t>
        </w:r>
        <w:r>
          <w:fldChar w:fldCharType="end"/>
        </w:r>
      </w:hyperlink>
    </w:p>
    <w:p>
      <w:pPr>
        <w:pStyle w:val="TOC2"/>
        <w:tabs>
          <w:tab w:val="right" w:leader="dot" w:pos="8306"/>
        </w:tabs>
      </w:pPr>
      <w:hyperlink w:anchor="_Toc12384" w:history="1">
        <w:r>
          <w:rPr>
            <w:rFonts w:ascii="仿宋" w:eastAsia="仿宋" w:hAnsi="仿宋" w:cs="仿宋" w:hint="eastAsia"/>
            <w:lang w:eastAsia="zh-CN"/>
          </w:rPr>
          <w:t>(七)、机械设备安全保障措施</w:t>
        </w:r>
        <w:r>
          <w:tab/>
        </w:r>
        <w:r>
          <w:fldChar w:fldCharType="begin"/>
        </w:r>
        <w:r>
          <w:instrText xml:space="preserve"> PAGEREF _Toc12384 \h </w:instrText>
        </w:r>
        <w:r>
          <w:fldChar w:fldCharType="separate"/>
        </w:r>
        <w:r>
          <w:t>34</w:t>
        </w:r>
        <w:r>
          <w:fldChar w:fldCharType="end"/>
        </w:r>
      </w:hyperlink>
    </w:p>
    <w:p>
      <w:pPr>
        <w:pStyle w:val="TOC1"/>
        <w:tabs>
          <w:tab w:val="right" w:leader="dot" w:pos="8306"/>
        </w:tabs>
      </w:pPr>
      <w:hyperlink w:anchor="_Toc12374" w:history="1">
        <w:r>
          <w:rPr>
            <w:rFonts w:ascii="仿宋" w:eastAsia="仿宋" w:hAnsi="仿宋" w:cs="仿宋" w:hint="eastAsia"/>
            <w:lang w:eastAsia="zh-CN"/>
          </w:rPr>
          <w:t>九、生物农药及微生物农药项目环境影响分析</w:t>
        </w:r>
        <w:r>
          <w:tab/>
        </w:r>
        <w:r>
          <w:fldChar w:fldCharType="begin"/>
        </w:r>
        <w:r>
          <w:instrText xml:space="preserve"> PAGEREF _Toc12374 \h </w:instrText>
        </w:r>
        <w:r>
          <w:fldChar w:fldCharType="separate"/>
        </w:r>
        <w:r>
          <w:t>35</w:t>
        </w:r>
        <w:r>
          <w:fldChar w:fldCharType="end"/>
        </w:r>
      </w:hyperlink>
    </w:p>
    <w:p>
      <w:pPr>
        <w:pStyle w:val="TOC2"/>
        <w:tabs>
          <w:tab w:val="right" w:leader="dot" w:pos="8306"/>
        </w:tabs>
      </w:pPr>
      <w:hyperlink w:anchor="_Toc2472" w:history="1">
        <w:r>
          <w:rPr>
            <w:rFonts w:ascii="仿宋" w:eastAsia="仿宋" w:hAnsi="仿宋" w:cs="仿宋" w:hint="eastAsia"/>
            <w:lang w:eastAsia="zh-CN"/>
          </w:rPr>
          <w:t>(一)、建设区域环境质量现状</w:t>
        </w:r>
        <w:r>
          <w:tab/>
        </w:r>
        <w:r>
          <w:fldChar w:fldCharType="begin"/>
        </w:r>
        <w:r>
          <w:instrText xml:space="preserve"> PAGEREF _Toc2472 \h </w:instrText>
        </w:r>
        <w:r>
          <w:fldChar w:fldCharType="separate"/>
        </w:r>
        <w:r>
          <w:t>35</w:t>
        </w:r>
        <w:r>
          <w:fldChar w:fldCharType="end"/>
        </w:r>
      </w:hyperlink>
    </w:p>
    <w:p>
      <w:pPr>
        <w:pStyle w:val="TOC2"/>
        <w:tabs>
          <w:tab w:val="right" w:leader="dot" w:pos="8306"/>
        </w:tabs>
      </w:pPr>
      <w:hyperlink w:anchor="_Toc23620" w:history="1">
        <w:r>
          <w:rPr>
            <w:rFonts w:ascii="仿宋" w:eastAsia="仿宋" w:hAnsi="仿宋" w:cs="仿宋" w:hint="eastAsia"/>
            <w:lang w:eastAsia="zh-CN"/>
          </w:rPr>
          <w:t>(二)、建设期环境保护</w:t>
        </w:r>
        <w:r>
          <w:tab/>
        </w:r>
        <w:r>
          <w:fldChar w:fldCharType="begin"/>
        </w:r>
        <w:r>
          <w:instrText xml:space="preserve"> PAGEREF _Toc23620 \h </w:instrText>
        </w:r>
        <w:r>
          <w:fldChar w:fldCharType="separate"/>
        </w:r>
        <w:r>
          <w:t>37</w:t>
        </w:r>
        <w:r>
          <w:fldChar w:fldCharType="end"/>
        </w:r>
      </w:hyperlink>
    </w:p>
    <w:p>
      <w:pPr>
        <w:pStyle w:val="TOC2"/>
        <w:tabs>
          <w:tab w:val="right" w:leader="dot" w:pos="8306"/>
        </w:tabs>
      </w:pPr>
      <w:hyperlink w:anchor="_Toc18987" w:history="1">
        <w:r>
          <w:rPr>
            <w:rFonts w:ascii="仿宋" w:eastAsia="仿宋" w:hAnsi="仿宋" w:cs="仿宋" w:hint="eastAsia"/>
            <w:lang w:eastAsia="zh-CN"/>
          </w:rPr>
          <w:t>(三)、运营期环境保护</w:t>
        </w:r>
        <w:r>
          <w:tab/>
        </w:r>
        <w:r>
          <w:fldChar w:fldCharType="begin"/>
        </w:r>
        <w:r>
          <w:instrText xml:space="preserve"> PAGEREF _Toc18987 \h </w:instrText>
        </w:r>
        <w:r>
          <w:fldChar w:fldCharType="separate"/>
        </w:r>
        <w:r>
          <w:t>38</w:t>
        </w:r>
        <w:r>
          <w:fldChar w:fldCharType="end"/>
        </w:r>
      </w:hyperlink>
    </w:p>
    <w:p>
      <w:pPr>
        <w:pStyle w:val="TOC2"/>
        <w:tabs>
          <w:tab w:val="right" w:leader="dot" w:pos="8306"/>
        </w:tabs>
      </w:pPr>
      <w:hyperlink w:anchor="_Toc2804" w:history="1">
        <w:r>
          <w:rPr>
            <w:rFonts w:ascii="仿宋" w:eastAsia="仿宋" w:hAnsi="仿宋" w:cs="仿宋" w:hint="eastAsia"/>
            <w:lang w:eastAsia="zh-CN"/>
          </w:rPr>
          <w:t>(四)、生物农药及微生物农药项目建设对区域经济的影响</w:t>
        </w:r>
        <w:r>
          <w:tab/>
        </w:r>
        <w:r>
          <w:fldChar w:fldCharType="begin"/>
        </w:r>
        <w:r>
          <w:instrText xml:space="preserve"> PAGEREF _Toc2804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38" w:history="1">
        <w:r>
          <w:rPr>
            <w:rFonts w:ascii="仿宋" w:eastAsia="仿宋" w:hAnsi="仿宋" w:cs="仿宋" w:hint="eastAsia"/>
            <w:lang w:eastAsia="zh-CN"/>
          </w:rPr>
          <w:t>(五)、废弃物处理</w:t>
        </w:r>
        <w:r>
          <w:tab/>
        </w:r>
        <w:r>
          <w:fldChar w:fldCharType="begin"/>
        </w:r>
        <w:r>
          <w:instrText xml:space="preserve"> PAGEREF _Toc13838 \h </w:instrText>
        </w:r>
        <w:r>
          <w:fldChar w:fldCharType="separate"/>
        </w:r>
        <w:r>
          <w:t>41</w:t>
        </w:r>
        <w:r>
          <w:fldChar w:fldCharType="end"/>
        </w:r>
      </w:hyperlink>
    </w:p>
    <w:p>
      <w:pPr>
        <w:pStyle w:val="TOC2"/>
        <w:tabs>
          <w:tab w:val="right" w:leader="dot" w:pos="8306"/>
        </w:tabs>
      </w:pPr>
      <w:hyperlink w:anchor="_Toc1426" w:history="1">
        <w:r>
          <w:rPr>
            <w:rFonts w:ascii="仿宋" w:eastAsia="仿宋" w:hAnsi="仿宋" w:cs="仿宋" w:hint="eastAsia"/>
            <w:lang w:eastAsia="zh-CN"/>
          </w:rPr>
          <w:t>(六)、特殊环境影响分析</w:t>
        </w:r>
        <w:r>
          <w:tab/>
        </w:r>
        <w:r>
          <w:fldChar w:fldCharType="begin"/>
        </w:r>
        <w:r>
          <w:instrText xml:space="preserve"> PAGEREF _Toc1426 \h </w:instrText>
        </w:r>
        <w:r>
          <w:fldChar w:fldCharType="separate"/>
        </w:r>
        <w:r>
          <w:t>43</w:t>
        </w:r>
        <w:r>
          <w:fldChar w:fldCharType="end"/>
        </w:r>
      </w:hyperlink>
    </w:p>
    <w:p>
      <w:pPr>
        <w:pStyle w:val="TOC2"/>
        <w:tabs>
          <w:tab w:val="right" w:leader="dot" w:pos="8306"/>
        </w:tabs>
      </w:pPr>
      <w:hyperlink w:anchor="_Toc6398" w:history="1">
        <w:r>
          <w:rPr>
            <w:rFonts w:ascii="仿宋" w:eastAsia="仿宋" w:hAnsi="仿宋" w:cs="仿宋" w:hint="eastAsia"/>
            <w:lang w:eastAsia="zh-CN"/>
          </w:rPr>
          <w:t>(七)、清洁生产</w:t>
        </w:r>
        <w:r>
          <w:tab/>
        </w:r>
        <w:r>
          <w:fldChar w:fldCharType="begin"/>
        </w:r>
        <w:r>
          <w:instrText xml:space="preserve"> PAGEREF _Toc6398 \h </w:instrText>
        </w:r>
        <w:r>
          <w:fldChar w:fldCharType="separate"/>
        </w:r>
        <w:r>
          <w:t>44</w:t>
        </w:r>
        <w:r>
          <w:fldChar w:fldCharType="end"/>
        </w:r>
      </w:hyperlink>
    </w:p>
    <w:p>
      <w:pPr>
        <w:pStyle w:val="TOC2"/>
        <w:tabs>
          <w:tab w:val="right" w:leader="dot" w:pos="8306"/>
        </w:tabs>
      </w:pPr>
      <w:hyperlink w:anchor="_Toc15232" w:history="1">
        <w:r>
          <w:rPr>
            <w:rFonts w:ascii="仿宋" w:eastAsia="仿宋" w:hAnsi="仿宋" w:cs="仿宋" w:hint="eastAsia"/>
            <w:lang w:eastAsia="zh-CN"/>
          </w:rPr>
          <w:t>(八)、环境保护综合评价</w:t>
        </w:r>
        <w:r>
          <w:tab/>
        </w:r>
        <w:r>
          <w:fldChar w:fldCharType="begin"/>
        </w:r>
        <w:r>
          <w:instrText xml:space="preserve"> PAGEREF _Toc15232 \h </w:instrText>
        </w:r>
        <w:r>
          <w:fldChar w:fldCharType="separate"/>
        </w:r>
        <w:r>
          <w:t>45</w:t>
        </w:r>
        <w:r>
          <w:fldChar w:fldCharType="end"/>
        </w:r>
      </w:hyperlink>
    </w:p>
    <w:p>
      <w:pPr>
        <w:pStyle w:val="TOC1"/>
        <w:tabs>
          <w:tab w:val="right" w:leader="dot" w:pos="8306"/>
        </w:tabs>
      </w:pPr>
      <w:hyperlink w:anchor="_Toc21913" w:history="1">
        <w:r>
          <w:rPr>
            <w:rFonts w:ascii="仿宋" w:eastAsia="仿宋" w:hAnsi="仿宋" w:cs="仿宋" w:hint="eastAsia"/>
            <w:lang w:eastAsia="zh-CN"/>
          </w:rPr>
          <w:t>十、生物农药及微生物农药项目创新与研发</w:t>
        </w:r>
        <w:r>
          <w:tab/>
        </w:r>
        <w:r>
          <w:fldChar w:fldCharType="begin"/>
        </w:r>
        <w:r>
          <w:instrText xml:space="preserve"> PAGEREF _Toc21913 \h </w:instrText>
        </w:r>
        <w:r>
          <w:fldChar w:fldCharType="separate"/>
        </w:r>
        <w:r>
          <w:t>47</w:t>
        </w:r>
        <w:r>
          <w:fldChar w:fldCharType="end"/>
        </w:r>
      </w:hyperlink>
    </w:p>
    <w:p>
      <w:pPr>
        <w:pStyle w:val="TOC2"/>
        <w:tabs>
          <w:tab w:val="right" w:leader="dot" w:pos="8306"/>
        </w:tabs>
      </w:pPr>
      <w:hyperlink w:anchor="_Toc31390" w:history="1">
        <w:r>
          <w:rPr>
            <w:rFonts w:ascii="仿宋" w:eastAsia="仿宋" w:hAnsi="仿宋" w:cs="仿宋" w:hint="eastAsia"/>
            <w:lang w:eastAsia="zh-CN"/>
          </w:rPr>
          <w:t>(一)、创新策略与方向</w:t>
        </w:r>
        <w:r>
          <w:tab/>
        </w:r>
        <w:r>
          <w:fldChar w:fldCharType="begin"/>
        </w:r>
        <w:r>
          <w:instrText xml:space="preserve"> PAGEREF _Toc31390 \h </w:instrText>
        </w:r>
        <w:r>
          <w:fldChar w:fldCharType="separate"/>
        </w:r>
        <w:r>
          <w:t>47</w:t>
        </w:r>
        <w:r>
          <w:fldChar w:fldCharType="end"/>
        </w:r>
      </w:hyperlink>
    </w:p>
    <w:p>
      <w:pPr>
        <w:pStyle w:val="TOC2"/>
        <w:tabs>
          <w:tab w:val="right" w:leader="dot" w:pos="8306"/>
        </w:tabs>
      </w:pPr>
      <w:hyperlink w:anchor="_Toc2323" w:history="1">
        <w:r>
          <w:rPr>
            <w:rFonts w:ascii="仿宋" w:eastAsia="仿宋" w:hAnsi="仿宋" w:cs="仿宋" w:hint="eastAsia"/>
            <w:lang w:eastAsia="zh-CN"/>
          </w:rPr>
          <w:t>(二)、研发规划与投入</w:t>
        </w:r>
        <w:r>
          <w:tab/>
        </w:r>
        <w:r>
          <w:fldChar w:fldCharType="begin"/>
        </w:r>
        <w:r>
          <w:instrText xml:space="preserve"> PAGEREF _Toc2323 \h </w:instrText>
        </w:r>
        <w:r>
          <w:fldChar w:fldCharType="separate"/>
        </w:r>
        <w:r>
          <w:t>48</w:t>
        </w:r>
        <w:r>
          <w:fldChar w:fldCharType="end"/>
        </w:r>
      </w:hyperlink>
    </w:p>
    <w:p>
      <w:pPr>
        <w:pStyle w:val="TOC1"/>
        <w:tabs>
          <w:tab w:val="right" w:leader="dot" w:pos="8306"/>
        </w:tabs>
      </w:pPr>
      <w:hyperlink w:anchor="_Toc7898" w:history="1">
        <w:r>
          <w:rPr>
            <w:rFonts w:ascii="仿宋" w:eastAsia="仿宋" w:hAnsi="仿宋" w:cs="仿宋" w:hint="eastAsia"/>
            <w:lang w:eastAsia="zh-CN"/>
          </w:rPr>
          <w:t>十一、生物农药及微生物农药项目财务管理</w:t>
        </w:r>
        <w:r>
          <w:tab/>
        </w:r>
        <w:r>
          <w:fldChar w:fldCharType="begin"/>
        </w:r>
        <w:r>
          <w:instrText xml:space="preserve"> PAGEREF _Toc7898 \h </w:instrText>
        </w:r>
        <w:r>
          <w:fldChar w:fldCharType="separate"/>
        </w:r>
        <w:r>
          <w:t>50</w:t>
        </w:r>
        <w:r>
          <w:fldChar w:fldCharType="end"/>
        </w:r>
      </w:hyperlink>
    </w:p>
    <w:p>
      <w:pPr>
        <w:pStyle w:val="TOC2"/>
        <w:tabs>
          <w:tab w:val="right" w:leader="dot" w:pos="8306"/>
        </w:tabs>
      </w:pPr>
      <w:hyperlink w:anchor="_Toc11518" w:history="1">
        <w:r>
          <w:rPr>
            <w:rFonts w:ascii="仿宋" w:eastAsia="仿宋" w:hAnsi="仿宋" w:cs="仿宋" w:hint="eastAsia"/>
            <w:lang w:eastAsia="zh-CN"/>
          </w:rPr>
          <w:t>(一)、资金需求大</w:t>
        </w:r>
        <w:r>
          <w:tab/>
        </w:r>
        <w:r>
          <w:fldChar w:fldCharType="begin"/>
        </w:r>
        <w:r>
          <w:instrText xml:space="preserve"> PAGEREF _Toc11518 \h </w:instrText>
        </w:r>
        <w:r>
          <w:fldChar w:fldCharType="separate"/>
        </w:r>
        <w:r>
          <w:t>50</w:t>
        </w:r>
        <w:r>
          <w:fldChar w:fldCharType="end"/>
        </w:r>
      </w:hyperlink>
    </w:p>
    <w:p>
      <w:pPr>
        <w:pStyle w:val="TOC2"/>
        <w:tabs>
          <w:tab w:val="right" w:leader="dot" w:pos="8306"/>
        </w:tabs>
      </w:pPr>
      <w:hyperlink w:anchor="_Toc7001" w:history="1">
        <w:r>
          <w:rPr>
            <w:rFonts w:ascii="仿宋" w:eastAsia="仿宋" w:hAnsi="仿宋" w:cs="仿宋" w:hint="eastAsia"/>
            <w:lang w:eastAsia="zh-CN"/>
          </w:rPr>
          <w:t>(二)、研发周期长</w:t>
        </w:r>
        <w:r>
          <w:tab/>
        </w:r>
        <w:r>
          <w:fldChar w:fldCharType="begin"/>
        </w:r>
        <w:r>
          <w:instrText xml:space="preserve"> PAGEREF _Toc7001 \h </w:instrText>
        </w:r>
        <w:r>
          <w:fldChar w:fldCharType="separate"/>
        </w:r>
        <w:r>
          <w:t>51</w:t>
        </w:r>
        <w:r>
          <w:fldChar w:fldCharType="end"/>
        </w:r>
      </w:hyperlink>
    </w:p>
    <w:p>
      <w:pPr>
        <w:pStyle w:val="TOC2"/>
        <w:tabs>
          <w:tab w:val="right" w:leader="dot" w:pos="8306"/>
        </w:tabs>
      </w:pPr>
      <w:hyperlink w:anchor="_Toc12386" w:history="1">
        <w:r>
          <w:rPr>
            <w:rFonts w:ascii="仿宋" w:eastAsia="仿宋" w:hAnsi="仿宋" w:cs="仿宋" w:hint="eastAsia"/>
            <w:lang w:eastAsia="zh-CN"/>
          </w:rPr>
          <w:t>(三)、市场风险大</w:t>
        </w:r>
        <w:r>
          <w:tab/>
        </w:r>
        <w:r>
          <w:fldChar w:fldCharType="begin"/>
        </w:r>
        <w:r>
          <w:instrText xml:space="preserve"> PAGEREF _Toc12386 \h </w:instrText>
        </w:r>
        <w:r>
          <w:fldChar w:fldCharType="separate"/>
        </w:r>
        <w:r>
          <w:t>52</w:t>
        </w:r>
        <w:r>
          <w:fldChar w:fldCharType="end"/>
        </w:r>
      </w:hyperlink>
    </w:p>
    <w:p>
      <w:pPr>
        <w:pStyle w:val="TOC2"/>
        <w:tabs>
          <w:tab w:val="right" w:leader="dot" w:pos="8306"/>
        </w:tabs>
      </w:pPr>
      <w:hyperlink w:anchor="_Toc4525" w:history="1">
        <w:r>
          <w:rPr>
            <w:rFonts w:ascii="仿宋" w:eastAsia="仿宋" w:hAnsi="仿宋" w:cs="仿宋" w:hint="eastAsia"/>
            <w:lang w:eastAsia="zh-CN"/>
          </w:rPr>
          <w:t>(四)、利润率高</w:t>
        </w:r>
        <w:r>
          <w:tab/>
        </w:r>
        <w:r>
          <w:fldChar w:fldCharType="begin"/>
        </w:r>
        <w:r>
          <w:instrText xml:space="preserve"> PAGEREF _Toc4525 \h </w:instrText>
        </w:r>
        <w:r>
          <w:fldChar w:fldCharType="separate"/>
        </w:r>
        <w:r>
          <w:t>55</w:t>
        </w:r>
        <w:r>
          <w:fldChar w:fldCharType="end"/>
        </w:r>
      </w:hyperlink>
    </w:p>
    <w:p>
      <w:pPr>
        <w:pStyle w:val="TOC1"/>
        <w:tabs>
          <w:tab w:val="right" w:leader="dot" w:pos="8306"/>
        </w:tabs>
      </w:pPr>
      <w:hyperlink w:anchor="_Toc2695" w:history="1">
        <w:r>
          <w:rPr>
            <w:rFonts w:ascii="仿宋" w:eastAsia="仿宋" w:hAnsi="仿宋" w:cs="仿宋" w:hint="eastAsia"/>
            <w:lang w:eastAsia="zh-CN"/>
          </w:rPr>
          <w:t>十二、生物农药及微生物农药项目计划安排</w:t>
        </w:r>
        <w:r>
          <w:tab/>
        </w:r>
        <w:r>
          <w:fldChar w:fldCharType="begin"/>
        </w:r>
        <w:r>
          <w:instrText xml:space="preserve"> PAGEREF _Toc2695 \h </w:instrText>
        </w:r>
        <w:r>
          <w:fldChar w:fldCharType="separate"/>
        </w:r>
        <w:r>
          <w:t>57</w:t>
        </w:r>
        <w:r>
          <w:fldChar w:fldCharType="end"/>
        </w:r>
      </w:hyperlink>
    </w:p>
    <w:p>
      <w:pPr>
        <w:pStyle w:val="TOC2"/>
        <w:tabs>
          <w:tab w:val="right" w:leader="dot" w:pos="8306"/>
        </w:tabs>
      </w:pPr>
      <w:hyperlink w:anchor="_Toc4087" w:history="1">
        <w:r>
          <w:rPr>
            <w:rFonts w:ascii="仿宋" w:eastAsia="仿宋" w:hAnsi="仿宋" w:cs="仿宋" w:hint="eastAsia"/>
            <w:lang w:eastAsia="zh-CN"/>
          </w:rPr>
          <w:t>(一)、建设周期</w:t>
        </w:r>
        <w:r>
          <w:tab/>
        </w:r>
        <w:r>
          <w:fldChar w:fldCharType="begin"/>
        </w:r>
        <w:r>
          <w:instrText xml:space="preserve"> PAGEREF _Toc4087 \h </w:instrText>
        </w:r>
        <w:r>
          <w:fldChar w:fldCharType="separate"/>
        </w:r>
        <w:r>
          <w:t>57</w:t>
        </w:r>
        <w:r>
          <w:fldChar w:fldCharType="end"/>
        </w:r>
      </w:hyperlink>
    </w:p>
    <w:p>
      <w:pPr>
        <w:pStyle w:val="TOC2"/>
        <w:tabs>
          <w:tab w:val="right" w:leader="dot" w:pos="8306"/>
        </w:tabs>
      </w:pPr>
      <w:hyperlink w:anchor="_Toc7455" w:history="1">
        <w:r>
          <w:rPr>
            <w:rFonts w:ascii="仿宋" w:eastAsia="仿宋" w:hAnsi="仿宋" w:cs="仿宋" w:hint="eastAsia"/>
            <w:lang w:eastAsia="zh-CN"/>
          </w:rPr>
          <w:t>(二)、建设进度</w:t>
        </w:r>
        <w:r>
          <w:tab/>
        </w:r>
        <w:r>
          <w:fldChar w:fldCharType="begin"/>
        </w:r>
        <w:r>
          <w:instrText xml:space="preserve"> PAGEREF _Toc7455 \h </w:instrText>
        </w:r>
        <w:r>
          <w:fldChar w:fldCharType="separate"/>
        </w:r>
        <w:r>
          <w:t>58</w:t>
        </w:r>
        <w:r>
          <w:fldChar w:fldCharType="end"/>
        </w:r>
      </w:hyperlink>
    </w:p>
    <w:p>
      <w:pPr>
        <w:pStyle w:val="TOC2"/>
        <w:tabs>
          <w:tab w:val="right" w:leader="dot" w:pos="8306"/>
        </w:tabs>
      </w:pPr>
      <w:hyperlink w:anchor="_Toc5354" w:history="1">
        <w:r>
          <w:rPr>
            <w:rFonts w:ascii="仿宋" w:eastAsia="仿宋" w:hAnsi="仿宋" w:cs="仿宋" w:hint="eastAsia"/>
            <w:lang w:eastAsia="zh-CN"/>
          </w:rPr>
          <w:t>(三)、进度安排注意事项</w:t>
        </w:r>
        <w:r>
          <w:tab/>
        </w:r>
        <w:r>
          <w:fldChar w:fldCharType="begin"/>
        </w:r>
        <w:r>
          <w:instrText xml:space="preserve"> PAGEREF _Toc5354 \h </w:instrText>
        </w:r>
        <w:r>
          <w:fldChar w:fldCharType="separate"/>
        </w:r>
        <w:r>
          <w:t>59</w:t>
        </w:r>
        <w:r>
          <w:fldChar w:fldCharType="end"/>
        </w:r>
      </w:hyperlink>
    </w:p>
    <w:p>
      <w:pPr>
        <w:pStyle w:val="TOC2"/>
        <w:tabs>
          <w:tab w:val="right" w:leader="dot" w:pos="8306"/>
        </w:tabs>
      </w:pPr>
      <w:hyperlink w:anchor="_Toc10421" w:history="1">
        <w:r>
          <w:rPr>
            <w:rFonts w:ascii="仿宋" w:eastAsia="仿宋" w:hAnsi="仿宋" w:cs="仿宋" w:hint="eastAsia"/>
            <w:lang w:eastAsia="zh-CN"/>
          </w:rPr>
          <w:t>(四)、人力资源配置</w:t>
        </w:r>
        <w:r>
          <w:tab/>
        </w:r>
        <w:r>
          <w:fldChar w:fldCharType="begin"/>
        </w:r>
        <w:r>
          <w:instrText xml:space="preserve"> PAGEREF _Toc10421 \h </w:instrText>
        </w:r>
        <w:r>
          <w:fldChar w:fldCharType="separate"/>
        </w:r>
        <w:r>
          <w:t>61</w:t>
        </w:r>
        <w:r>
          <w:fldChar w:fldCharType="end"/>
        </w:r>
      </w:hyperlink>
    </w:p>
    <w:p>
      <w:pPr>
        <w:pStyle w:val="TOC1"/>
        <w:tabs>
          <w:tab w:val="right" w:leader="dot" w:pos="8306"/>
        </w:tabs>
      </w:pPr>
      <w:hyperlink w:anchor="_Toc12545" w:history="1">
        <w:r>
          <w:rPr>
            <w:rFonts w:ascii="仿宋" w:eastAsia="仿宋" w:hAnsi="仿宋" w:cs="仿宋" w:hint="eastAsia"/>
            <w:lang w:eastAsia="zh-CN"/>
          </w:rPr>
          <w:t>十三、质量管理体系</w:t>
        </w:r>
        <w:r>
          <w:tab/>
        </w:r>
        <w:r>
          <w:fldChar w:fldCharType="begin"/>
        </w:r>
        <w:r>
          <w:instrText xml:space="preserve"> PAGEREF _Toc12545 \h </w:instrText>
        </w:r>
        <w:r>
          <w:fldChar w:fldCharType="separate"/>
        </w:r>
        <w:r>
          <w:t>62</w:t>
        </w:r>
        <w:r>
          <w:fldChar w:fldCharType="end"/>
        </w:r>
      </w:hyperlink>
    </w:p>
    <w:p>
      <w:pPr>
        <w:pStyle w:val="TOC2"/>
        <w:tabs>
          <w:tab w:val="right" w:leader="dot" w:pos="8306"/>
        </w:tabs>
      </w:pPr>
      <w:hyperlink w:anchor="_Toc28036" w:history="1">
        <w:r>
          <w:rPr>
            <w:rFonts w:ascii="仿宋" w:eastAsia="仿宋" w:hAnsi="仿宋" w:cs="仿宋" w:hint="eastAsia"/>
            <w:lang w:eastAsia="zh-CN"/>
          </w:rPr>
          <w:t>(一)、质量目标与方针</w:t>
        </w:r>
        <w:r>
          <w:tab/>
        </w:r>
        <w:r>
          <w:fldChar w:fldCharType="begin"/>
        </w:r>
        <w:r>
          <w:instrText xml:space="preserve"> PAGEREF _Toc28036 \h </w:instrText>
        </w:r>
        <w:r>
          <w:fldChar w:fldCharType="separate"/>
        </w:r>
        <w:r>
          <w:t>62</w:t>
        </w:r>
        <w:r>
          <w:fldChar w:fldCharType="end"/>
        </w:r>
      </w:hyperlink>
    </w:p>
    <w:p>
      <w:pPr>
        <w:pStyle w:val="TOC2"/>
        <w:tabs>
          <w:tab w:val="right" w:leader="dot" w:pos="8306"/>
        </w:tabs>
      </w:pPr>
      <w:hyperlink w:anchor="_Toc5749" w:history="1">
        <w:r>
          <w:rPr>
            <w:rFonts w:ascii="仿宋" w:eastAsia="仿宋" w:hAnsi="仿宋" w:cs="仿宋" w:hint="eastAsia"/>
            <w:lang w:eastAsia="zh-CN"/>
          </w:rPr>
          <w:t>(二)、质量管理责任</w:t>
        </w:r>
        <w:r>
          <w:tab/>
        </w:r>
        <w:r>
          <w:fldChar w:fldCharType="begin"/>
        </w:r>
        <w:r>
          <w:instrText xml:space="preserve"> PAGEREF _Toc5749 \h </w:instrText>
        </w:r>
        <w:r>
          <w:fldChar w:fldCharType="separate"/>
        </w:r>
        <w:r>
          <w:t>63</w:t>
        </w:r>
        <w:r>
          <w:fldChar w:fldCharType="end"/>
        </w:r>
      </w:hyperlink>
    </w:p>
    <w:p>
      <w:pPr>
        <w:pStyle w:val="TOC2"/>
        <w:tabs>
          <w:tab w:val="right" w:leader="dot" w:pos="8306"/>
        </w:tabs>
      </w:pPr>
      <w:hyperlink w:anchor="_Toc9257" w:history="1">
        <w:r>
          <w:rPr>
            <w:rFonts w:ascii="仿宋" w:eastAsia="仿宋" w:hAnsi="仿宋" w:cs="仿宋" w:hint="eastAsia"/>
            <w:lang w:eastAsia="zh-CN"/>
          </w:rPr>
          <w:t>(三)、质量管理体系文件</w:t>
        </w:r>
        <w:r>
          <w:tab/>
        </w:r>
        <w:r>
          <w:fldChar w:fldCharType="begin"/>
        </w:r>
        <w:r>
          <w:instrText xml:space="preserve"> PAGEREF _Toc9257 \h </w:instrText>
        </w:r>
        <w:r>
          <w:fldChar w:fldCharType="separate"/>
        </w:r>
        <w:r>
          <w:t>64</w:t>
        </w:r>
        <w:r>
          <w:fldChar w:fldCharType="end"/>
        </w:r>
      </w:hyperlink>
    </w:p>
    <w:p>
      <w:pPr>
        <w:pStyle w:val="TOC2"/>
        <w:tabs>
          <w:tab w:val="right" w:leader="dot" w:pos="8306"/>
        </w:tabs>
      </w:pPr>
      <w:hyperlink w:anchor="_Toc13734" w:history="1">
        <w:r>
          <w:rPr>
            <w:rFonts w:ascii="仿宋" w:eastAsia="仿宋" w:hAnsi="仿宋" w:cs="仿宋" w:hint="eastAsia"/>
            <w:lang w:eastAsia="zh-CN"/>
          </w:rPr>
          <w:t>(四)、质量培训与教育</w:t>
        </w:r>
        <w:r>
          <w:tab/>
        </w:r>
        <w:r>
          <w:fldChar w:fldCharType="begin"/>
        </w:r>
        <w:r>
          <w:instrText xml:space="preserve"> PAGEREF _Toc13734 \h </w:instrText>
        </w:r>
        <w:r>
          <w:fldChar w:fldCharType="separate"/>
        </w:r>
        <w:r>
          <w:t>67</w:t>
        </w:r>
        <w:r>
          <w:fldChar w:fldCharType="end"/>
        </w:r>
      </w:hyperlink>
    </w:p>
    <w:p>
      <w:pPr>
        <w:pStyle w:val="TOC2"/>
        <w:tabs>
          <w:tab w:val="right" w:leader="dot" w:pos="8306"/>
        </w:tabs>
      </w:pPr>
      <w:hyperlink w:anchor="_Toc5328" w:history="1">
        <w:r>
          <w:rPr>
            <w:rFonts w:ascii="仿宋" w:eastAsia="仿宋" w:hAnsi="仿宋" w:cs="仿宋" w:hint="eastAsia"/>
            <w:lang w:eastAsia="zh-CN"/>
          </w:rPr>
          <w:t>(五)、质量审核与评价</w:t>
        </w:r>
        <w:r>
          <w:tab/>
        </w:r>
        <w:r>
          <w:fldChar w:fldCharType="begin"/>
        </w:r>
        <w:r>
          <w:instrText xml:space="preserve"> PAGEREF _Toc5328 \h </w:instrText>
        </w:r>
        <w:r>
          <w:fldChar w:fldCharType="separate"/>
        </w:r>
        <w:r>
          <w:t>68</w:t>
        </w:r>
        <w:r>
          <w:fldChar w:fldCharType="end"/>
        </w:r>
      </w:hyperlink>
    </w:p>
    <w:p>
      <w:pPr>
        <w:pStyle w:val="TOC2"/>
        <w:tabs>
          <w:tab w:val="right" w:leader="dot" w:pos="8306"/>
        </w:tabs>
      </w:pPr>
      <w:hyperlink w:anchor="_Toc12830" w:history="1">
        <w:r>
          <w:rPr>
            <w:rFonts w:ascii="仿宋" w:eastAsia="仿宋" w:hAnsi="仿宋" w:cs="仿宋" w:hint="eastAsia"/>
            <w:lang w:eastAsia="zh-CN"/>
          </w:rPr>
          <w:t>(六)、不符合与纠正措施</w:t>
        </w:r>
        <w:r>
          <w:tab/>
        </w:r>
        <w:r>
          <w:fldChar w:fldCharType="begin"/>
        </w:r>
        <w:r>
          <w:instrText xml:space="preserve"> PAGEREF _Toc12830 \h </w:instrText>
        </w:r>
        <w:r>
          <w:fldChar w:fldCharType="separate"/>
        </w:r>
        <w:r>
          <w:t>69</w:t>
        </w:r>
        <w:r>
          <w:fldChar w:fldCharType="end"/>
        </w:r>
      </w:hyperlink>
    </w:p>
    <w:p>
      <w:pPr>
        <w:pStyle w:val="TOC1"/>
        <w:tabs>
          <w:tab w:val="right" w:leader="dot" w:pos="8306"/>
        </w:tabs>
      </w:pPr>
      <w:hyperlink w:anchor="_Toc2244" w:history="1">
        <w:r>
          <w:rPr>
            <w:rFonts w:ascii="仿宋" w:eastAsia="仿宋" w:hAnsi="仿宋" w:cs="仿宋" w:hint="eastAsia"/>
            <w:lang w:eastAsia="zh-CN"/>
          </w:rPr>
          <w:t>十四、供应链管理</w:t>
        </w:r>
        <w:r>
          <w:tab/>
        </w:r>
        <w:r>
          <w:fldChar w:fldCharType="begin"/>
        </w:r>
        <w:r>
          <w:instrText xml:space="preserve"> PAGEREF _Toc2244 \h </w:instrText>
        </w:r>
        <w:r>
          <w:fldChar w:fldCharType="separate"/>
        </w:r>
        <w:r>
          <w:t>70</w:t>
        </w:r>
        <w:r>
          <w:fldChar w:fldCharType="end"/>
        </w:r>
      </w:hyperlink>
    </w:p>
    <w:p>
      <w:pPr>
        <w:pStyle w:val="TOC2"/>
        <w:tabs>
          <w:tab w:val="right" w:leader="dot" w:pos="8306"/>
        </w:tabs>
      </w:pPr>
      <w:hyperlink w:anchor="_Toc7251" w:history="1">
        <w:r>
          <w:rPr>
            <w:rFonts w:ascii="仿宋" w:eastAsia="仿宋" w:hAnsi="仿宋" w:cs="仿宋" w:hint="eastAsia"/>
            <w:lang w:eastAsia="zh-CN"/>
          </w:rPr>
          <w:t>(一)、供应链战略规划</w:t>
        </w:r>
        <w:r>
          <w:tab/>
        </w:r>
        <w:r>
          <w:fldChar w:fldCharType="begin"/>
        </w:r>
        <w:r>
          <w:instrText xml:space="preserve"> PAGEREF _Toc7251 \h </w:instrText>
        </w:r>
        <w:r>
          <w:fldChar w:fldCharType="separate"/>
        </w:r>
        <w:r>
          <w:t>70</w:t>
        </w:r>
        <w:r>
          <w:fldChar w:fldCharType="end"/>
        </w:r>
      </w:hyperlink>
    </w:p>
    <w:p>
      <w:pPr>
        <w:pStyle w:val="TOC2"/>
        <w:tabs>
          <w:tab w:val="right" w:leader="dot" w:pos="8306"/>
        </w:tabs>
      </w:pPr>
      <w:hyperlink w:anchor="_Toc29072" w:history="1">
        <w:r>
          <w:rPr>
            <w:rFonts w:ascii="仿宋" w:eastAsia="仿宋" w:hAnsi="仿宋" w:cs="仿宋" w:hint="eastAsia"/>
            <w:lang w:eastAsia="zh-CN"/>
          </w:rPr>
          <w:t>(二)、供应商选择与合作</w:t>
        </w:r>
        <w:r>
          <w:tab/>
        </w:r>
        <w:r>
          <w:fldChar w:fldCharType="begin"/>
        </w:r>
        <w:r>
          <w:instrText xml:space="preserve"> PAGEREF _Toc29072 \h </w:instrText>
        </w:r>
        <w:r>
          <w:fldChar w:fldCharType="separate"/>
        </w:r>
        <w:r>
          <w:t>72</w:t>
        </w:r>
        <w:r>
          <w:fldChar w:fldCharType="end"/>
        </w:r>
      </w:hyperlink>
    </w:p>
    <w:p>
      <w:pPr>
        <w:pStyle w:val="TOC2"/>
        <w:tabs>
          <w:tab w:val="right" w:leader="dot" w:pos="8306"/>
        </w:tabs>
      </w:pPr>
      <w:hyperlink w:anchor="_Toc32466" w:history="1">
        <w:r>
          <w:rPr>
            <w:rFonts w:ascii="仿宋" w:eastAsia="仿宋" w:hAnsi="仿宋" w:cs="仿宋" w:hint="eastAsia"/>
            <w:lang w:eastAsia="zh-CN"/>
          </w:rPr>
          <w:t>(三)、物流与库存管理</w:t>
        </w:r>
        <w:r>
          <w:tab/>
        </w:r>
        <w:r>
          <w:fldChar w:fldCharType="begin"/>
        </w:r>
        <w:r>
          <w:instrText xml:space="preserve"> PAGEREF _Toc32466 \h </w:instrText>
        </w:r>
        <w:r>
          <w:fldChar w:fldCharType="separate"/>
        </w:r>
        <w:r>
          <w:t>73</w:t>
        </w:r>
        <w:r>
          <w:fldChar w:fldCharType="end"/>
        </w:r>
      </w:hyperlink>
    </w:p>
    <w:p>
      <w:pPr>
        <w:pStyle w:val="TOC1"/>
        <w:tabs>
          <w:tab w:val="right" w:leader="dot" w:pos="8306"/>
        </w:tabs>
      </w:pPr>
      <w:hyperlink w:anchor="_Toc14862" w:history="1">
        <w:r>
          <w:rPr>
            <w:rFonts w:ascii="仿宋" w:eastAsia="仿宋" w:hAnsi="仿宋" w:cs="仿宋" w:hint="eastAsia"/>
            <w:lang w:eastAsia="zh-CN"/>
          </w:rPr>
          <w:t>十五、风险识别与分类</w:t>
        </w:r>
        <w:r>
          <w:tab/>
        </w:r>
        <w:r>
          <w:fldChar w:fldCharType="begin"/>
        </w:r>
        <w:r>
          <w:instrText xml:space="preserve"> PAGEREF _Toc14862 \h </w:instrText>
        </w:r>
        <w:r>
          <w:fldChar w:fldCharType="separate"/>
        </w:r>
        <w:r>
          <w:t>74</w:t>
        </w:r>
        <w:r>
          <w:fldChar w:fldCharType="end"/>
        </w:r>
      </w:hyperlink>
    </w:p>
    <w:p>
      <w:pPr>
        <w:pStyle w:val="TOC2"/>
        <w:tabs>
          <w:tab w:val="right" w:leader="dot" w:pos="8306"/>
        </w:tabs>
      </w:pPr>
      <w:hyperlink w:anchor="_Toc387" w:history="1">
        <w:r>
          <w:rPr>
            <w:rFonts w:ascii="仿宋" w:eastAsia="仿宋" w:hAnsi="仿宋" w:cs="仿宋" w:hint="eastAsia"/>
            <w:lang w:eastAsia="zh-CN"/>
          </w:rPr>
          <w:t>(一)、风险识别</w:t>
        </w:r>
        <w:r>
          <w:tab/>
        </w:r>
        <w:r>
          <w:fldChar w:fldCharType="begin"/>
        </w:r>
        <w:r>
          <w:instrText xml:space="preserve"> PAGEREF _Toc387 \h </w:instrText>
        </w:r>
        <w:r>
          <w:fldChar w:fldCharType="separate"/>
        </w:r>
        <w:r>
          <w:t>74</w:t>
        </w:r>
        <w:r>
          <w:fldChar w:fldCharType="end"/>
        </w:r>
      </w:hyperlink>
    </w:p>
    <w:p>
      <w:pPr>
        <w:pStyle w:val="TOC2"/>
        <w:tabs>
          <w:tab w:val="right" w:leader="dot" w:pos="8306"/>
        </w:tabs>
      </w:pPr>
      <w:hyperlink w:anchor="_Toc6429" w:history="1">
        <w:r>
          <w:rPr>
            <w:rFonts w:ascii="仿宋" w:eastAsia="仿宋" w:hAnsi="仿宋" w:cs="仿宋" w:hint="eastAsia"/>
            <w:lang w:eastAsia="zh-CN"/>
          </w:rPr>
          <w:t>(二)、风险分类</w:t>
        </w:r>
        <w:r>
          <w:tab/>
        </w:r>
        <w:r>
          <w:fldChar w:fldCharType="begin"/>
        </w:r>
        <w:r>
          <w:instrText xml:space="preserve"> PAGEREF _Toc6429 \h </w:instrText>
        </w:r>
        <w:r>
          <w:fldChar w:fldCharType="separate"/>
        </w:r>
        <w:r>
          <w:t>76</w:t>
        </w:r>
        <w:r>
          <w:fldChar w:fldCharType="end"/>
        </w:r>
      </w:hyperlink>
    </w:p>
    <w:p>
      <w:pPr>
        <w:pStyle w:val="TOC1"/>
        <w:tabs>
          <w:tab w:val="right" w:leader="dot" w:pos="8306"/>
        </w:tabs>
      </w:pPr>
      <w:hyperlink w:anchor="_Toc15378" w:history="1">
        <w:r>
          <w:rPr>
            <w:rFonts w:ascii="仿宋" w:eastAsia="仿宋" w:hAnsi="仿宋" w:cs="仿宋" w:hint="eastAsia"/>
            <w:lang w:eastAsia="zh-CN"/>
          </w:rPr>
          <w:t>十六、利益相关者分析与沟通计划</w:t>
        </w:r>
        <w:r>
          <w:tab/>
        </w:r>
        <w:r>
          <w:fldChar w:fldCharType="begin"/>
        </w:r>
        <w:r>
          <w:instrText xml:space="preserve"> PAGEREF _Toc15378 \h </w:instrText>
        </w:r>
        <w:r>
          <w:fldChar w:fldCharType="separate"/>
        </w:r>
        <w:r>
          <w:t>78</w:t>
        </w:r>
        <w:r>
          <w:fldChar w:fldCharType="end"/>
        </w:r>
      </w:hyperlink>
    </w:p>
    <w:p>
      <w:pPr>
        <w:pStyle w:val="TOC2"/>
        <w:tabs>
          <w:tab w:val="right" w:leader="dot" w:pos="8306"/>
        </w:tabs>
      </w:pPr>
      <w:hyperlink w:anchor="_Toc15060" w:history="1">
        <w:r>
          <w:rPr>
            <w:rFonts w:ascii="仿宋" w:eastAsia="仿宋" w:hAnsi="仿宋" w:cs="仿宋" w:hint="eastAsia"/>
            <w:lang w:eastAsia="zh-CN"/>
          </w:rPr>
          <w:t>(一)、利益相关者分析</w:t>
        </w:r>
        <w:r>
          <w:tab/>
        </w:r>
        <w:r>
          <w:fldChar w:fldCharType="begin"/>
        </w:r>
        <w:r>
          <w:instrText xml:space="preserve"> PAGEREF _Toc15060 \h </w:instrText>
        </w:r>
        <w:r>
          <w:fldChar w:fldCharType="separate"/>
        </w:r>
        <w:r>
          <w:t>78</w:t>
        </w:r>
        <w:r>
          <w:fldChar w:fldCharType="end"/>
        </w:r>
      </w:hyperlink>
    </w:p>
    <w:p>
      <w:pPr>
        <w:pStyle w:val="TOC2"/>
        <w:tabs>
          <w:tab w:val="right" w:leader="dot" w:pos="8306"/>
        </w:tabs>
      </w:pPr>
      <w:hyperlink w:anchor="_Toc22743" w:history="1">
        <w:r>
          <w:rPr>
            <w:rFonts w:ascii="仿宋" w:eastAsia="仿宋" w:hAnsi="仿宋" w:cs="仿宋" w:hint="eastAsia"/>
            <w:lang w:eastAsia="zh-CN"/>
          </w:rPr>
          <w:t>(二)、沟通计划</w:t>
        </w:r>
        <w:r>
          <w:tab/>
        </w:r>
        <w:r>
          <w:fldChar w:fldCharType="begin"/>
        </w:r>
        <w:r>
          <w:instrText xml:space="preserve"> PAGEREF _Toc22743 \h </w:instrText>
        </w:r>
        <w:r>
          <w:fldChar w:fldCharType="separate"/>
        </w:r>
        <w:r>
          <w:t>79</w:t>
        </w:r>
        <w:r>
          <w:fldChar w:fldCharType="end"/>
        </w:r>
      </w:hyperlink>
    </w:p>
    <w:p>
      <w:pPr>
        <w:pStyle w:val="TOC1"/>
        <w:tabs>
          <w:tab w:val="right" w:leader="dot" w:pos="8306"/>
        </w:tabs>
      </w:pPr>
      <w:hyperlink w:anchor="_Toc31846" w:history="1">
        <w:r>
          <w:rPr>
            <w:rFonts w:ascii="仿宋" w:eastAsia="仿宋" w:hAnsi="仿宋" w:cs="仿宋" w:hint="eastAsia"/>
            <w:lang w:eastAsia="zh-CN"/>
          </w:rPr>
          <w:t>十七、生物农药及微生物农药项目变更管理</w:t>
        </w:r>
        <w:r>
          <w:tab/>
        </w:r>
        <w:r>
          <w:fldChar w:fldCharType="begin"/>
        </w:r>
        <w:r>
          <w:instrText xml:space="preserve"> PAGEREF _Toc31846 \h </w:instrText>
        </w:r>
        <w:r>
          <w:fldChar w:fldCharType="separate"/>
        </w:r>
        <w:r>
          <w:t>80</w:t>
        </w:r>
        <w:r>
          <w:fldChar w:fldCharType="end"/>
        </w:r>
      </w:hyperlink>
    </w:p>
    <w:p>
      <w:pPr>
        <w:pStyle w:val="TOC2"/>
        <w:tabs>
          <w:tab w:val="right" w:leader="dot" w:pos="8306"/>
        </w:tabs>
      </w:pPr>
      <w:hyperlink w:anchor="_Toc29605" w:history="1">
        <w:r>
          <w:rPr>
            <w:rFonts w:ascii="仿宋" w:eastAsia="仿宋" w:hAnsi="仿宋" w:cs="仿宋" w:hint="eastAsia"/>
            <w:lang w:eastAsia="zh-CN"/>
          </w:rPr>
          <w:t>(一)、变更申请与评估</w:t>
        </w:r>
        <w:r>
          <w:tab/>
        </w:r>
        <w:r>
          <w:fldChar w:fldCharType="begin"/>
        </w:r>
        <w:r>
          <w:instrText xml:space="preserve"> PAGEREF _Toc29605 \h </w:instrText>
        </w:r>
        <w:r>
          <w:fldChar w:fldCharType="separate"/>
        </w:r>
        <w:r>
          <w:t>80</w:t>
        </w:r>
        <w:r>
          <w:fldChar w:fldCharType="end"/>
        </w:r>
      </w:hyperlink>
    </w:p>
    <w:p>
      <w:pPr>
        <w:pStyle w:val="TOC2"/>
        <w:tabs>
          <w:tab w:val="right" w:leader="dot" w:pos="8306"/>
        </w:tabs>
      </w:pPr>
      <w:hyperlink w:anchor="_Toc6166" w:history="1">
        <w:r>
          <w:rPr>
            <w:rFonts w:ascii="仿宋" w:eastAsia="仿宋" w:hAnsi="仿宋" w:cs="仿宋" w:hint="eastAsia"/>
            <w:lang w:eastAsia="zh-CN"/>
          </w:rPr>
          <w:t>(二)、变更实施与控制</w:t>
        </w:r>
        <w:r>
          <w:tab/>
        </w:r>
        <w:r>
          <w:fldChar w:fldCharType="begin"/>
        </w:r>
        <w:r>
          <w:instrText xml:space="preserve"> PAGEREF _Toc6166 \h </w:instrText>
        </w:r>
        <w:r>
          <w:fldChar w:fldCharType="separate"/>
        </w:r>
        <w:r>
          <w:t>81</w:t>
        </w:r>
        <w:r>
          <w:fldChar w:fldCharType="end"/>
        </w:r>
      </w:hyperlink>
    </w:p>
    <w:p>
      <w:pPr>
        <w:pStyle w:val="TOC1"/>
        <w:tabs>
          <w:tab w:val="right" w:leader="dot" w:pos="8306"/>
        </w:tabs>
      </w:pPr>
      <w:hyperlink w:anchor="_Toc15465" w:history="1">
        <w:r>
          <w:rPr>
            <w:rFonts w:ascii="仿宋" w:eastAsia="仿宋" w:hAnsi="仿宋" w:cs="仿宋" w:hint="eastAsia"/>
            <w:lang w:eastAsia="zh-CN"/>
          </w:rPr>
          <w:t>十八、生物农药及微生物农药项目实施保障措施</w:t>
        </w:r>
        <w:r>
          <w:tab/>
        </w:r>
        <w:r>
          <w:fldChar w:fldCharType="begin"/>
        </w:r>
        <w:r>
          <w:instrText xml:space="preserve"> PAGEREF _Toc15465 \h </w:instrText>
        </w:r>
        <w:r>
          <w:fldChar w:fldCharType="separate"/>
        </w:r>
        <w:r>
          <w:t>81</w:t>
        </w:r>
        <w:r>
          <w:fldChar w:fldCharType="end"/>
        </w:r>
      </w:hyperlink>
    </w:p>
    <w:p>
      <w:pPr>
        <w:pStyle w:val="TOC2"/>
        <w:tabs>
          <w:tab w:val="right" w:leader="dot" w:pos="8306"/>
        </w:tabs>
      </w:pPr>
      <w:hyperlink w:anchor="_Toc18927" w:history="1">
        <w:r>
          <w:rPr>
            <w:rFonts w:ascii="仿宋" w:eastAsia="仿宋" w:hAnsi="仿宋" w:cs="仿宋" w:hint="eastAsia"/>
            <w:lang w:eastAsia="zh-CN"/>
          </w:rPr>
          <w:t>(一)、生物农药及微生物农药项目实施保障机制</w:t>
        </w:r>
        <w:r>
          <w:tab/>
        </w:r>
        <w:r>
          <w:fldChar w:fldCharType="begin"/>
        </w:r>
        <w:r>
          <w:instrText xml:space="preserve"> PAGEREF _Toc18927 \h </w:instrText>
        </w:r>
        <w:r>
          <w:fldChar w:fldCharType="separate"/>
        </w:r>
        <w:r>
          <w:t>81</w:t>
        </w:r>
        <w:r>
          <w:fldChar w:fldCharType="end"/>
        </w:r>
      </w:hyperlink>
    </w:p>
    <w:p>
      <w:pPr>
        <w:pStyle w:val="TOC2"/>
        <w:tabs>
          <w:tab w:val="right" w:leader="dot" w:pos="8306"/>
        </w:tabs>
      </w:pPr>
      <w:hyperlink w:anchor="_Toc25482" w:history="1">
        <w:r>
          <w:rPr>
            <w:rFonts w:ascii="仿宋" w:eastAsia="仿宋" w:hAnsi="仿宋" w:cs="仿宋" w:hint="eastAsia"/>
            <w:lang w:eastAsia="zh-CN"/>
          </w:rPr>
          <w:t>(二)、生物农药及微生物农药项目法律合规要求</w:t>
        </w:r>
        <w:r>
          <w:tab/>
        </w:r>
        <w:r>
          <w:fldChar w:fldCharType="begin"/>
        </w:r>
        <w:r>
          <w:instrText xml:space="preserve"> PAGEREF _Toc25482 \h </w:instrText>
        </w:r>
        <w:r>
          <w:fldChar w:fldCharType="separate"/>
        </w:r>
        <w:r>
          <w:t>85</w:t>
        </w:r>
        <w:r>
          <w:fldChar w:fldCharType="end"/>
        </w:r>
      </w:hyperlink>
    </w:p>
    <w:p>
      <w:pPr>
        <w:pStyle w:val="TOC2"/>
        <w:tabs>
          <w:tab w:val="right" w:leader="dot" w:pos="8306"/>
        </w:tabs>
      </w:pPr>
      <w:hyperlink w:anchor="_Toc31520" w:history="1">
        <w:r>
          <w:rPr>
            <w:rFonts w:ascii="仿宋" w:eastAsia="仿宋" w:hAnsi="仿宋" w:cs="仿宋" w:hint="eastAsia"/>
            <w:lang w:eastAsia="zh-CN"/>
          </w:rPr>
          <w:t>(三)、生物农药及微生物农药项目合同管理与法律事务</w:t>
        </w:r>
        <w:r>
          <w:tab/>
        </w:r>
        <w:r>
          <w:fldChar w:fldCharType="begin"/>
        </w:r>
        <w:r>
          <w:instrText xml:space="preserve"> PAGEREF _Toc31520 \h </w:instrText>
        </w:r>
        <w:r>
          <w:fldChar w:fldCharType="separate"/>
        </w:r>
        <w:r>
          <w:t>90</w:t>
        </w:r>
        <w:r>
          <w:fldChar w:fldCharType="end"/>
        </w:r>
      </w:hyperlink>
    </w:p>
    <w:p>
      <w:pPr>
        <w:pStyle w:val="TOC2"/>
        <w:tabs>
          <w:tab w:val="right" w:leader="dot" w:pos="8306"/>
        </w:tabs>
      </w:pPr>
      <w:hyperlink w:anchor="_Toc18014" w:history="1">
        <w:r>
          <w:rPr>
            <w:rFonts w:ascii="仿宋" w:eastAsia="仿宋" w:hAnsi="仿宋" w:cs="仿宋" w:hint="eastAsia"/>
            <w:lang w:eastAsia="zh-CN"/>
          </w:rPr>
          <w:t>(四)、生物农药及微生物农药项目知识产权保护策略</w:t>
        </w:r>
        <w:r>
          <w:tab/>
        </w:r>
        <w:r>
          <w:fldChar w:fldCharType="begin"/>
        </w:r>
        <w:r>
          <w:instrText xml:space="preserve"> PAGEREF _Toc18014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84"/>
      <w:r>
        <w:rPr>
          <w:rFonts w:ascii="仿宋" w:eastAsia="仿宋" w:hAnsi="仿宋" w:cs="仿宋" w:hint="eastAsia"/>
          <w:sz w:val="28"/>
          <w:lang w:eastAsia="zh-CN"/>
        </w:rPr>
        <w:t>一、生物农药及微生物农药项目选址可行性分析</w:t>
      </w:r>
      <w:bookmarkEnd w:id="2"/>
    </w:p>
    <w:p>
      <w:pPr>
        <w:pStyle w:val="Heading2"/>
        <w:rPr>
          <w:rFonts w:ascii="仿宋" w:eastAsia="仿宋" w:hAnsi="仿宋" w:cs="仿宋" w:hint="eastAsia"/>
          <w:lang w:eastAsia="zh-CN"/>
        </w:rPr>
      </w:pPr>
      <w:bookmarkStart w:id="3" w:name="_Toc3424"/>
      <w:r>
        <w:rPr>
          <w:rFonts w:ascii="仿宋" w:eastAsia="仿宋" w:hAnsi="仿宋" w:cs="仿宋" w:hint="eastAsia"/>
          <w:lang w:eastAsia="zh-CN"/>
        </w:rPr>
        <w:t>(一)、生物农药及微生物农药项目选址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该生物农药及微生物农药项目选址位于XX省XX市XX区XXX街道</w:t>
      </w:r>
    </w:p>
    <w:p>
      <w:pPr>
        <w:pStyle w:val="Heading2"/>
        <w:ind w:firstLine="560" w:firstLineChars="200"/>
        <w:rPr>
          <w:rFonts w:ascii="仿宋" w:eastAsia="仿宋" w:hAnsi="仿宋" w:cs="仿宋" w:hint="eastAsia"/>
          <w:sz w:val="28"/>
          <w:lang w:eastAsia="zh-CN"/>
        </w:rPr>
      </w:pPr>
      <w:bookmarkStart w:id="4" w:name="_Toc802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物农药及微生物农药项目的征地面积将根据生物农药及微生物农药项目的实际规模和需求进行精确规划。具体面积XXX平方米，旨在确保生物农药及微生物农药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净用地面积是在征地面积基础上去除不可利用面积后的实际可开发用地。具体面积XXX平方米，考虑到环保、交通、安全等多方面因素，以确保生物农药及微生物农药项目在整体利用效率上达到最优。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生物农药及微生物农药项目计划建设的建筑总规模具体面积XXX平方米。这一规模的确定综合考虑了生物农药及微生物农药项目的性质、规模，以及城市规划的相关要求，确保建筑布局与周边环境协调一致。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绿地率是生物农药及微生物农药项目用地中被规划为绿地的比例。具体面积XXX平方米，旨在通过合理规划绿地，改善生物农药及微生物农药项目周边环境，提升居民生活质量，并符合城市整体绿化规划。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容积率是用地上可以建设的建筑总体积与用地面积之比。具体面积XXX，通过合理的容积率规划，确保生物农药及微生物农药项目建筑规模与周边环境和谐共生。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物农药及微生物农药项目选址与当地城市规划相一致，具体面积XXX平方米。通过与城市规划部门深入沟通，确保生物农药及微生物农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物农药及微生物农药项目选址符合当地产业政策，具体面积XXX平方米。这包括生物农药及微生物农药项目对当地经济的促进作用，以及对相关产业的带动效应，确保生物农药及微生物农药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生物农药及微生物农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确保生物农药及微生物农药项目选址具备必要的公共设施配套，具体面积XXX平方米。这包括交通便利性、教育、医疗等基础设施，以提高居民生活品质，使得生物农药及微生物农药项目选址更具吸引力。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考虑用地总体要求对当地社会稳定性的影响，具体面积XXX平方米。通过深入了解当地社区反馈，确保生物农药及微生物农药项目的选址和建设过程对当地社会和谐稳定产生积极作用。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物农药及微生物农药项目选址不仅符合法规和规划，还在实际操作中具有可行性。这一全面规划将为生物农药及微生物农药项目的成功实施提供坚实的基础，确保生物农药及微生物农药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41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农药及微生物农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物农药及微生物农药项目的设备规划和空间设计中，我们将采取灵活设备布局的措施。设备布局将根据实际需求进行灵活设计，避免不必要的浪费。通过合理规划设备摆放位置，我们将提高设备的利用率，减少设备间距，以确保生物农药及微生物农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物农药及微生物农药项目内部引入共享设施的概念，例如共享会议室、办公区等。通过这种方式，我们可以减少对资源的重复建设，提高资源共享效率，从而减小生物农药及微生物农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55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物农药及微生物农药项目的总图布置中，我们将不同功能区域进行明确的规划，以最大程度满足生物农药及微生物农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70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物农药及微生物农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生物农药及微生物农药项目对环境的影响是综合评价的重要因素之一。我们将详细考虑选址周边的自然环境、生态保护区、水源地等情况，确保生物农药及微生物农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对选址的评价还需充分考虑当地政府的产业政策和法规。我们将详细了解生物农药及微生物农药项目所在地的相关政策，确保生物农药及微生物农药项目的规划和运营与当地法规相符，降低不必要的法律风险。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考虑到社会稳定性对企业运营的重要性，我们将评估选址地区的社会安全情况、劳工关系、社区反馈等方面，以确保生物农药及微生物农药项目的建设和运营不会受到社会稳定性的负面影响。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最后，我们将综合考虑用地成本，包括土地购置费用、土地开发成本等。通过对用地成本的详细评估，我们能够做出更为精确的经济效益分析，为生物农药及微生物农药项目的投资决策提供有力支持。</w:t>
      </w:r>
    </w:p>
    <w:p>
      <w:pPr>
        <w:pStyle w:val="Heading1"/>
        <w:ind w:firstLine="560" w:firstLineChars="200"/>
        <w:rPr>
          <w:rFonts w:ascii="仿宋" w:eastAsia="仿宋" w:hAnsi="仿宋" w:cs="仿宋" w:hint="eastAsia"/>
          <w:sz w:val="28"/>
          <w:lang w:eastAsia="zh-CN"/>
        </w:rPr>
      </w:pPr>
      <w:bookmarkStart w:id="8" w:name="_Toc8604"/>
      <w:r>
        <w:rPr>
          <w:rFonts w:ascii="仿宋" w:eastAsia="仿宋" w:hAnsi="仿宋" w:cs="仿宋" w:hint="eastAsia"/>
          <w:sz w:val="28"/>
          <w:lang w:eastAsia="zh-CN"/>
        </w:rPr>
        <w:t>二、生物农药及微生物农药项目建设背景及必要性分析</w:t>
      </w:r>
      <w:bookmarkEnd w:id="8"/>
    </w:p>
    <w:p>
      <w:pPr>
        <w:pStyle w:val="Heading2"/>
        <w:rPr>
          <w:rFonts w:ascii="仿宋" w:eastAsia="仿宋" w:hAnsi="仿宋" w:cs="仿宋" w:hint="eastAsia"/>
          <w:lang w:eastAsia="zh-CN"/>
        </w:rPr>
      </w:pPr>
      <w:bookmarkStart w:id="9" w:name="_Toc14315"/>
      <w:r>
        <w:rPr>
          <w:rFonts w:ascii="仿宋" w:eastAsia="仿宋" w:hAnsi="仿宋" w:cs="仿宋" w:hint="eastAsia"/>
          <w:lang w:eastAsia="zh-CN"/>
        </w:rPr>
        <w:t>(一)、生物农药及微生物农药项目背景分析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农药及微生物农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农药及微生物农药项目在这个潮流中的定位。同时，我们将关注行业内涌现的新兴机遇，以便生物农药及微生物农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生物农药及微生物农药项目提供了强大的发展动力。我们将聚焦于行业内最新的技术发展趋势，包括但不限于人工智能、大数据分析、物联网等领域。通过深度的技术研究，我们将确保生物农药及微生物农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农药及微生物农药项目发展的源泉。我们将投入更多的精力对市场需求进行深入剖析，超越表面的需求，深入挖掘潜在的市场痛点和机遇。通过对市场需求的细致了解，生物农药及微生物农药项目将更有针对性地设计解决方案，满足市场的多样化需求，从而更好地促进生物农药及微生物农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农药及微生物农药项目战略至关重要。我们将对竞争态势进行更为深入的分析，包括但不限于市场份额、产品特点、客户满意度等多个维度。通过深度的竞争分析，生物农药及微生物农药项目将能够更准确地把握市场脉搏，制定具有竞争力的生物农药及微生物农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物农药及微生物农药项目的发展具有直接的影响。我们将进行更为全面的法规和政策分析，了解行业发展中的潜在法律风险和合规挑战。通过充分了解和遵守相关法规，生物农药及微生物农药项目将确保在法律框架内合法合规运营，为生物农药及微生物农药项目的稳健发展提供有力支持。</w:t>
      </w:r>
    </w:p>
    <w:p>
      <w:pPr>
        <w:pStyle w:val="Heading2"/>
        <w:ind w:firstLine="560" w:firstLineChars="200"/>
        <w:rPr>
          <w:rFonts w:ascii="仿宋" w:eastAsia="仿宋" w:hAnsi="仿宋" w:cs="仿宋" w:hint="eastAsia"/>
          <w:sz w:val="28"/>
          <w:lang w:eastAsia="zh-CN"/>
        </w:rPr>
      </w:pPr>
      <w:bookmarkStart w:id="10" w:name="_Toc9029"/>
      <w:r>
        <w:rPr>
          <w:rFonts w:ascii="仿宋" w:eastAsia="仿宋" w:hAnsi="仿宋" w:cs="仿宋" w:hint="eastAsia"/>
          <w:sz w:val="28"/>
          <w:lang w:eastAsia="zh-CN"/>
        </w:rPr>
        <w:t>(二)、生物农药及微生物农药项目建设必要性分析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建设的迫切性源于对行业发展趋势的深刻洞察。我们正处于一个行业变革的时代，科技创新、数字化转型成为企业发展的关键动力。生物农药及微生物农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建设不仅仅是为了跟上潮流，更是为了通过技术创新推动企业的持续发展。通过引入先进的技术和解决方案，生物农药及微生物农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农药及微生物农药项目的建设成为必然选择，通过提高产品质量、拓展服务领域，从而在竞争中获得更多的机会。生物农药及微生物农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生物农药及微生物农药项目建设的必要性体现在对客户需求更精准的满足。通过生物农药及微生物农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建设的背后是对企业持续创新的追求。只有通过不断创新，企业才能在竞争中立于不败之地。生物农药及微生物农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4228"/>
      <w:r>
        <w:rPr>
          <w:rFonts w:ascii="仿宋" w:eastAsia="仿宋" w:hAnsi="仿宋" w:cs="仿宋" w:hint="eastAsia"/>
          <w:sz w:val="28"/>
          <w:lang w:eastAsia="zh-CN"/>
        </w:rPr>
        <w:t>三、生物农药及微生物农药项目概论</w:t>
      </w:r>
      <w:bookmarkEnd w:id="11"/>
    </w:p>
    <w:p>
      <w:pPr>
        <w:pStyle w:val="Heading2"/>
        <w:rPr>
          <w:rFonts w:ascii="仿宋" w:eastAsia="仿宋" w:hAnsi="仿宋" w:cs="仿宋" w:hint="eastAsia"/>
          <w:lang w:eastAsia="zh-CN"/>
        </w:rPr>
      </w:pPr>
      <w:bookmarkStart w:id="12" w:name="_Toc5122"/>
      <w:r>
        <w:rPr>
          <w:rFonts w:ascii="仿宋" w:eastAsia="仿宋" w:hAnsi="仿宋" w:cs="仿宋" w:hint="eastAsia"/>
          <w:lang w:eastAsia="zh-CN"/>
        </w:rPr>
        <w:t>(一)、生物农药及微生物农药项目概况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的起源追溯至对市场的深入洞察。市场的不断演变与变革为生物农药及微生物农药项目提供了难得的机遇。当前市场存在的需求缺口和变革的大环境共同构成了生物农药及微生物农药项目的背景。这个生物农药及微生物农药项目旨在充分利用市场机遇，填补行业中尚未满足的需求，为客户提供全新的解决方案。市场的变革和需求的增长使得这个生物农药及微生物农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生物农药及微生物农药项目名称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正式命名为生物农药及微生物农药。这个名称不仅仅是一个标识，更代表了生物农药及微生物农药项目的核心理念和愿景。它蕴含着生物农药及微生物农药项目所要解决问题的关键字，具有强烈的表达和辨识度，为生物农药及微生物农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生物农药及微生物农药项目目标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的核心目标是提供一种全新、高效的解决方案，满足客户日益增长的需求。生物农药及微生物农药项目追求的不仅仅是满足市场需求，更是在市场中获得卓越的竞争优势。通过不断提升产品或服务的质量和创新水平，生物农药及微生物农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生物农药及微生物农药项目范围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全面涵盖了产品研发、制造、市场推广和售后服务，确保从产品设计到最终用户体验的全方位关注。这一全面的生物农药及微生物农药项目范围是为了确保生物农药及微生物农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生物农药及微生物农药项目时间表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计划在未来18个月内完成，包括研发、测试、市场试点和正式推出等不同阶段。这个时间表的合理设计是为了确保生物农药及微生物农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生物农药及微生物农药项目预算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总预算估算为XX百万美元，主要分配在研发、市场推广、人员培训和运营等方面。这一充足的预算为生物农药及微生物农药项目提供了充足的资源，确保生物农药及微生物农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生物农药及微生物农药项目风险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可能面临的风险包括市场接受度低、技术难题、竞争激烈等。生物农药及微生物农药项目团队已经制定了相应的风险应对计划，通过前瞻性的风险管理，确保生物农药及微生物农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生物农药及微生物农药项目团队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汇聚了一支经验丰富、多领域专业素养的核心团队，确保生物农药及微生物农药项目在各个方面都能拥有高水平的执行力。团队的协同作战是生物农药及微生物农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生物农药及微生物农药项目背景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生物农药及微生物农药项目的背景根植于市场对更高效、创新产品的渴望，同时也受到科技发展对行业格局的深刻改变的影响。这为生物农药及微生物农药项目提供了广阔的发展空间和市场需求。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生物农药及微生物农药项目现状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截至目前，生物农药及微生物农药项目已完成市场调研和技术验证，取得了初步的成功。这为生物农药及微生物农药项目在未来的发展奠定了坚实的基础，为更远大的目标打下了坚实的基石。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7511"/>
      <w:r>
        <w:rPr>
          <w:rFonts w:ascii="仿宋" w:eastAsia="仿宋" w:hAnsi="仿宋" w:cs="仿宋" w:hint="eastAsia"/>
          <w:sz w:val="28"/>
          <w:lang w:eastAsia="zh-CN"/>
        </w:rPr>
        <w:t>(二)、生物农药及微生物农药项目目标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物农药及微生物农药项目首要业务目标是在市场中占据有利地位，实现产品/服务的成功推广和销售。通过不断提升产品质量、创新性，生物农药及微生物农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在科技迅速发展的时代，生物农药及微生物农药项目着眼于技术创新。通过持续的研发和技术升级，生物农药及微生物农药项目旨在推出更具创新性的产品或服务，以满足市场对新鲜、先进解决方案的需求。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物农药及微生物农药项目设定了客户满意度目标。通过提供卓越的产品质量和优质的客户服务，生物农药及微生物农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生物农药及微生物农药项目注重社会责任和可持续发展。通过实施环保、社会责任生物农药及微生物农药项目，生物农药及微生物农药项目致力于在经济发展的同时保护环境，促进社会公平，实现可持续经营。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生物农药及微生物农药项目的团队是实现目标的核心驱动力。因此，生物农药及微生物农药项目设定了团队发展目标，包括提升团队成员的专业技能、培养领导力，以及搭建协同高效的团队工作氛围。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580"/>
      <w:r>
        <w:rPr>
          <w:rFonts w:ascii="仿宋" w:eastAsia="仿宋" w:hAnsi="仿宋" w:cs="仿宋" w:hint="eastAsia"/>
          <w:sz w:val="28"/>
          <w:lang w:eastAsia="zh-CN"/>
        </w:rPr>
        <w:t>(三)、生物农药及微生物农药项目提出的理由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生物农药及微生物农药项目提出的理由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的提出源于对市场机遇的深刻洞察。当前市场中存在的需求缺口和行业发展趋势表明，有巨大的商业机会等待被开发。通过准确捕捉市场机遇，生物农药及微生物农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的理念基于对技术创新的信仰。通过持续的研发和技术投入，生物农药及微生物农药项目有望推出更具创新性的产品或服务。在科技飞速发展的当下，生物农药及微生物农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农药及微生物农药项目的提出是为了增强企业的行业竞争力。通过提升产品或服务的质量和独特性，生物农药及微生物农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https://d.book118.com/227032153164006030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生物农药及微生物农药项目计划设计方案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865DA4"/>
    <w:rsid w:val="12865D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3215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2024-01-12T13:23:00Z</dcterms:created>
  <dcterms:modified xsi:type="dcterms:W3CDTF">2024-01-12T13:24:00Z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4DB04CF0DA2B4100A4E5A1380DECB525_11</vt:lpwstr>
  </property>
  <property fmtid="{D5CDD505-2E9C-101B-9397-08002B2CF9AE}" pid="3" name="KSOProductBuildVer">
    <vt:lpwstr>2052-12.1.0.16120</vt:lpwstr>
  </property>
</Properties>
</file>