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10858500</wp:posOffset>
            </wp:positionH>
            <wp:positionV relativeFrom="topMargin">
              <wp:posOffset>10325100</wp:posOffset>
            </wp:positionV>
            <wp:extent cx="393700" cy="444500"/>
            <wp:effectExtent l="0" t="0" r="6350" b="12700"/>
            <wp:wrapNone/>
            <wp:docPr id="100123" name="图片 10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3" name="图片 100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〜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学年（上）初三期末学业水平质量监测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物理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一、单项选择题（每小题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如图所示是一种触摸开关。当手指直接接触这种开关面板上的金属体时，因为人体是导体，会触发开关闭合，电路中的电灯发光。用手持下列物体去接触面板上金属体时，也能使电灯发光的是（　　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2686050" cy="17526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金属钥匙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木制牙签</w:t>
      </w:r>
      <w:r>
        <w:tab/>
      </w:r>
      <w:r>
        <w:t xml:space="preserve">C. </w:t>
      </w:r>
      <w:r>
        <w:rPr>
          <w:rFonts w:ascii="宋体" w:eastAsia="宋体" w:hAnsi="宋体" w:cs="宋体"/>
          <w:color w:val="auto"/>
        </w:rPr>
        <w:t>塑料尺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玻璃杯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由题意知，因为人体是导体，会触发开关闭合，电灯发光。一般情况下，金属钥匙是导体，接触时能使电灯发光，木制牙签、塑料尺和玻璃杯是绝缘体，接触时不能使电灯发光。故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符合题意，</w:t>
      </w: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1879324640" name="图片 1879324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324640" name="图片 18793246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海陆风形成的主要原因是海水与陆地相比有（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较高温度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较大密度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较多热量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较大比热容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海陆风形成的主要原因是海水与陆地相比有较大比热容，质量相同的水与沙土吸收相同的热量后，水升高温度较少，水与陆地有温差，海陆空气对流，形成海陆风，故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不符合题意，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物理文化周主题辩论赛中，小明提出以下四个观点，正确的是（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①大功率机械，机械效率不一定高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8"/>
          <w:footerReference w:type="even" r:id="rId9"/>
          <w:headerReference w:type="first" r:id="rId10"/>
          <w:footerReference w:type="first" r:id="rId11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②电能表指示灯闪烁次数越多，消耗电能越快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③使用机械可以省力又省功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④更换灯泡前先断开电源，符合安全用电要求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①②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①④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②③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功率是表示做功快慢的物理量，所以做功快的机械，功率大；机械效率是指有用功与总功的比值，与功率大小无关，观点①正确；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电能表上指示灯闪烁的次数越多，则电路中消耗的电能越多，但不是越快，观点②错误；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使用任何机械都不能省功，观点③错误；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更换灯泡前先断开电源，可以避免触电，符合安全用电要求，观点④正确。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故ACD错误，B正确。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小文同学在活动课上表演了个小魔术，用电热片点燃火柴。如图所示，操作时将一厚薄均匀的电热片接在电源上，然后将火柴靠近电热片上三个位置的其中一个，三个位置的效果（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57300" cy="8572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点最明显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方点最不明显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点最明显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都一样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【详解】影响电阻大小的因素是材料、长度、横截面积，由图可知a点横截面积最小，故a的电阻最大，a、b、c是串联的，电流相同，根据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5.75pt;height:18pt" o:ole="" coordsize="21600,21600" o:preferrelative="t" filled="f" stroked="f">
            <v:stroke joinstyle="miter"/>
            <v:imagedata r:id="rId13" o:title="eqId579b01675ae7772ccb269ab81f227517"/>
            <o:lock v:ext="edit" aspectratio="t"/>
            <w10:anchorlock/>
          </v:shape>
          <o:OLEObject Type="Embed" ProgID="Equation.DSMT4" ShapeID="_x0000_i1025" DrawAspect="Content" ObjectID="_1468075725" r:id="rId14"/>
        </w:object>
      </w:r>
      <w:r>
        <w:rPr>
          <w:color w:val="000000"/>
        </w:rPr>
        <w:t>可知，在相同时间内a产生的热量多，故放在a点效果最明显，故BCD错误，A正确。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如图所示，连接好电路闭合开关后，发现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不亮，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能发光，则电路中的故障可能是（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57300" cy="9144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16"/>
          <w:footerReference w:type="even" r:id="rId17"/>
          <w:headerReference w:type="first" r:id="rId18"/>
          <w:footerReference w:type="first" r:id="rId19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灯座短路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灯丝断了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导线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断路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导线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断路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【详解】A．若L</w:t>
      </w:r>
      <w:r>
        <w:rPr>
          <w:color w:val="000000"/>
          <w:vertAlign w:val="subscript"/>
        </w:rPr>
        <w:t>1</w:t>
      </w:r>
      <w:r>
        <w:rPr>
          <w:color w:val="000000"/>
        </w:rPr>
        <w:t>灯座短路，电流从电源正极不经过灯泡流向负极，会形成电源短路，烧坏电源，电路不能正常工作，不符合题意，故A错误；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B．若L</w:t>
      </w:r>
      <w:r>
        <w:rPr>
          <w:color w:val="000000"/>
          <w:vertAlign w:val="subscript"/>
        </w:rPr>
        <w:t>2</w:t>
      </w:r>
      <w:r>
        <w:rPr>
          <w:color w:val="000000"/>
        </w:rPr>
        <w:t>的灯丝断开了，则L</w:t>
      </w:r>
      <w:r>
        <w:rPr>
          <w:color w:val="000000"/>
          <w:vertAlign w:val="subscript"/>
        </w:rPr>
        <w:t>2</w:t>
      </w:r>
      <w:r>
        <w:rPr>
          <w:color w:val="000000"/>
        </w:rPr>
        <w:t>不发光，不符合题意，故B错误；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C．若导线2断路，则整个电路开路，灯泡均不发光，不符合题意，故C错误；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D．若导线3断路，L</w:t>
      </w:r>
      <w:r>
        <w:rPr>
          <w:color w:val="000000"/>
          <w:vertAlign w:val="subscript"/>
        </w:rPr>
        <w:t>1</w:t>
      </w:r>
      <w:r>
        <w:rPr>
          <w:color w:val="000000"/>
        </w:rPr>
        <w:t>不发光，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能发光，符合题意，</w:t>
      </w:r>
      <w:r>
        <w:rPr>
          <w:color w:val="000000"/>
        </w:rPr>
        <w:t>故D正确。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用如图所示电路探究串联电路中电流特点。关于实验，下列说法中正确的是（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28700" cy="7620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可通过灯泡亮暗判断电流的大小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两个实验中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规格都应相同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为得到普遍规律，应保持器材不变再实验两次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最好选用三个相同的电流表串联接入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处测量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【详解】AC．因灯泡的亮暗变化不易观察，所以不能通过灯泡亮暗判断电流的大小；为了使实验结论具有普遍性，应选择不同型号的小灯泡进行实验，故AC错误；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B．为了避免特殊性和偶然性，</w:t>
      </w:r>
      <w:r>
        <w:rPr>
          <w:rFonts w:ascii="宋体" w:eastAsia="宋体" w:hAnsi="宋体" w:cs="宋体"/>
          <w:color w:val="000000"/>
        </w:rPr>
        <w:t>两个实验中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规格应不同，故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探究串联电路的电流特点时，要用电流表分别测出电路中不同位置的电流，所以要选用电流表，因为不同量程电流表的分度值不同，准确程度不同，并且不同型号的电流表的灵敏度也不一定相同，所以最好选用型号相同、量程相同的三个电流表测量，故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1"/>
          <w:footerReference w:type="even" r:id="rId22"/>
          <w:headerReference w:type="first" r:id="rId23"/>
          <w:footerReference w:type="first" r:id="rId24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7. 某款感应式垃圾桶如图所示。其工作原理如下：启动开关闭合后，垃圾桶才能正常使用此时指示灯亮起；扔垃圾时只需将手伸到感应区上方一定距离内，感应开关自动闭合，动力装置工作，垃圾桶盖缓缓打开；手离开5秒后动力装置会控制桶盖闭合，然后感应开关自动断开。下列电路符合要求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28700" cy="11049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628775" cy="1524000"/>
            <wp:effectExtent l="0" t="0" r="952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838325" cy="158115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695450" cy="16954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981200" cy="1685925"/>
            <wp:effectExtent l="0" t="0" r="0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启动开关闭合后，垃圾桶才能正常使用，此时指示灯亮起；扔垃圾时只需将手伸到感应区上方一定距离内，感应开关自动闭合，动力装置工作，垃圾桶盖缓缓打开，这表明灯泡和动力装置能各自独立工作，并联在电路中，启动开关接在干路中，控制整个电路；感应开关控制动力装置，串联在一条支路中，故C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</w:t>
      </w:r>
      <w:r>
        <w:rPr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1879324638" name="图片 1879324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324638" name="图片 18793246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一端封闭的两个完全相同的玻璃管（如图所示），甲中装水，乙中装食用油。两完全相同的金属小球从。处静止释放，下落到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处，小球在食用油中下落的时间更长。比较两小球从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处到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处的下落情况，小球（　　）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628775" cy="1400175"/>
            <wp:effectExtent l="0" t="0" r="9525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重力势能变化量相同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获得的动能相同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重力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1879324636" name="图片 187932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324636" name="图片 18793246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水中做功慢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机械能不变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．两个完全相同的金属小球从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处静止释放，下落到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处，下落的高度相同，小球的质量相同，则小球的重力势能变化量相同，故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．小球在食用油中下落的时间更长，则小球在食用油中的速度小，质量相同，小球在食用油中的动能小，故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．小球的质量相同，重力相同，根据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1.15pt;height:30.8pt" o:ole="" coordsize="21600,21600" o:preferrelative="t" filled="f" stroked="f">
            <v:stroke joinstyle="miter"/>
            <v:imagedata r:id="rId36" o:title="eqIdfdc5a759bee985edf600c203c04cf6df"/>
            <o:lock v:ext="edit" aspectratio="t"/>
            <w10:anchorlock/>
          </v:shape>
          <o:OLEObject Type="Embed" ProgID="Equation.DSMT4" ShapeID="_x0000_i1026" DrawAspect="Content" ObjectID="_1468075726" r:id="rId37"/>
        </w:object>
      </w:r>
      <w:r>
        <w:rPr>
          <w:rFonts w:ascii="宋体" w:eastAsia="宋体" w:hAnsi="宋体" w:cs="宋体"/>
          <w:color w:val="000000"/>
        </w:rPr>
        <w:t>可知，小球在食用油中重力做功慢，故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．小球在运动过程中受到液体的阻力，克服阻力做功，机械能会变小，故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如图所示描述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79324642" name="图片 1879324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324642" name="图片 18793246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物理过程，下列分析正确的是（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781425" cy="169545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图甲：厚玻璃筒内的空气被压缩时，空气的温度升高，内能不变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图乙：瓶子内的空气推动塞子做功后，瓶子内空气的内能增大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图丙：试管内的水蒸气推动塞子冲出时，水蒸气的内能增加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图丁：汽缸内的气体推动活塞向下运动，内能转化为机械能，气体内能减少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【详解】A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图甲中厚玻璃内的空气被压缩时，活塞对空气做功,瓶内空气温度升高,空气的内能增加，故A 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图乙中瓶子内的空气推动塞子跳起时，空气对活塞做功，内能转化为机械能,空气的内能减小，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故B错误；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图丙中试管内的水蒸气推动了塞子冲出时，水蒸气对塞子做功，水蒸气的内能转化为塞子的机械 能，水蒸气的内能减少，故C错误；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t>图丁中汽缸内的气体推动活塞向下运动时(即 做功冲程)，内能转化为机械能，气体的内能减 少，故D正确。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color w:val="000000"/>
        </w:rPr>
        <w:t xml:space="preserve"> D 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如图甲所示，是电阻箱，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是定值电阻。闭合开关，改变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的阻值，两电流表示数与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关系图像如图乙所示，则电源电压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关系图像正确的是（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76525" cy="1381125"/>
            <wp:effectExtent l="0" t="0" r="9525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619250" cy="110490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162050" cy="95250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676400" cy="129540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628775" cy="120015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.由图甲可知，电阻箱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与定值电阻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并联，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测通过电阻箱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的电流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测干路电流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。由并联电路电流规律可知，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的示数大于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的示数，由图乙可知，干路电流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随电阻</w:t>
      </w:r>
      <w:r>
        <w:rPr>
          <w:rFonts w:ascii="Times New Roman" w:eastAsia="Times New Roman" w:hAnsi="Times New Roman" w:cs="Times New Roman"/>
          <w:color w:val="000000"/>
        </w:rPr>
        <w:t> 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的变大保持不变，由并联电路电流规律及欧姆定律可得，干路电流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9.85pt;height:33.95pt" o:ole="" coordsize="21600,21600" o:preferrelative="t" filled="f" stroked="f">
            <v:stroke joinstyle="miter"/>
            <v:imagedata r:id="rId49" o:title="eqIdd319e110ad8cae3aa2286fa8b2b83be6"/>
            <o:lock v:ext="edit" aspectratio="t"/>
            <w10:anchorlock/>
          </v:shape>
          <o:OLEObject Type="Embed" ProgID="Equation.DSMT4" ShapeID="_x0000_i1027" DrawAspect="Content" ObjectID="_1468075727" r:id="rId50"/>
        </w:objec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51"/>
          <w:footerReference w:type="even" r:id="rId52"/>
          <w:headerReference w:type="first" r:id="rId53"/>
          <w:footerReference w:type="first" r:id="rId54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不变，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变大，则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变大，即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随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变大而变大，故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.由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9.25pt;height:33.75pt" o:ole="" coordsize="21600,21600" o:preferrelative="t" filled="f" stroked="f">
            <v:stroke joinstyle="miter"/>
            <v:imagedata r:id="rId55" o:title="eqIde646c09461e382063d8cb3abbbe3bd69"/>
            <o:lock v:ext="edit" aspectratio="t"/>
            <w10:anchorlock/>
          </v:shape>
          <o:OLEObject Type="Embed" ProgID="Equation.DSMT4" ShapeID="_x0000_i1028" DrawAspect="Content" ObjectID="_1468075728" r:id="rId56"/>
        </w:object>
      </w:r>
      <w:r>
        <w:rPr>
          <w:rFonts w:ascii="宋体" w:eastAsia="宋体" w:hAnsi="宋体" w:cs="宋体"/>
          <w:color w:val="000000"/>
        </w:rPr>
        <w:t>可得，电源电压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77pt;height:34.35pt" o:ole="" coordsize="21600,21600" o:preferrelative="t" filled="f" stroked="f">
            <v:stroke joinstyle="miter"/>
            <v:imagedata r:id="rId57" o:title="eqId72767e576f92c06e15d386a2e2fb7efb"/>
            <o:lock v:ext="edit" aspectratio="t"/>
            <w10:anchorlock/>
          </v:shape>
          <o:OLEObject Type="Embed" ProgID="Equation.DSMT4" ShapeID="_x0000_i1029" DrawAspect="Content" ObjectID="_1468075729" r:id="rId5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不变，当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0 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也为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，当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变大且远大于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8.8pt;height:34.15pt" o:ole="" coordsize="21600,21600" o:preferrelative="t" filled="f" stroked="f">
            <v:stroke joinstyle="miter"/>
            <v:imagedata r:id="rId59" o:title="eqIdd40e3ea79bceee8d780d6c5bb456e3c8"/>
            <o:lock v:ext="edit" aspectratio="t"/>
            <w10:anchorlock/>
          </v:shape>
          <o:OLEObject Type="Embed" ProgID="Equation.DSMT4" ShapeID="_x0000_i1030" DrawAspect="Content" ObjectID="_1468075730" r:id="rId60"/>
        </w:object>
      </w:r>
      <w:r>
        <w:rPr>
          <w:rFonts w:ascii="宋体" w:eastAsia="宋体" w:hAnsi="宋体" w:cs="宋体"/>
          <w:color w:val="000000"/>
        </w:rPr>
        <w:t>接近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接近</w:t>
      </w:r>
      <w:r>
        <w:rPr>
          <w:rFonts w:ascii="Times New Roman" w:eastAsia="Times New Roman" w:hAnsi="Times New Roman" w:cs="Times New Roman"/>
          <w:i/>
          <w:color w:val="000000"/>
        </w:rPr>
        <w:t>IR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接近某一定值，故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二、非选择题（共计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将铝箔卷成筒状，上端封闭后内装一截火柴头，下端开口并装上尾翼制成“小火箭”，将它套在发射架上，如图甲所示，加热其上端，“小火箭”就会发射升空。该实验中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能直接转化为“小火箭”的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能，其原理与图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（乙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丙）冲程相同。某汽油机飞轮转速为</w:t>
      </w:r>
      <w:r>
        <w:rPr>
          <w:rFonts w:ascii="Times New Roman" w:eastAsia="Times New Roman" w:hAnsi="Times New Roman" w:cs="Times New Roman"/>
          <w:color w:val="000000"/>
        </w:rPr>
        <w:t>1200r/min</w:t>
      </w:r>
      <w:r>
        <w:rPr>
          <w:rFonts w:ascii="宋体" w:eastAsia="宋体" w:hAnsi="宋体" w:cs="宋体"/>
          <w:color w:val="000000"/>
        </w:rPr>
        <w:t>，则该汽油机每秒做功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52675" cy="1343025"/>
            <wp:effectExtent l="0" t="0" r="9525" b="9525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内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机械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丙</w:t>
      </w:r>
      <w:r>
        <w:rPr>
          <w:color w:val="000000"/>
        </w:rPr>
        <w:t xml:space="preserve">    ④. 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[1][2]</w:t>
      </w:r>
      <w:r>
        <w:rPr>
          <w:rFonts w:ascii="宋体" w:eastAsia="宋体" w:hAnsi="宋体" w:cs="宋体"/>
          <w:color w:val="000000"/>
        </w:rPr>
        <w:t>加热其上端，“小火箭”就会发射升空，此过程中，消耗了内能，获得了机械能，所以是内能直接转化为“小火箭”的机械能。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乙图两气门关闭，活塞上行，是压缩冲程，此冲程中机械能转化为内能；丙图两气门关闭，活塞下行，是做功冲程，此冲程中内能转化为机械能；所以，该实验的原理和丙图的冲程相同。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[4]</w:t>
      </w:r>
      <w:r>
        <w:rPr>
          <w:rFonts w:ascii="宋体" w:eastAsia="宋体" w:hAnsi="宋体" w:cs="宋体"/>
          <w:color w:val="000000"/>
        </w:rPr>
        <w:t>汽油机的一个工作循环包含四个冲程，对外做功一次，飞轮转两周，汽油机飞轮转速为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1200r/min=20r/s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则该汽油机每秒做功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62"/>
          <w:footerReference w:type="even" r:id="rId63"/>
          <w:headerReference w:type="first" r:id="rId64"/>
          <w:footerReference w:type="first" r:id="rId65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小明用如图所示的装置探究“动能大小的影响因素”。两次实验中他分别将大小不同的实心钢球从相同的高度由静止释放，下摆后将水平木板上的木块撞出一段距离。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85975" cy="895350"/>
            <wp:effectExtent l="0" t="0" r="9525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）该实验是为了探究动能与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的关系；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）实验中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（选填“需要”或“不需要”）确保木块的初始位置相同；钢球动能的大小是通过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来反映的；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）为探究动能与另一因素的关系，小明应该选择同一钢球，从不同高度静止释放，使钢球到达竖直位置的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不同。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质量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需要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速度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【详解】（1）[1]实验中，用的大小相同的钢球从相同高度释放，钢球的速度相同，质量不相同，故探究动能与质量的关系。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（2）[2]实验使用控制变量法和转换法，通过木块滑行距离反映动能大小，故需要木块初始位置相同。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（3）[3]探究动能与速度的关系，需要保持质量相等，钢球到达竖直位置的水平方向速度不同。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如图所示，塔式起重机上的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i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三个滑轮构成滑轮组，将重为</w:t>
      </w:r>
      <w:r>
        <w:rPr>
          <w:rFonts w:ascii="Times New Roman" w:eastAsia="Times New Roman" w:hAnsi="Times New Roman" w:cs="Times New Roman"/>
          <w:color w:val="000000"/>
        </w:rPr>
        <w:t>9.0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7" o:title="eqId2468403b3eba9e40bfa36f464e927738"/>
            <o:lock v:ext="edit" aspectratio="t"/>
            <w10:anchorlock/>
          </v:shape>
          <o:OLEObject Type="Embed" ProgID="Equation.DSMT4" ShapeID="_x0000_i1031" DrawAspect="Content" ObjectID="_1468075731" r:id="rId68"/>
        </w:object>
      </w:r>
      <w:r>
        <w:rPr>
          <w:rFonts w:ascii="Times New Roman" w:eastAsia="Times New Roman" w:hAnsi="Times New Roman" w:cs="Times New Roman"/>
          <w:color w:val="000000"/>
        </w:rPr>
        <w:t>l0</w:t>
      </w:r>
      <w:r>
        <w:rPr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的重物匀速吊起，重物</w:t>
      </w:r>
      <w:r>
        <w:rPr>
          <w:rFonts w:ascii="Times New Roman" w:eastAsia="Times New Roman" w:hAnsi="Times New Roman" w:cs="Times New Roman"/>
          <w:color w:val="000000"/>
        </w:rPr>
        <w:t>10s</w:t>
      </w:r>
      <w:r>
        <w:rPr>
          <w:rFonts w:ascii="宋体" w:eastAsia="宋体" w:hAnsi="宋体" w:cs="宋体"/>
          <w:color w:val="000000"/>
        </w:rPr>
        <w:t>内上升</w:t>
      </w:r>
      <w:r>
        <w:rPr>
          <w:rFonts w:ascii="Times New Roman" w:eastAsia="Times New Roman" w:hAnsi="Times New Roman" w:cs="Times New Roman"/>
          <w:color w:val="000000"/>
        </w:rPr>
        <w:t>10m</w:t>
      </w:r>
      <w:r>
        <w:rPr>
          <w:rFonts w:ascii="宋体" w:eastAsia="宋体" w:hAnsi="宋体" w:cs="宋体"/>
          <w:color w:val="000000"/>
        </w:rPr>
        <w:t>，滑轮组的机械效率为</w:t>
      </w:r>
      <w:r>
        <w:rPr>
          <w:rFonts w:ascii="Times New Roman" w:eastAsia="Times New Roman" w:hAnsi="Times New Roman" w:cs="Times New Roman"/>
          <w:color w:val="000000"/>
        </w:rPr>
        <w:t>90%</w:t>
      </w:r>
      <w:r>
        <w:rPr>
          <w:rFonts w:ascii="宋体" w:eastAsia="宋体" w:hAnsi="宋体" w:cs="宋体"/>
          <w:color w:val="000000"/>
        </w:rPr>
        <w:t>。三个滑轮中为定滑轮的是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，拉力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移动的距离为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，拉力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的功率是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，动滑轮的重力最大为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762000" cy="1123950"/>
            <wp:effectExtent l="0" t="0" r="0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color w:val="000000"/>
        </w:rPr>
        <w:t xml:space="preserve">    ③.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1.65pt;height:16pt" o:ole="" coordsize="21600,21600" o:preferrelative="t" filled="f" stroked="f">
            <v:stroke joinstyle="miter"/>
            <v:imagedata r:id="rId70" o:title="eqId068dec1dc2cf6581d4e48f7d22e2f028"/>
            <o:lock v:ext="edit" aspectratio="t"/>
            <w10:anchorlock/>
          </v:shape>
          <o:OLEObject Type="Embed" ProgID="Equation.DSMT4" ShapeID="_x0000_i1032" DrawAspect="Content" ObjectID="_1468075732" r:id="rId71"/>
        </w:object>
      </w:r>
      <w:r>
        <w:rPr>
          <w:color w:val="000000"/>
        </w:rPr>
        <w:t xml:space="preserve">    ④.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2.25pt;height:15.75pt" o:ole="" coordsize="21600,21600" o:preferrelative="t" filled="f" stroked="f">
            <v:stroke joinstyle="miter"/>
            <v:imagedata r:id="rId72" o:title="eqId6c98b309cc93f367dc07e0513f1fead4"/>
            <o:lock v:ext="edit" aspectratio="t"/>
            <w10:anchorlock/>
          </v:shape>
          <o:OLEObject Type="Embed" ProgID="Equation.DSMT4" ShapeID="_x0000_i1033" DrawAspect="Content" ObjectID="_1468075733" r:id="rId7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定滑轮是指轴固定不动的滑轮，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是定滑轮，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是动滑轮。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动滑轮上绳子的段数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=3</w:t>
      </w:r>
      <w:r>
        <w:rPr>
          <w:rFonts w:ascii="宋体" w:eastAsia="宋体" w:hAnsi="宋体" w:cs="宋体"/>
          <w:color w:val="000000"/>
        </w:rPr>
        <w:t>，拉力移动的距离为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35pt;height:13pt" o:ole="" coordsize="21600,21600" o:preferrelative="t" filled="f" stroked="f">
            <v:stroke joinstyle="miter"/>
            <v:imagedata r:id="rId74" o:title="eqIdd167a9f6c24379df9eb4579e5d037321"/>
            <o:lock v:ext="edit" aspectratio="t"/>
            <w10:anchorlock/>
          </v:shape>
          <o:OLEObject Type="Embed" ProgID="Equation.DSMT4" ShapeID="_x0000_i1034" DrawAspect="Content" ObjectID="_1468075734" r:id="rId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滑轮组的有用功为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70.9pt;height:20.05pt" o:ole="" coordsize="21600,21600" o:preferrelative="t" filled="f" stroked="f">
            <v:stroke joinstyle="miter"/>
            <v:imagedata r:id="rId76" o:title="eqIdd7767fa7e3ed425d7f1c6b04aa857e68"/>
            <o:lock v:ext="edit" aspectratio="t"/>
            <w10:anchorlock/>
          </v:shape>
          <o:OLEObject Type="Embed" ProgID="Equation.DSMT4" ShapeID="_x0000_i1035" DrawAspect="Content" ObjectID="_1468075735" r:id="rId77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8"/>
          <w:footerReference w:type="even" r:id="rId79"/>
          <w:headerReference w:type="first" r:id="rId80"/>
          <w:footerReference w:type="first" r:id="rId81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0.75pt;height:36pt" o:ole="" coordsize="21600,21600" o:preferrelative="t" filled="f" stroked="f">
            <v:stroke joinstyle="miter"/>
            <v:imagedata r:id="rId82" o:title="eqIda37d636f2104026e0526970248764254"/>
            <o:lock v:ext="edit" aspectratio="t"/>
            <w10:anchorlock/>
          </v:shape>
          <o:OLEObject Type="Embed" ProgID="Equation.DSMT4" ShapeID="_x0000_i1036" DrawAspect="Content" ObjectID="_1468075736" r:id="rId83"/>
        </w:object>
      </w:r>
      <w:r>
        <w:rPr>
          <w:rFonts w:ascii="宋体" w:eastAsia="宋体" w:hAnsi="宋体" w:cs="宋体"/>
          <w:color w:val="000000"/>
        </w:rPr>
        <w:t>可得，滑轮组的总功为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45.9pt;height:35.05pt" o:ole="" coordsize="21600,21600" o:preferrelative="t" filled="f" stroked="f">
            <v:stroke joinstyle="miter"/>
            <v:imagedata r:id="rId84" o:title="eqId3515b079e823162de7ab85049e2fa9ea"/>
            <o:lock v:ext="edit" aspectratio="t"/>
            <w10:anchorlock/>
          </v:shape>
          <o:OLEObject Type="Embed" ProgID="Equation.DSMT4" ShapeID="_x0000_i1037" DrawAspect="Content" ObjectID="_1468075737" r:id="rId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9.15pt;height:13.8pt" o:ole="" coordsize="21600,21600" o:preferrelative="t" filled="f" stroked="f">
            <v:stroke joinstyle="miter"/>
            <v:imagedata r:id="rId86" o:title="eqIdd680be8aed08faf32a07c0d6905d2771"/>
            <o:lock v:ext="edit" aspectratio="t"/>
            <w10:anchorlock/>
          </v:shape>
          <o:OLEObject Type="Embed" ProgID="Equation.DSMT4" ShapeID="_x0000_i1038" DrawAspect="Content" ObjectID="_1468075738" r:id="rId87"/>
        </w:object>
      </w:r>
      <w:r>
        <w:rPr>
          <w:rFonts w:ascii="宋体" w:eastAsia="宋体" w:hAnsi="宋体" w:cs="宋体"/>
          <w:color w:val="000000"/>
        </w:rPr>
        <w:t>可知，拉力的功率为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47.15pt;height:32.85pt" o:ole="" coordsize="21600,21600" o:preferrelative="t" filled="f" stroked="f">
            <v:stroke joinstyle="miter"/>
            <v:imagedata r:id="rId88" o:title="eqIdb67fb518656b1e007a773999d49fcb58"/>
            <o:lock v:ext="edit" aspectratio="t"/>
            <w10:anchorlock/>
          </v:shape>
          <o:OLEObject Type="Embed" ProgID="Equation.DSMT4" ShapeID="_x0000_i1039" DrawAspect="Content" ObjectID="_1468075739" r:id="rId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[4]</w:t>
      </w:r>
      <w:r>
        <w:rPr>
          <w:rFonts w:ascii="宋体" w:eastAsia="宋体" w:hAnsi="宋体" w:cs="宋体"/>
          <w:color w:val="000000"/>
        </w:rPr>
        <w:t>滑轮组的额外功为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14.1pt;height:20.05pt" o:ole="" coordsize="21600,21600" o:preferrelative="t" filled="f" stroked="f">
            <v:stroke joinstyle="miter"/>
            <v:imagedata r:id="rId90" o:title="eqId8ac37886ab52e842d0d95762834bb375"/>
            <o:lock v:ext="edit" aspectratio="t"/>
            <w10:anchorlock/>
          </v:shape>
          <o:OLEObject Type="Embed" ProgID="Equation.DSMT4" ShapeID="_x0000_i1040" DrawAspect="Content" ObjectID="_1468075740" r:id="rId9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动滑轮的重为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in;height:32.85pt" o:ole="" coordsize="21600,21600" o:preferrelative="t" filled="f" stroked="f">
            <v:stroke joinstyle="miter"/>
            <v:imagedata r:id="rId92" o:title="eqId48582e7d16a91495f0ce58c8fe7e54f7"/>
            <o:lock v:ext="edit" aspectratio="t"/>
            <w10:anchorlock/>
          </v:shape>
          <o:OLEObject Type="Embed" ProgID="Equation.DSMT4" ShapeID="_x0000_i1041" DrawAspect="Content" ObjectID="_1468075741" r:id="rId93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有质量均为</w:t>
      </w:r>
      <w:r>
        <w:rPr>
          <w:rFonts w:ascii="Times New Roman" w:eastAsia="Times New Roman" w:hAnsi="Times New Roman" w:cs="Times New Roman"/>
          <w:color w:val="000000"/>
        </w:rPr>
        <w:t>1kg</w:t>
      </w:r>
      <w:r>
        <w:rPr>
          <w:rFonts w:ascii="宋体" w:eastAsia="宋体" w:hAnsi="宋体" w:cs="宋体"/>
          <w:color w:val="000000"/>
        </w:rPr>
        <w:t>的甲、乙、丙三种液体，当甲、乙、丙的温度分别升高</w:t>
      </w:r>
      <w:r>
        <w:rPr>
          <w:rFonts w:ascii="Times New Roman" w:eastAsia="Times New Roman" w:hAnsi="Times New Roman" w:cs="Times New Roman"/>
          <w:color w:val="000000"/>
        </w:rPr>
        <w:t>1°C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0.5°C、0.5°C</w:t>
      </w:r>
      <w:r>
        <w:rPr>
          <w:rFonts w:ascii="宋体" w:eastAsia="宋体" w:hAnsi="宋体" w:cs="宋体"/>
          <w:color w:val="000000"/>
        </w:rPr>
        <w:t>时，吸收的热量如图所示。分析可知，当甲液体温度降低</w:t>
      </w:r>
      <w:r>
        <w:rPr>
          <w:rFonts w:ascii="Times New Roman" w:eastAsia="Times New Roman" w:hAnsi="Times New Roman" w:cs="Times New Roman"/>
          <w:color w:val="000000"/>
        </w:rPr>
        <w:t>0.5°C</w:t>
      </w:r>
      <w:r>
        <w:rPr>
          <w:rFonts w:ascii="宋体" w:eastAsia="宋体" w:hAnsi="宋体" w:cs="宋体"/>
          <w:color w:val="000000"/>
        </w:rPr>
        <w:t>时释放的热量为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J</w:t>
      </w:r>
      <w:r>
        <w:rPr>
          <w:rFonts w:ascii="宋体" w:eastAsia="宋体" w:hAnsi="宋体" w:cs="宋体"/>
          <w:color w:val="000000"/>
        </w:rPr>
        <w:t>；不同物质的比热容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（选填“可能”或“不可能”）相同；甲、乙两种物质的比热容之比为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，其中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作为冷却剂效果更好。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24000" cy="1104900"/>
            <wp:effectExtent l="0" t="0" r="0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1500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可能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乙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【详解】[1]由图可知，甲的温度升高1℃时吸收的热量时3000J，根据</w:t>
      </w:r>
      <w:r>
        <w:rPr>
          <w:i/>
          <w:color w:val="000000"/>
        </w:rPr>
        <w:t>Q</w:t>
      </w:r>
      <w:r>
        <w:rPr>
          <w:color w:val="000000"/>
        </w:rPr>
        <w:t>=</w:t>
      </w:r>
      <w:r>
        <w:rPr>
          <w:i/>
          <w:color w:val="000000"/>
        </w:rPr>
        <w:t>cm</w:t>
      </w:r>
      <w:r>
        <w:rPr>
          <w:color w:val="000000"/>
        </w:rPr>
        <w:t>∆</w:t>
      </w:r>
      <w:r>
        <w:rPr>
          <w:i/>
          <w:color w:val="000000"/>
        </w:rPr>
        <w:t>t</w:t>
      </w:r>
      <w:r>
        <w:rPr>
          <w:color w:val="000000"/>
        </w:rPr>
        <w:t>可知，当</w:t>
      </w:r>
      <w:r>
        <w:rPr>
          <w:rFonts w:ascii="宋体" w:eastAsia="宋体" w:hAnsi="宋体" w:cs="宋体"/>
          <w:color w:val="000000"/>
        </w:rPr>
        <w:t>甲液体温度降低</w:t>
      </w:r>
      <w:r>
        <w:rPr>
          <w:rFonts w:ascii="Times New Roman" w:eastAsia="Times New Roman" w:hAnsi="Times New Roman" w:cs="Times New Roman"/>
          <w:color w:val="000000"/>
        </w:rPr>
        <w:t>0.5°C</w:t>
      </w:r>
      <w:r>
        <w:rPr>
          <w:rFonts w:ascii="宋体" w:eastAsia="宋体" w:hAnsi="宋体" w:cs="宋体"/>
          <w:color w:val="000000"/>
        </w:rPr>
        <w:t>，甲放出的热量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Times New Roman" w:eastAsia="Times New Roman" w:hAnsi="Times New Roman" w:cs="Times New Roman"/>
          <w:color w:val="000000"/>
        </w:rPr>
        <w:t>'=0.5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color w:val="000000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000000"/>
        </w:rPr>
        <w:t>=0.5</w:t>
      </w:r>
      <w:r>
        <w:rPr>
          <w:color w:val="000000"/>
        </w:rPr>
        <w:t>×3000J=1500J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[2]根据图中信息可知，乙、丙是不同物质，当它们的质量和变化的温度相同时，它们吸收的热量也相同，故它们的比热容也相同，所以不同物质的比热容可能相同。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[3]根据图中信息可知，</w:t>
      </w:r>
      <w:r>
        <w:rPr>
          <w:rFonts w:ascii="宋体" w:eastAsia="宋体" w:hAnsi="宋体" w:cs="宋体"/>
          <w:color w:val="000000"/>
        </w:rPr>
        <w:t>当甲、乙的温度分别升高</w:t>
      </w:r>
      <w:r>
        <w:rPr>
          <w:rFonts w:ascii="Times New Roman" w:eastAsia="Times New Roman" w:hAnsi="Times New Roman" w:cs="Times New Roman"/>
          <w:color w:val="000000"/>
        </w:rPr>
        <w:t>1°C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0.5°C</w:t>
      </w:r>
      <w:r>
        <w:rPr>
          <w:rFonts w:ascii="宋体" w:eastAsia="宋体" w:hAnsi="宋体" w:cs="宋体"/>
          <w:color w:val="000000"/>
        </w:rPr>
        <w:t>时，吸收的热量分别为</w:t>
      </w:r>
      <w:r>
        <w:rPr>
          <w:rFonts w:ascii="Times New Roman" w:eastAsia="Times New Roman" w:hAnsi="Times New Roman" w:cs="Times New Roman"/>
          <w:color w:val="000000"/>
        </w:rPr>
        <w:t>3000J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2000J</w:t>
      </w:r>
      <w:r>
        <w:rPr>
          <w:rFonts w:ascii="宋体" w:eastAsia="宋体" w:hAnsi="宋体" w:cs="宋体"/>
          <w:color w:val="000000"/>
        </w:rPr>
        <w:t>，则甲、乙两种物质的比热容之比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35pt;height:60.75pt" o:ole="" coordsize="21600,21600" o:preferrelative="t" filled="f" stroked="f">
            <v:stroke joinstyle="miter"/>
            <v:imagedata r:id="rId95" o:title="eqIdcbc34aee9949b32c59191ea676bbf9b8"/>
            <o:lock v:ext="edit" aspectratio="t"/>
            <w10:anchorlock/>
          </v:shape>
          <o:OLEObject Type="Embed" ProgID="Equation.DSMT4" ShapeID="_x0000_i1042" DrawAspect="Content" ObjectID="_1468075742" r:id="rId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https://d.book118.com/227110043050006040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98"/>
      <w:footerReference w:type="even" r:id="rId99"/>
      <w:headerReference w:type="first" r:id="rId100"/>
      <w:footerReference w:type="first" r:id="rId101"/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9136607"/>
    <w:rsid w:val="38274566"/>
  </w:rsids>
  <w:docVars>
    <w:docVar w:name="commondata" w:val="eyJoZGlkIjoiZmIwODM5ODM1NGY5OGFiMzk2YTExZDYxN2M5NzcyY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header" Target="header18.xml" /><Relationship Id="rId101" Type="http://schemas.openxmlformats.org/officeDocument/2006/relationships/footer" Target="footer18.xml" /><Relationship Id="rId102" Type="http://schemas.openxmlformats.org/officeDocument/2006/relationships/theme" Target="theme/theme1.xml" /><Relationship Id="rId103" Type="http://schemas.openxmlformats.org/officeDocument/2006/relationships/styles" Target="styles.xml" /><Relationship Id="rId11" Type="http://schemas.openxmlformats.org/officeDocument/2006/relationships/footer" Target="footer2.xml" /><Relationship Id="rId12" Type="http://schemas.openxmlformats.org/officeDocument/2006/relationships/image" Target="media/image4.png" /><Relationship Id="rId13" Type="http://schemas.openxmlformats.org/officeDocument/2006/relationships/image" Target="media/image5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6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13.png" /><Relationship Id="rId35" Type="http://schemas.openxmlformats.org/officeDocument/2006/relationships/image" Target="media/image14.wmf" /><Relationship Id="rId36" Type="http://schemas.openxmlformats.org/officeDocument/2006/relationships/image" Target="media/image15.wmf" /><Relationship Id="rId37" Type="http://schemas.openxmlformats.org/officeDocument/2006/relationships/oleObject" Target="embeddings/oleObject2.bin" /><Relationship Id="rId38" Type="http://schemas.openxmlformats.org/officeDocument/2006/relationships/image" Target="media/image16.wmf" /><Relationship Id="rId39" Type="http://schemas.openxmlformats.org/officeDocument/2006/relationships/image" Target="media/image17.png" /><Relationship Id="rId4" Type="http://schemas.openxmlformats.org/officeDocument/2006/relationships/customXml" Target="../customXml/item1.xml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18.png" /><Relationship Id="rId45" Type="http://schemas.openxmlformats.org/officeDocument/2006/relationships/image" Target="media/image19.png" /><Relationship Id="rId46" Type="http://schemas.openxmlformats.org/officeDocument/2006/relationships/image" Target="media/image20.png" /><Relationship Id="rId47" Type="http://schemas.openxmlformats.org/officeDocument/2006/relationships/image" Target="media/image21.png" /><Relationship Id="rId48" Type="http://schemas.openxmlformats.org/officeDocument/2006/relationships/image" Target="media/image22.png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3.bin" /><Relationship Id="rId51" Type="http://schemas.openxmlformats.org/officeDocument/2006/relationships/header" Target="header11.xml" /><Relationship Id="rId52" Type="http://schemas.openxmlformats.org/officeDocument/2006/relationships/footer" Target="footer11.xml" /><Relationship Id="rId53" Type="http://schemas.openxmlformats.org/officeDocument/2006/relationships/header" Target="header12.xml" /><Relationship Id="rId54" Type="http://schemas.openxmlformats.org/officeDocument/2006/relationships/footer" Target="footer12.xml" /><Relationship Id="rId55" Type="http://schemas.openxmlformats.org/officeDocument/2006/relationships/image" Target="media/image24.wmf" /><Relationship Id="rId56" Type="http://schemas.openxmlformats.org/officeDocument/2006/relationships/oleObject" Target="embeddings/oleObject4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5.bin" /><Relationship Id="rId59" Type="http://schemas.openxmlformats.org/officeDocument/2006/relationships/image" Target="media/image26.wmf" /><Relationship Id="rId6" Type="http://schemas.openxmlformats.org/officeDocument/2006/relationships/image" Target="media/image2.png" /><Relationship Id="rId60" Type="http://schemas.openxmlformats.org/officeDocument/2006/relationships/oleObject" Target="embeddings/oleObject6.bin" /><Relationship Id="rId61" Type="http://schemas.openxmlformats.org/officeDocument/2006/relationships/image" Target="media/image27.png" /><Relationship Id="rId62" Type="http://schemas.openxmlformats.org/officeDocument/2006/relationships/header" Target="header13.xml" /><Relationship Id="rId63" Type="http://schemas.openxmlformats.org/officeDocument/2006/relationships/footer" Target="footer13.xml" /><Relationship Id="rId64" Type="http://schemas.openxmlformats.org/officeDocument/2006/relationships/header" Target="header14.xml" /><Relationship Id="rId65" Type="http://schemas.openxmlformats.org/officeDocument/2006/relationships/footer" Target="footer14.xml" /><Relationship Id="rId66" Type="http://schemas.openxmlformats.org/officeDocument/2006/relationships/image" Target="media/image28.png" /><Relationship Id="rId67" Type="http://schemas.openxmlformats.org/officeDocument/2006/relationships/image" Target="media/image29.wmf" /><Relationship Id="rId68" Type="http://schemas.openxmlformats.org/officeDocument/2006/relationships/oleObject" Target="embeddings/oleObject7.bin" /><Relationship Id="rId69" Type="http://schemas.openxmlformats.org/officeDocument/2006/relationships/image" Target="media/image30.png" /><Relationship Id="rId7" Type="http://schemas.openxmlformats.org/officeDocument/2006/relationships/image" Target="media/image3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8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9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10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11.bin" /><Relationship Id="rId78" Type="http://schemas.openxmlformats.org/officeDocument/2006/relationships/header" Target="header15.xml" /><Relationship Id="rId79" Type="http://schemas.openxmlformats.org/officeDocument/2006/relationships/footer" Target="footer15.xml" /><Relationship Id="rId8" Type="http://schemas.openxmlformats.org/officeDocument/2006/relationships/header" Target="header1.xml" /><Relationship Id="rId80" Type="http://schemas.openxmlformats.org/officeDocument/2006/relationships/header" Target="header16.xml" /><Relationship Id="rId81" Type="http://schemas.openxmlformats.org/officeDocument/2006/relationships/footer" Target="footer16.xml" /><Relationship Id="rId82" Type="http://schemas.openxmlformats.org/officeDocument/2006/relationships/image" Target="media/image35.wmf" /><Relationship Id="rId83" Type="http://schemas.openxmlformats.org/officeDocument/2006/relationships/oleObject" Target="embeddings/oleObject12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13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14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15.bin" /><Relationship Id="rId9" Type="http://schemas.openxmlformats.org/officeDocument/2006/relationships/footer" Target="footer1.xml" /><Relationship Id="rId90" Type="http://schemas.openxmlformats.org/officeDocument/2006/relationships/image" Target="media/image39.wmf" /><Relationship Id="rId91" Type="http://schemas.openxmlformats.org/officeDocument/2006/relationships/oleObject" Target="embeddings/oleObject16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17.bin" /><Relationship Id="rId94" Type="http://schemas.openxmlformats.org/officeDocument/2006/relationships/image" Target="media/image41.png" /><Relationship Id="rId95" Type="http://schemas.openxmlformats.org/officeDocument/2006/relationships/image" Target="media/image42.wmf" /><Relationship Id="rId96" Type="http://schemas.openxmlformats.org/officeDocument/2006/relationships/oleObject" Target="embeddings/oleObject18.bin" /><Relationship Id="rId97" Type="http://schemas.openxmlformats.org/officeDocument/2006/relationships/hyperlink" Target="https://d.book118.com/227110043050006040" TargetMode="External" /><Relationship Id="rId98" Type="http://schemas.openxmlformats.org/officeDocument/2006/relationships/header" Target="header17.xml" /><Relationship Id="rId99" Type="http://schemas.openxmlformats.org/officeDocument/2006/relationships/footer" Target="footer17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3420796025569280</dc:description>
  <cp:lastModifiedBy>南有乔木</cp:lastModifiedBy>
  <cp:revision>8</cp:revision>
  <dcterms:created xsi:type="dcterms:W3CDTF">2024-02-06T09:16:00Z</dcterms:created>
  <dcterms:modified xsi:type="dcterms:W3CDTF">2024-02-06T01:44:13Z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AC6CB2B701104EA88B8E358DF9D81EC6_12</vt:lpwstr>
  </property>
  <property fmtid="{D5CDD505-2E9C-101B-9397-08002B2CF9AE}" pid="7" name="KSOProductBuildVer">
    <vt:lpwstr>2052-12.1.0.16250</vt:lpwstr>
  </property>
</Properties>
</file>