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95C24" w:rsidP="00095C24" w14:paraId="1DC2BB92" w14:textId="77777777">
      <w:pPr>
        <w:spacing w:before="48" w:beforeLines="20" w:after="360" w:afterLines="150" w:line="360" w:lineRule="auto"/>
        <w:jc w:val="center"/>
        <w:rPr>
          <w:rFonts w:ascii="华文中宋" w:eastAsia="华文中宋" w:hAnsi="华文中宋"/>
          <w:b/>
          <w:sz w:val="30"/>
        </w:rPr>
      </w:pPr>
      <w:r w:rsidRPr="00095C24">
        <w:rPr>
          <w:rFonts w:ascii="华文中宋" w:eastAsia="华文中宋" w:hAnsi="华文中宋"/>
          <w:b/>
          <w:sz w:val="30"/>
        </w:rPr>
        <w:t>2023</w:t>
      </w:r>
      <w:r w:rsidRPr="00095C24">
        <w:rPr>
          <w:rFonts w:ascii="华文中宋" w:eastAsia="华文中宋" w:hAnsi="华文中宋"/>
          <w:b/>
          <w:sz w:val="30"/>
        </w:rPr>
        <w:t>江苏宿迁经济技术开发区国有资产监督管理工作领导小组办公室招聘</w:t>
      </w:r>
      <w:r w:rsidRPr="00095C24">
        <w:rPr>
          <w:rFonts w:ascii="华文中宋" w:eastAsia="华文中宋" w:hAnsi="华文中宋"/>
          <w:b/>
          <w:sz w:val="30"/>
        </w:rPr>
        <w:t>18</w:t>
      </w:r>
      <w:r w:rsidRPr="00095C24">
        <w:rPr>
          <w:rFonts w:ascii="华文中宋" w:eastAsia="华文中宋" w:hAnsi="华文中宋"/>
          <w:b/>
          <w:sz w:val="30"/>
        </w:rPr>
        <w:t>名国有企业人员笔试模拟试题及答案解析</w:t>
      </w:r>
    </w:p>
    <w:p w:rsidR="00A77B3E" w14:paraId="52A293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11B44E" w14:textId="77777777">
      <w:pPr>
        <w:spacing w:after="260" w:line="360" w:lineRule="auto"/>
      </w:pPr>
      <w:r>
        <w:rPr>
          <w:rFonts w:ascii="微软雅黑" w:eastAsia="微软雅黑" w:cs="微软雅黑"/>
        </w:rPr>
        <w:t>一、选择题</w:t>
      </w:r>
    </w:p>
    <w:p w:rsidR="00AD1216" w14:paraId="3C3ED992"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《党政机关公文处理工作条例》规定，公文办理包括</w:t>
      </w:r>
      <w:r w:rsidRPr="00AD1216">
        <w:rPr>
          <w:rFonts w:ascii="微软雅黑" w:eastAsia="微软雅黑" w:cs="微软雅黑"/>
          <w:szCs w:val="14"/>
        </w:rPr>
        <w:t>()</w:t>
      </w:r>
      <w:r w:rsidRPr="00AD1216">
        <w:rPr>
          <w:rFonts w:ascii="微软雅黑" w:eastAsia="微软雅黑" w:cs="微软雅黑"/>
          <w:szCs w:val="14"/>
        </w:rPr>
        <w:t>。</w:t>
      </w:r>
    </w:p>
    <w:p w:rsidR="00AD1216" w14:paraId="522D899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、发文办理、收文办理、整理归档</w:t>
      </w:r>
    </w:p>
    <w:p w:rsidR="00AD1216" w14:paraId="3804074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、起草、审核、签发</w:t>
      </w:r>
    </w:p>
    <w:p w:rsidR="00AD1216" w14:paraId="0D97E2B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、交拟、拟议、签发</w:t>
      </w:r>
    </w:p>
    <w:p w:rsidR="00AD1216" w14:paraId="16E181F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、登记、承办、分发</w:t>
      </w:r>
    </w:p>
    <w:p w:rsidR="00AD1216" w14:paraId="6443A16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193702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公文办理包括收文办理、发文办理和整理归档。故选</w:t>
      </w:r>
      <w:r w:rsidRPr="00AD1216">
        <w:rPr>
          <w:rFonts w:ascii="微软雅黑" w:eastAsia="微软雅黑" w:cs="微软雅黑"/>
          <w:szCs w:val="14"/>
        </w:rPr>
        <w:t>A</w:t>
      </w:r>
      <w:r w:rsidRPr="00AD1216">
        <w:rPr>
          <w:rFonts w:ascii="微软雅黑" w:eastAsia="微软雅黑" w:cs="微软雅黑"/>
          <w:szCs w:val="14"/>
        </w:rPr>
        <w:t>。</w:t>
      </w:r>
    </w:p>
    <w:p w:rsidR="00AD1216" w14:paraId="6042D83E"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7F6EAC5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53D5B1E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481715A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38A78C7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0EC4FD1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62EFE6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43E19599"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4034D79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463E860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67A7B44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27BBA81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652C38D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C8DA30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10B4980B"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7B39969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6B5217D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47693A9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p>
    <w:p w:rsidR="00AD1216" w14:paraId="2AF9A89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、拟制交付</w:t>
      </w:r>
    </w:p>
    <w:p w:rsidR="00AD1216" w14:paraId="46C4AA3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1C34DF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中华人民共和国物权法》规定：不动产物权的设立、变更、转让和消灭，应当依照法律规定登记。动产物权的设立和转让，应当依照法律规定交付。交付包括现实交付与拟制交付。现实交付是指动产物权的让与人，将其对于动产的现实的直接支配力，移转于受让人。拟制交付包括简易交付、占有改定及指示交付。简易交付是指在买卖合同订立前买受人已经实际占有标的物时，则合同一经成立即视为交付完成，此前买受人虽然占有标的物，但不享有所有权，合同成立时转移的只是所有权</w:t>
      </w:r>
      <w:r w:rsidRPr="00AD1216">
        <w:rPr>
          <w:rFonts w:ascii="微软雅黑" w:eastAsia="微软雅黑" w:cs="微软雅黑"/>
          <w:szCs w:val="14"/>
        </w:rPr>
        <w:t>;</w:t>
      </w:r>
      <w:r w:rsidRPr="00AD1216">
        <w:rPr>
          <w:rFonts w:ascii="微软雅黑" w:eastAsia="微软雅黑" w:cs="微软雅黑"/>
          <w:szCs w:val="14"/>
        </w:rPr>
        <w:t>指示交付是指在标的物由第三人占有的情况下，出卖人将要求第三人返还标的物的请求权让与买受人，以此代替标的物的实际交付，这种返还请求权正是标的物所有权的体现</w:t>
      </w:r>
      <w:r w:rsidRPr="00AD1216">
        <w:rPr>
          <w:rFonts w:ascii="微软雅黑" w:eastAsia="微软雅黑" w:cs="微软雅黑"/>
          <w:szCs w:val="14"/>
        </w:rPr>
        <w:t>;</w:t>
      </w:r>
      <w:r w:rsidRPr="00AD1216">
        <w:rPr>
          <w:rFonts w:ascii="微软雅黑" w:eastAsia="微软雅黑" w:cs="微软雅黑"/>
          <w:szCs w:val="14"/>
        </w:rPr>
        <w:t>占有改定是指买卖合同约定，买受人取得标的物的所有权，但标的物在约定的期间仍由出卖人占有，此种交付中虽不转移占有，仅转移所有权，但仍能完成交付。本案中，王芳将房子卖给陆七，陆七取得房子所有权，但约定由王芳继续租用两个月。符合占有改定的构成要件。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https://d.book118.com/227113161061006040</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paraId="0EBA44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5C24" w14:paraId="29AE44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paraId="1AE6AC5A" w14:textId="7DECE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5C24" w14:paraId="493077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paraId="46671F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5C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textId="7DECE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5C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5C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rsidP="00966D7E" w14:textId="7DECE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5C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paraId="68324B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paraId="36240B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paraId="098A0F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5C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5C24"/>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5E9143"/>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095C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95C24"/>
    <w:rPr>
      <w:sz w:val="18"/>
      <w:szCs w:val="18"/>
    </w:rPr>
  </w:style>
  <w:style w:type="paragraph" w:styleId="Footer">
    <w:name w:val="footer"/>
    <w:basedOn w:val="Normal"/>
    <w:link w:val="a0"/>
    <w:rsid w:val="00095C24"/>
    <w:pPr>
      <w:tabs>
        <w:tab w:val="center" w:pos="4153"/>
        <w:tab w:val="right" w:pos="8306"/>
      </w:tabs>
      <w:snapToGrid w:val="0"/>
    </w:pPr>
    <w:rPr>
      <w:sz w:val="18"/>
      <w:szCs w:val="18"/>
    </w:rPr>
  </w:style>
  <w:style w:type="character" w:customStyle="1" w:styleId="a0">
    <w:name w:val="页脚 字符"/>
    <w:basedOn w:val="DefaultParagraphFont"/>
    <w:link w:val="Footer"/>
    <w:rsid w:val="00095C24"/>
    <w:rPr>
      <w:sz w:val="18"/>
      <w:szCs w:val="18"/>
    </w:rPr>
  </w:style>
  <w:style w:type="character" w:styleId="PageNumber">
    <w:name w:val="page number"/>
    <w:basedOn w:val="DefaultParagraphFont"/>
    <w:rsid w:val="00095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7113161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3337</Words>
  <Characters>19024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2024-02-06T13:20:00Z</dcterms:created>
  <dcterms:modified xsi:type="dcterms:W3CDTF">2024-02-06T13:20:00Z</dcterms:modified>
</cp:coreProperties>
</file>