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60" w:firstLineChars="150"/>
        <w:rPr>
          <w:rFonts w:ascii="宋体" w:hAnsi="宋体" w:cs="宋体" w:hint="eastAsia"/>
          <w:kern w:val="0"/>
          <w:sz w:val="44"/>
          <w:szCs w:val="44"/>
        </w:rPr>
      </w:pPr>
    </w:p>
    <w:p>
      <w:pPr>
        <w:ind w:firstLine="660" w:firstLineChars="150"/>
        <w:rPr>
          <w:rFonts w:ascii="宋体" w:hAnsi="宋体" w:cs="宋体" w:hint="eastAsia"/>
          <w:kern w:val="0"/>
          <w:sz w:val="44"/>
          <w:szCs w:val="44"/>
        </w:rPr>
      </w:pPr>
      <w:r>
        <w:rPr>
          <w:rFonts w:ascii="宋体" w:hAnsi="宋体" w:cs="宋体" w:hint="eastAsia"/>
          <w:kern w:val="0"/>
          <w:sz w:val="44"/>
          <w:szCs w:val="44"/>
        </w:rPr>
        <w:t>公安机关信访接待场所建设规范</w:t>
      </w:r>
    </w:p>
    <w:p>
      <w:pPr>
        <w:ind w:firstLine="3040" w:firstLineChars="95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（征求意见稿）</w:t>
      </w:r>
    </w:p>
    <w:p>
      <w:pPr>
        <w:ind w:firstLine="900" w:firstLineChars="300"/>
        <w:rPr>
          <w:rFonts w:ascii="仿宋_GB2312" w:eastAsia="仿宋_GB2312" w:hAnsi="宋体" w:cs="宋体" w:hint="eastAsia"/>
          <w:kern w:val="0"/>
          <w:sz w:val="30"/>
          <w:szCs w:val="30"/>
        </w:rPr>
      </w:pPr>
    </w:p>
    <w:p>
      <w:pPr>
        <w:ind w:firstLine="640" w:firstLineChars="200"/>
        <w:rPr>
          <w:rFonts w:ascii="仿宋_GB2312" w:eastAsia="仿宋_GB2312" w:hAnsi="宋体" w:cs="宋体" w:hint="eastAsia"/>
          <w:kern w:val="0"/>
          <w:sz w:val="32"/>
          <w:szCs w:val="32"/>
        </w:rPr>
      </w:pPr>
      <w:r>
        <w:rPr>
          <w:rFonts w:ascii="黑体" w:eastAsia="黑体" w:hAnsi="宋体" w:cs="宋体" w:hint="eastAsia"/>
          <w:kern w:val="0"/>
          <w:sz w:val="32"/>
          <w:szCs w:val="32"/>
        </w:rPr>
        <w:t>一、</w:t>
      </w:r>
      <w:r>
        <w:rPr>
          <w:rFonts w:ascii="仿宋_GB2312" w:eastAsia="仿宋_GB2312" w:hAnsi="宋体" w:cs="宋体" w:hint="eastAsia"/>
          <w:kern w:val="0"/>
          <w:sz w:val="32"/>
          <w:szCs w:val="32"/>
        </w:rPr>
        <w:t>为加强公安机关作风建设及公安信访工作规范化建设，推进</w:t>
      </w:r>
      <w:r>
        <w:rPr>
          <w:rFonts w:ascii="仿宋_GB2312" w:eastAsia="仿宋_GB2312" w:hint="eastAsia"/>
          <w:sz w:val="32"/>
          <w:szCs w:val="32"/>
        </w:rPr>
        <w:t>公安信访基层基础工作，</w:t>
      </w:r>
      <w:r>
        <w:rPr>
          <w:rFonts w:ascii="仿宋_GB2312" w:eastAsia="仿宋_GB2312" w:hAnsi="宋体" w:cs="宋体" w:hint="eastAsia"/>
          <w:kern w:val="0"/>
          <w:sz w:val="32"/>
          <w:szCs w:val="32"/>
        </w:rPr>
        <w:t>提高</w:t>
      </w:r>
      <w:r>
        <w:rPr>
          <w:rFonts w:eastAsia="仿宋_GB2312" w:hAnsi="宋体" w:cs="宋体" w:hint="eastAsia"/>
          <w:kern w:val="0"/>
          <w:sz w:val="32"/>
          <w:szCs w:val="32"/>
        </w:rPr>
        <w:t>接待、处理群众来访</w:t>
      </w:r>
      <w:r>
        <w:rPr>
          <w:rFonts w:ascii="仿宋_GB2312" w:eastAsia="仿宋_GB2312" w:hAnsi="宋体" w:cs="宋体" w:hint="eastAsia"/>
          <w:kern w:val="0"/>
          <w:sz w:val="32"/>
          <w:szCs w:val="32"/>
        </w:rPr>
        <w:t>工作的质量和水平，</w:t>
      </w:r>
      <w:r>
        <w:rPr>
          <w:rFonts w:eastAsia="仿宋_GB2312" w:hAnsi="宋体" w:cs="宋体" w:hint="eastAsia"/>
          <w:kern w:val="0"/>
          <w:sz w:val="32"/>
          <w:szCs w:val="32"/>
        </w:rPr>
        <w:t>充分发挥公安信访窗口作用，</w:t>
      </w:r>
      <w:r>
        <w:rPr>
          <w:rFonts w:ascii="仿宋_GB2312" w:eastAsia="仿宋_GB2312" w:hAnsi="宋体" w:cs="宋体" w:hint="eastAsia"/>
          <w:kern w:val="0"/>
          <w:sz w:val="32"/>
          <w:szCs w:val="32"/>
        </w:rPr>
        <w:t>根据《信访条例》、《公安机关信访工作规定》、《公安机关窗口单位服务规定》、</w:t>
      </w:r>
      <w:r>
        <w:rPr>
          <w:rFonts w:ascii="仿宋_GB2312" w:eastAsia="仿宋_GB2312" w:hint="eastAsia"/>
          <w:sz w:val="32"/>
          <w:szCs w:val="32"/>
        </w:rPr>
        <w:t>《公安部关于建立健全信访工作长效机制的意见》</w:t>
      </w:r>
      <w:r>
        <w:rPr>
          <w:rFonts w:ascii="仿宋_GB2312" w:eastAsia="仿宋_GB2312" w:hAnsi="宋体" w:cs="宋体" w:hint="eastAsia"/>
          <w:kern w:val="0"/>
          <w:sz w:val="32"/>
          <w:szCs w:val="32"/>
        </w:rPr>
        <w:t>等法规和规定</w:t>
      </w:r>
      <w:r>
        <w:rPr>
          <w:rFonts w:ascii="仿宋_GB2312" w:eastAsia="仿宋_GB2312" w:hint="eastAsia"/>
          <w:sz w:val="32"/>
          <w:szCs w:val="32"/>
        </w:rPr>
        <w:t>的要求</w:t>
      </w:r>
      <w:r>
        <w:rPr>
          <w:rFonts w:ascii="仿宋_GB2312" w:eastAsia="仿宋_GB2312" w:hAnsi="宋体" w:cs="宋体" w:hint="eastAsia"/>
          <w:kern w:val="0"/>
          <w:sz w:val="32"/>
          <w:szCs w:val="32"/>
        </w:rPr>
        <w:t>，制定本规范。</w:t>
      </w:r>
    </w:p>
    <w:p>
      <w:pPr>
        <w:ind w:firstLine="640" w:firstLineChars="200"/>
        <w:rPr>
          <w:rFonts w:ascii="仿宋_GB2312" w:eastAsia="仿宋_GB2312" w:hint="eastAsia"/>
          <w:sz w:val="32"/>
          <w:szCs w:val="32"/>
        </w:rPr>
      </w:pPr>
      <w:r>
        <w:rPr>
          <w:rFonts w:ascii="黑体" w:eastAsia="黑体" w:hint="eastAsia"/>
          <w:sz w:val="32"/>
          <w:szCs w:val="32"/>
        </w:rPr>
        <w:t>二、</w:t>
      </w:r>
      <w:r>
        <w:rPr>
          <w:rFonts w:ascii="仿宋_GB2312" w:eastAsia="仿宋_GB2312" w:hint="eastAsia"/>
          <w:sz w:val="32"/>
          <w:szCs w:val="32"/>
        </w:rPr>
        <w:t>各级公安机关为方便接待群众来访、处理有关信访事项，同时又保证内部工作的安全和保密，均应设立与办公室分离、固定的专门接待场所，其规模设置应与本地区的来访群众数量、接待工作任务相适应。</w:t>
      </w:r>
    </w:p>
    <w:p>
      <w:pPr>
        <w:ind w:firstLine="640" w:firstLineChars="200"/>
        <w:rPr>
          <w:rFonts w:ascii="仿宋_GB2312" w:eastAsia="仿宋_GB2312" w:hint="eastAsia"/>
          <w:sz w:val="32"/>
          <w:szCs w:val="32"/>
        </w:rPr>
      </w:pPr>
      <w:r>
        <w:rPr>
          <w:rFonts w:ascii="仿宋_GB2312" w:eastAsia="仿宋_GB2312" w:hint="eastAsia"/>
          <w:sz w:val="32"/>
          <w:szCs w:val="32"/>
        </w:rPr>
        <w:t>（一）省级公安机关的接待场所建筑面积不小于150平方米。应分别设置群众来访候谈室、普通接访室、厅（局）领导接访室；有条件的地方还可设置来访登记室、</w:t>
      </w:r>
      <w:r>
        <w:rPr>
          <w:rFonts w:eastAsia="仿宋_GB2312" w:hAnsi="宋体" w:cs="宋体" w:hint="eastAsia"/>
          <w:kern w:val="0"/>
          <w:sz w:val="32"/>
          <w:szCs w:val="32"/>
        </w:rPr>
        <w:t>专用洗手间、残疾人通道等</w:t>
      </w:r>
      <w:r>
        <w:rPr>
          <w:rFonts w:ascii="仿宋_GB2312" w:eastAsia="仿宋_GB2312" w:hint="eastAsia"/>
          <w:sz w:val="32"/>
          <w:szCs w:val="32"/>
        </w:rPr>
        <w:t>；</w:t>
      </w:r>
    </w:p>
    <w:p>
      <w:pPr>
        <w:ind w:firstLine="640" w:firstLineChars="200"/>
        <w:rPr>
          <w:rFonts w:ascii="仿宋_GB2312" w:eastAsia="仿宋_GB2312" w:hint="eastAsia"/>
          <w:sz w:val="32"/>
          <w:szCs w:val="32"/>
        </w:rPr>
        <w:sectPr>
          <w:headerReference w:type="default" r:id="rId4"/>
          <w:footerReference w:type="even" r:id="rId5"/>
          <w:footerReference w:type="default" r:id="rId6"/>
          <w:pgSz w:w="11906" w:h="16838"/>
          <w:pgMar w:top="1440" w:right="1800" w:bottom="1440" w:left="1800" w:header="851" w:footer="992" w:gutter="0"/>
          <w:cols w:space="708"/>
          <w:docGrid w:type="lines" w:linePitch="312"/>
        </w:sectPr>
      </w:pPr>
      <w:r>
        <w:rPr>
          <w:rFonts w:ascii="仿宋_GB2312" w:eastAsia="仿宋_GB2312" w:hint="eastAsia"/>
          <w:sz w:val="32"/>
          <w:szCs w:val="32"/>
        </w:rPr>
        <w:t>（二）来访量较小的省级公安机关、来访量较大的地级和直辖市中来访量较大的区（县）公安机关的接待场所建筑面积不小于100平方米，应分别设置群众来访候谈室、普通接访室、厅（局）领导接访室；</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（三）来访量较小的地级、来访量较大的县级和直辖市中来访量较小的区（县）公安机关的接待场所建筑面积不小于40平方米，可分别设置候谈室、接访室，两室合一的，应划定不同区域；     </w:t>
      </w:r>
    </w:p>
    <w:p>
      <w:pPr>
        <w:ind w:firstLine="640" w:firstLineChars="200"/>
        <w:rPr>
          <w:rFonts w:ascii="仿宋_GB2312" w:eastAsia="仿宋_GB2312" w:hint="eastAsia"/>
          <w:sz w:val="32"/>
          <w:szCs w:val="32"/>
        </w:rPr>
      </w:pPr>
      <w:r>
        <w:rPr>
          <w:rFonts w:ascii="仿宋_GB2312" w:eastAsia="仿宋_GB2312" w:hint="eastAsia"/>
          <w:sz w:val="32"/>
          <w:szCs w:val="32"/>
        </w:rPr>
        <w:t>（四）来访量较小的县级公安机关，接待场所建筑面积不小于20平方米。</w:t>
      </w:r>
    </w:p>
    <w:p>
      <w:pPr>
        <w:ind w:firstLine="640" w:firstLineChars="200"/>
        <w:rPr>
          <w:rFonts w:ascii="黑体" w:eastAsia="黑体" w:hint="eastAsia"/>
          <w:sz w:val="32"/>
          <w:szCs w:val="32"/>
        </w:rPr>
      </w:pPr>
      <w:r>
        <w:rPr>
          <w:rFonts w:ascii="黑体" w:eastAsia="黑体" w:hAnsi="宋体" w:cs="宋体" w:hint="eastAsia"/>
          <w:kern w:val="0"/>
          <w:sz w:val="32"/>
          <w:szCs w:val="32"/>
        </w:rPr>
        <w:t>三、</w:t>
      </w:r>
      <w:r>
        <w:rPr>
          <w:rFonts w:ascii="仿宋_GB2312" w:eastAsia="仿宋_GB2312" w:hAnsi="宋体" w:cs="宋体" w:hint="eastAsia"/>
          <w:kern w:val="0"/>
          <w:sz w:val="32"/>
          <w:szCs w:val="32"/>
        </w:rPr>
        <w:t>信访接待场所应有统一明显标志，</w:t>
      </w:r>
      <w:r>
        <w:rPr>
          <w:rFonts w:ascii="仿宋_GB2312" w:eastAsia="仿宋_GB2312" w:hint="eastAsia"/>
          <w:sz w:val="32"/>
          <w:szCs w:val="32"/>
        </w:rPr>
        <w:t>门头挂警蓝色底白字横楣标识，书写有</w:t>
      </w:r>
      <w:r>
        <w:rPr>
          <w:rFonts w:ascii="仿宋_GB2312" w:eastAsia="仿宋_GB2312" w:hint="eastAsia"/>
          <w:sz w:val="32"/>
          <w:szCs w:val="32"/>
        </w:rPr>
        <w:t>“</w:t>
      </w:r>
      <w:r>
        <w:rPr>
          <w:rFonts w:ascii="仿宋_GB2312" w:eastAsia="仿宋_GB2312" w:hint="eastAsia"/>
          <w:sz w:val="32"/>
          <w:szCs w:val="32"/>
        </w:rPr>
        <w:t>公安信访</w:t>
      </w:r>
      <w:r>
        <w:rPr>
          <w:rFonts w:ascii="仿宋_GB2312" w:eastAsia="仿宋_GB2312" w:hint="eastAsia"/>
          <w:sz w:val="32"/>
          <w:szCs w:val="32"/>
        </w:rPr>
        <w:t>”</w:t>
      </w:r>
      <w:r>
        <w:rPr>
          <w:rFonts w:ascii="仿宋_GB2312" w:eastAsia="仿宋_GB2312" w:hint="eastAsia"/>
          <w:sz w:val="32"/>
          <w:szCs w:val="32"/>
        </w:rPr>
        <w:t>，公安与信访之间为警徽，门头标识的长度和宽度根据门面情况按照公安部制定的比例设计；门</w:t>
      </w:r>
      <w:r>
        <w:rPr>
          <w:rFonts w:ascii="仿宋_GB2312" w:eastAsia="仿宋_GB2312" w:hAnsi="宋体" w:cs="宋体" w:hint="eastAsia"/>
          <w:kern w:val="0"/>
          <w:sz w:val="32"/>
          <w:szCs w:val="32"/>
        </w:rPr>
        <w:t>左侧应竖挂</w:t>
      </w:r>
      <w:r>
        <w:rPr>
          <w:rFonts w:ascii="仿宋_GB2312" w:eastAsia="仿宋_GB2312" w:hint="eastAsia"/>
          <w:sz w:val="32"/>
          <w:szCs w:val="32"/>
        </w:rPr>
        <w:t>“</w:t>
      </w:r>
      <w:r>
        <w:rPr>
          <w:rFonts w:ascii="宋体" w:hAnsi="宋体" w:cs="宋体" w:hint="eastAsia"/>
          <w:sz w:val="32"/>
          <w:szCs w:val="32"/>
        </w:rPr>
        <w:t>﹡﹡</w:t>
      </w:r>
      <w:r>
        <w:rPr>
          <w:rFonts w:ascii="仿宋_GB2312" w:eastAsia="仿宋_GB2312" w:hAnsi="宋体" w:cs="宋体" w:hint="eastAsia"/>
          <w:sz w:val="32"/>
          <w:szCs w:val="32"/>
        </w:rPr>
        <w:t>省</w:t>
      </w:r>
      <w:r>
        <w:rPr>
          <w:rFonts w:ascii="仿宋_GB2312" w:eastAsia="仿宋_GB2312" w:hAnsi="仿宋_GB2312" w:cs="仿宋_GB2312" w:hint="eastAsia"/>
          <w:sz w:val="32"/>
          <w:szCs w:val="32"/>
        </w:rPr>
        <w:t>（市、区、县）公安厅（局、分局）人民来访接待室</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标牌，</w:t>
      </w:r>
      <w:r>
        <w:rPr>
          <w:rFonts w:ascii="仿宋_GB2312" w:eastAsia="仿宋_GB2312" w:hint="eastAsia"/>
          <w:sz w:val="32"/>
        </w:rPr>
        <w:t>少数民族地区可加少数民族文字名称；</w:t>
      </w:r>
      <w:r>
        <w:rPr>
          <w:rFonts w:ascii="仿宋_GB2312" w:eastAsia="仿宋_GB2312" w:hint="eastAsia"/>
          <w:sz w:val="32"/>
          <w:szCs w:val="32"/>
        </w:rPr>
        <w:t>门右侧应</w:t>
      </w:r>
      <w:r>
        <w:rPr>
          <w:rFonts w:ascii="仿宋_GB2312" w:eastAsia="仿宋_GB2312" w:hAnsi="宋体" w:cs="宋体" w:hint="eastAsia"/>
          <w:kern w:val="0"/>
          <w:sz w:val="32"/>
          <w:szCs w:val="32"/>
        </w:rPr>
        <w:t>挂写明来访接待时间、领导接访日时间、监督电话的</w:t>
      </w:r>
      <w:r>
        <w:rPr>
          <w:rFonts w:ascii="仿宋_GB2312" w:eastAsia="仿宋_GB2312" w:hAnsi="宋体" w:cs="宋体" w:hint="eastAsia"/>
          <w:kern w:val="0"/>
          <w:sz w:val="32"/>
          <w:szCs w:val="32"/>
        </w:rPr>
        <w:t>“</w:t>
      </w:r>
      <w:r>
        <w:rPr>
          <w:rFonts w:ascii="仿宋_GB2312" w:eastAsia="仿宋_GB2312" w:hAnsi="宋体" w:cs="宋体" w:hint="eastAsia"/>
          <w:kern w:val="0"/>
          <w:sz w:val="32"/>
          <w:szCs w:val="32"/>
        </w:rPr>
        <w:t>警务公示</w:t>
      </w:r>
      <w:r>
        <w:rPr>
          <w:rFonts w:ascii="仿宋_GB2312" w:eastAsia="仿宋_GB2312" w:hAnsi="仿宋_GB2312" w:cs="仿宋_GB2312" w:hint="eastAsia"/>
          <w:sz w:val="32"/>
          <w:szCs w:val="32"/>
        </w:rPr>
        <w:t>牌</w:t>
      </w:r>
      <w:r>
        <w:rPr>
          <w:rFonts w:ascii="仿宋_GB2312" w:eastAsia="仿宋_GB2312" w:hAnsi="宋体" w:cs="宋体" w:hint="eastAsia"/>
          <w:kern w:val="0"/>
          <w:sz w:val="32"/>
          <w:szCs w:val="32"/>
        </w:rPr>
        <w:t>”</w:t>
      </w:r>
      <w:r>
        <w:rPr>
          <w:rFonts w:ascii="仿宋_GB2312" w:eastAsia="仿宋_GB2312" w:hAnsi="宋体" w:cs="宋体" w:hint="eastAsia"/>
          <w:kern w:val="0"/>
          <w:sz w:val="32"/>
          <w:szCs w:val="32"/>
        </w:rPr>
        <w:t>（以上</w:t>
      </w:r>
      <w:r>
        <w:rPr>
          <w:rFonts w:ascii="仿宋_GB2312" w:eastAsia="仿宋_GB2312" w:hAnsi="仿宋_GB2312" w:cs="仿宋_GB2312" w:hint="eastAsia"/>
          <w:sz w:val="32"/>
          <w:szCs w:val="32"/>
        </w:rPr>
        <w:t>标牌样式附后</w:t>
      </w:r>
      <w:r>
        <w:rPr>
          <w:rFonts w:ascii="仿宋_GB2312" w:eastAsia="仿宋_GB2312" w:hAnsi="宋体" w:cs="宋体" w:hint="eastAsia"/>
          <w:kern w:val="0"/>
          <w:sz w:val="32"/>
          <w:szCs w:val="32"/>
        </w:rPr>
        <w:t>）。</w:t>
      </w:r>
    </w:p>
    <w:p>
      <w:pPr>
        <w:ind w:firstLine="640" w:firstLineChars="200"/>
        <w:rPr>
          <w:rFonts w:ascii="仿宋_GB2312" w:eastAsia="仿宋_GB2312" w:hint="eastAsia"/>
          <w:sz w:val="32"/>
          <w:szCs w:val="32"/>
        </w:rPr>
      </w:pPr>
      <w:r>
        <w:rPr>
          <w:rFonts w:ascii="黑体" w:eastAsia="黑体" w:hint="eastAsia"/>
          <w:sz w:val="32"/>
          <w:szCs w:val="32"/>
        </w:rPr>
        <w:t>四</w:t>
      </w:r>
      <w:r>
        <w:rPr>
          <w:rFonts w:ascii="仿宋_GB2312" w:eastAsia="仿宋_GB2312" w:hint="eastAsia"/>
          <w:sz w:val="32"/>
          <w:szCs w:val="32"/>
        </w:rPr>
        <w:t>、为方便接待工作，信访部门接待场所应配备电话、传真机等通信设备，同时可根据本地区的群众来访数量、接待工作任务等，配备与工作需要相适应的计算机、打印机、复印机、扫描仪等办公设施。</w:t>
      </w:r>
    </w:p>
    <w:p>
      <w:pPr>
        <w:ind w:firstLine="640" w:firstLineChars="200"/>
        <w:rPr>
          <w:rFonts w:ascii="仿宋_GB2312" w:eastAsia="仿宋_GB2312" w:hint="eastAsia"/>
          <w:sz w:val="32"/>
          <w:szCs w:val="32"/>
        </w:rPr>
      </w:pPr>
      <w:r>
        <w:rPr>
          <w:rFonts w:ascii="黑体" w:eastAsia="黑体" w:hint="eastAsia"/>
          <w:sz w:val="32"/>
          <w:szCs w:val="32"/>
        </w:rPr>
        <w:t>五</w:t>
      </w:r>
      <w:r>
        <w:rPr>
          <w:rFonts w:ascii="仿宋_GB2312" w:eastAsia="仿宋_GB2312" w:hint="eastAsia"/>
          <w:sz w:val="32"/>
          <w:szCs w:val="32"/>
        </w:rPr>
        <w:t>、为维护信访接待秩序、及时处置异常信访，应加强接待场所的安全防范，信访接待场所应配备必要的监控或取证设备，以及消防安全设备。</w:t>
      </w:r>
    </w:p>
    <w:p>
      <w:pPr>
        <w:ind w:firstLine="480" w:firstLineChars="150"/>
        <w:rPr>
          <w:rFonts w:ascii="仿宋_GB2312" w:eastAsia="仿宋_GB2312" w:hint="eastAsia"/>
          <w:sz w:val="32"/>
          <w:szCs w:val="32"/>
        </w:rPr>
        <w:sectPr>
          <w:headerReference w:type="default" r:id="rId7"/>
          <w:footerReference w:type="even" r:id="rId8"/>
          <w:footerReference w:type="default" r:id="rId9"/>
          <w:type w:val="nextPage"/>
          <w:pgSz w:w="11906" w:h="16838"/>
          <w:pgMar w:top="1440" w:right="1800" w:bottom="1440" w:left="1800" w:header="851" w:footer="992" w:gutter="0"/>
          <w:pgNumType w:start="2"/>
          <w:cols w:space="708"/>
          <w:titlePg w:val="0"/>
          <w:docGrid w:type="lines" w:linePitch="312"/>
        </w:sectPr>
      </w:pPr>
    </w:p>
    <w:p>
      <w:pPr>
        <w:ind w:firstLine="480" w:firstLineChars="150"/>
        <w:rPr>
          <w:rFonts w:ascii="仿宋_GB2312" w:eastAsia="仿宋_GB2312" w:hint="eastAsia"/>
          <w:sz w:val="32"/>
          <w:szCs w:val="32"/>
        </w:rPr>
      </w:pPr>
      <w:r>
        <w:rPr>
          <w:rFonts w:ascii="仿宋_GB2312" w:eastAsia="仿宋_GB2312" w:hint="eastAsia"/>
          <w:sz w:val="32"/>
          <w:szCs w:val="32"/>
        </w:rPr>
        <w:t>（一）省级以及来访量较大的地级、直辖市下属区（县）级公安机关的接待场所应配备可提取音像资料等证据的监控设施，来访量较少的地级公安机关及县级公安机关应备有可取证的摄像、录音、照相等设备；</w:t>
      </w:r>
    </w:p>
    <w:p>
      <w:pPr>
        <w:ind w:firstLine="480" w:firstLineChars="150"/>
        <w:rPr>
          <w:rFonts w:ascii="仿宋_GB2312" w:eastAsia="仿宋_GB2312" w:hint="eastAsia"/>
          <w:sz w:val="32"/>
          <w:szCs w:val="32"/>
        </w:rPr>
      </w:pPr>
      <w:r>
        <w:rPr>
          <w:rFonts w:ascii="仿宋_GB2312" w:eastAsia="仿宋_GB2312" w:hint="eastAsia"/>
          <w:sz w:val="32"/>
          <w:szCs w:val="32"/>
        </w:rPr>
        <w:t>（二）各级公安机关信访接待场所均应备有安检器、灭火器（灭火毯）等安全防范设施；因工作需要或有条件的地方可配置安检门、烟雾探测灭火系统、防爆桶（防爆毯）等设施；</w:t>
      </w:r>
    </w:p>
    <w:p>
      <w:pPr>
        <w:ind w:firstLine="640" w:firstLineChars="200"/>
        <w:rPr>
          <w:rFonts w:eastAsia="仿宋_GB2312" w:hAnsi="宋体" w:cs="宋体" w:hint="eastAsia"/>
          <w:kern w:val="0"/>
          <w:sz w:val="32"/>
          <w:szCs w:val="32"/>
        </w:rPr>
      </w:pPr>
      <w:r>
        <w:rPr>
          <w:rFonts w:ascii="黑体" w:eastAsia="黑体" w:hint="eastAsia"/>
          <w:sz w:val="32"/>
          <w:szCs w:val="32"/>
        </w:rPr>
        <w:t>六、</w:t>
      </w:r>
      <w:r>
        <w:rPr>
          <w:rFonts w:ascii="仿宋_GB2312" w:eastAsia="仿宋_GB2312" w:hint="eastAsia"/>
          <w:sz w:val="32"/>
          <w:szCs w:val="32"/>
        </w:rPr>
        <w:t>接待场所实行柜台式登记、接待，工作柜台高度以保证接待民警与来访群众平视为准，宽度以方便交接材料以及方便登记、谈话、记录为准；</w:t>
      </w:r>
    </w:p>
    <w:p>
      <w:pPr>
        <w:ind w:firstLine="640" w:firstLineChars="200"/>
        <w:rPr>
          <w:rFonts w:eastAsia="仿宋_GB2312" w:hAnsi="宋体" w:cs="宋体" w:hint="eastAsia"/>
          <w:kern w:val="0"/>
          <w:sz w:val="32"/>
          <w:szCs w:val="32"/>
        </w:rPr>
      </w:pPr>
      <w:r>
        <w:rPr>
          <w:rFonts w:ascii="黑体" w:eastAsia="黑体" w:hAnsi="宋体" w:cs="宋体" w:hint="eastAsia"/>
          <w:kern w:val="0"/>
          <w:sz w:val="32"/>
          <w:szCs w:val="32"/>
        </w:rPr>
        <w:t>七</w:t>
      </w:r>
      <w:r>
        <w:rPr>
          <w:rFonts w:eastAsia="仿宋_GB2312" w:hAnsi="宋体" w:cs="宋体" w:hint="eastAsia"/>
          <w:kern w:val="0"/>
          <w:sz w:val="32"/>
          <w:szCs w:val="32"/>
        </w:rPr>
        <w:t>、为方便群众信访、化解信访矛盾，信访接待场所应以便民、利民原则配备有以下必要的服务设施，营造良好的候谈、接待环境。</w:t>
      </w:r>
    </w:p>
    <w:p>
      <w:pPr>
        <w:ind w:firstLine="640" w:firstLineChars="200"/>
        <w:rPr>
          <w:rFonts w:eastAsia="仿宋_GB2312" w:hAnsi="宋体" w:cs="宋体" w:hint="eastAsia"/>
          <w:kern w:val="0"/>
          <w:sz w:val="32"/>
          <w:szCs w:val="32"/>
        </w:rPr>
      </w:pPr>
      <w:r>
        <w:rPr>
          <w:rFonts w:eastAsia="仿宋_GB2312" w:hAnsi="宋体" w:cs="宋体" w:hint="eastAsia"/>
          <w:kern w:val="0"/>
          <w:sz w:val="32"/>
          <w:szCs w:val="32"/>
        </w:rPr>
        <w:t>（一）应公开本单位电话号码、寄信地址、邮政编码、接待时间、领导接访日时间，开通互联网投诉渠道的部门应公开本单位网址；</w:t>
      </w:r>
    </w:p>
    <w:p>
      <w:pPr>
        <w:ind w:firstLine="640" w:firstLineChars="200"/>
        <w:rPr>
          <w:rFonts w:eastAsia="仿宋_GB2312" w:hAnsi="宋体" w:cs="宋体" w:hint="eastAsia"/>
          <w:kern w:val="0"/>
          <w:sz w:val="32"/>
          <w:szCs w:val="32"/>
        </w:rPr>
      </w:pPr>
      <w:r>
        <w:rPr>
          <w:rFonts w:eastAsia="仿宋_GB2312" w:hAnsi="宋体" w:cs="宋体" w:hint="eastAsia"/>
          <w:kern w:val="0"/>
          <w:sz w:val="32"/>
          <w:szCs w:val="32"/>
        </w:rPr>
        <w:t>（二）配备信访群众等候用的桌椅、书写材料的纸笔、饮水设备，以及电风扇、排风扇等以保证空气流通的设施，并按本单位办公室标准配备取暖设备；有条件的公安机关可配备空调；</w:t>
      </w:r>
    </w:p>
    <w:p>
      <w:pPr>
        <w:ind w:firstLine="640" w:firstLineChars="200"/>
        <w:rPr>
          <w:rFonts w:eastAsia="仿宋_GB2312" w:hAnsi="宋体" w:cs="宋体" w:hint="eastAsia"/>
          <w:kern w:val="0"/>
          <w:sz w:val="32"/>
          <w:szCs w:val="32"/>
        </w:rPr>
        <w:sectPr>
          <w:headerReference w:type="default" r:id="rId10"/>
          <w:footerReference w:type="even" r:id="rId11"/>
          <w:footerReference w:type="default" r:id="rId12"/>
          <w:type w:val="nextPage"/>
          <w:pgSz w:w="11906" w:h="16838"/>
          <w:pgMar w:top="1440" w:right="1800" w:bottom="1440" w:left="1800" w:header="851" w:footer="992" w:gutter="0"/>
          <w:pgNumType w:start="3"/>
          <w:cols w:space="708"/>
          <w:titlePg w:val="0"/>
          <w:docGrid w:type="lines" w:linePitch="312"/>
        </w:sectPr>
      </w:pPr>
    </w:p>
    <w:p>
      <w:pPr>
        <w:ind w:firstLine="640" w:firstLineChars="200"/>
        <w:rPr>
          <w:rFonts w:eastAsia="仿宋_GB2312" w:hAnsi="宋体" w:cs="宋体" w:hint="eastAsia"/>
          <w:kern w:val="0"/>
          <w:sz w:val="32"/>
          <w:szCs w:val="32"/>
        </w:rPr>
      </w:pPr>
      <w:r>
        <w:rPr>
          <w:rFonts w:ascii="仿宋_GB2312" w:eastAsia="仿宋_GB2312" w:hAnsi="宋体" w:cs="宋体" w:hint="eastAsia"/>
          <w:kern w:val="0"/>
          <w:sz w:val="32"/>
          <w:szCs w:val="32"/>
        </w:rPr>
        <w:t>（三）应放置《来访人员登记单》等信访专用文书标样，应注明填写方式；还应备有政府及相关信访部门的地址、投诉电话等信息、资料。</w:t>
      </w:r>
    </w:p>
    <w:p>
      <w:pPr>
        <w:ind w:firstLine="640" w:firstLineChars="200"/>
        <w:rPr>
          <w:rFonts w:ascii="仿宋_GB2312" w:eastAsia="仿宋_GB2312" w:hint="eastAsia"/>
          <w:sz w:val="32"/>
          <w:szCs w:val="32"/>
        </w:rPr>
      </w:pPr>
      <w:r>
        <w:rPr>
          <w:rFonts w:ascii="黑体" w:eastAsia="黑体" w:hAnsi="宋体" w:cs="宋体" w:hint="eastAsia"/>
          <w:kern w:val="0"/>
          <w:sz w:val="32"/>
          <w:szCs w:val="32"/>
        </w:rPr>
        <w:t>八</w:t>
      </w:r>
      <w:r>
        <w:rPr>
          <w:rFonts w:eastAsia="仿宋_GB2312" w:hAnsi="宋体" w:cs="宋体" w:hint="eastAsia"/>
          <w:kern w:val="0"/>
          <w:sz w:val="32"/>
          <w:szCs w:val="32"/>
        </w:rPr>
        <w:t>、</w:t>
      </w:r>
      <w:r>
        <w:rPr>
          <w:rFonts w:ascii="仿宋_GB2312" w:eastAsia="仿宋_GB2312" w:hAnsi="宋体" w:cs="宋体" w:hint="eastAsia"/>
          <w:kern w:val="0"/>
          <w:sz w:val="32"/>
          <w:szCs w:val="32"/>
        </w:rPr>
        <w:t>要加强对来访群众的法律宣传，引导群众依法有序上访</w:t>
      </w:r>
      <w:r>
        <w:rPr>
          <w:rFonts w:eastAsia="仿宋_GB2312" w:hAnsi="宋体" w:cs="宋体" w:hint="eastAsia"/>
          <w:kern w:val="0"/>
          <w:sz w:val="32"/>
          <w:szCs w:val="32"/>
        </w:rPr>
        <w:t>。应统一</w:t>
      </w:r>
      <w:r>
        <w:rPr>
          <w:rFonts w:ascii="仿宋_GB2312" w:eastAsia="仿宋_GB2312" w:hAnsi="宋体" w:cs="宋体" w:hint="eastAsia"/>
          <w:kern w:val="0"/>
          <w:sz w:val="32"/>
          <w:szCs w:val="32"/>
        </w:rPr>
        <w:t>设置宣传栏，将</w:t>
      </w:r>
      <w:r>
        <w:rPr>
          <w:rFonts w:eastAsia="仿宋_GB2312" w:hAnsi="宋体" w:cs="宋体" w:hint="eastAsia"/>
          <w:kern w:val="0"/>
          <w:sz w:val="32"/>
          <w:szCs w:val="32"/>
        </w:rPr>
        <w:t>《信访事项办理程序》、《公安机关信访部门岗位工作职责》、</w:t>
      </w:r>
      <w:r>
        <w:rPr>
          <w:rFonts w:ascii="仿宋_GB2312" w:eastAsia="仿宋_GB2312" w:hAnsi="宋体" w:cs="宋体" w:hint="eastAsia"/>
          <w:kern w:val="0"/>
          <w:sz w:val="32"/>
          <w:szCs w:val="32"/>
        </w:rPr>
        <w:t>《群众信访须知》</w:t>
      </w:r>
      <w:r>
        <w:rPr>
          <w:rFonts w:eastAsia="仿宋_GB2312" w:hAnsi="宋体" w:cs="宋体" w:hint="eastAsia"/>
          <w:kern w:val="0"/>
          <w:sz w:val="32"/>
          <w:szCs w:val="32"/>
        </w:rPr>
        <w:t>（内容附后）制版上墙，告知</w:t>
      </w:r>
      <w:r>
        <w:rPr>
          <w:rFonts w:ascii="仿宋_GB2312" w:eastAsia="仿宋_GB2312" w:hAnsi="宋体" w:cs="宋体" w:hint="eastAsia"/>
          <w:kern w:val="0"/>
          <w:sz w:val="32"/>
          <w:szCs w:val="32"/>
        </w:rPr>
        <w:t>信访群众</w:t>
      </w:r>
      <w:r>
        <w:rPr>
          <w:rFonts w:eastAsia="仿宋_GB2312" w:hAnsi="宋体" w:cs="宋体" w:hint="eastAsia"/>
          <w:kern w:val="0"/>
          <w:sz w:val="32"/>
          <w:szCs w:val="32"/>
        </w:rPr>
        <w:t>公安机关信访部门（岗位）的业务职能、</w:t>
      </w:r>
      <w:r>
        <w:rPr>
          <w:rFonts w:ascii="仿宋_GB2312" w:eastAsia="仿宋_GB2312" w:hAnsi="宋体" w:cs="宋体" w:hint="eastAsia"/>
          <w:kern w:val="0"/>
          <w:sz w:val="32"/>
          <w:szCs w:val="32"/>
        </w:rPr>
        <w:t>受理范围，处理程序、办理时限，以及在信访过程中应遵守的法律、法规及禁止性行为。</w:t>
      </w:r>
    </w:p>
    <w:p>
      <w:pPr>
        <w:ind w:firstLine="640" w:firstLineChars="200"/>
        <w:rPr>
          <w:rFonts w:eastAsia="仿宋_GB2312" w:hAnsi="宋体" w:cs="宋体" w:hint="eastAsia"/>
          <w:kern w:val="0"/>
          <w:sz w:val="32"/>
          <w:szCs w:val="32"/>
        </w:rPr>
      </w:pPr>
      <w:r>
        <w:rPr>
          <w:rFonts w:ascii="黑体" w:eastAsia="黑体" w:hint="eastAsia"/>
          <w:sz w:val="32"/>
          <w:szCs w:val="32"/>
        </w:rPr>
        <w:t>九、</w:t>
      </w:r>
      <w:r>
        <w:rPr>
          <w:rFonts w:ascii="仿宋_GB2312" w:eastAsia="仿宋_GB2312" w:hAnsi="宋体" w:cs="宋体" w:hint="eastAsia"/>
          <w:kern w:val="0"/>
          <w:sz w:val="32"/>
          <w:szCs w:val="32"/>
        </w:rPr>
        <w:t>信访接待场所应落实警务公开制度，自觉接受来访群众监督和评议，</w:t>
      </w:r>
      <w:r>
        <w:rPr>
          <w:rFonts w:ascii="仿宋_GB2312" w:eastAsia="仿宋_GB2312" w:hint="eastAsia"/>
          <w:sz w:val="32"/>
          <w:szCs w:val="32"/>
        </w:rPr>
        <w:t>工作台上须放置标明民警姓名、警号、职务、照片的服务牌，同时</w:t>
      </w:r>
      <w:r>
        <w:rPr>
          <w:rFonts w:ascii="仿宋_GB2312" w:eastAsia="仿宋_GB2312" w:hAnsi="仿宋_GB2312" w:cs="仿宋_GB2312" w:hint="eastAsia"/>
          <w:sz w:val="32"/>
          <w:szCs w:val="32"/>
        </w:rPr>
        <w:t>应备有</w:t>
      </w:r>
      <w:r>
        <w:rPr>
          <w:rFonts w:eastAsia="仿宋_GB2312" w:hAnsi="宋体" w:cs="宋体" w:hint="eastAsia"/>
          <w:kern w:val="0"/>
          <w:sz w:val="32"/>
          <w:szCs w:val="32"/>
        </w:rPr>
        <w:t>来访群众意见薄，供群众监督、评议。</w:t>
      </w:r>
    </w:p>
    <w:p>
      <w:pPr>
        <w:ind w:firstLine="640" w:firstLineChars="200"/>
        <w:rPr>
          <w:rFonts w:ascii="仿宋_GB2312" w:eastAsia="仿宋_GB2312" w:hAnsi="宋体" w:cs="宋体" w:hint="eastAsia"/>
          <w:kern w:val="0"/>
          <w:sz w:val="32"/>
          <w:szCs w:val="32"/>
        </w:rPr>
      </w:pPr>
      <w:r>
        <w:rPr>
          <w:rFonts w:ascii="黑体" w:eastAsia="黑体" w:hAnsi="宋体" w:cs="宋体" w:hint="eastAsia"/>
          <w:kern w:val="0"/>
          <w:sz w:val="32"/>
          <w:szCs w:val="32"/>
        </w:rPr>
        <w:t>十、</w:t>
      </w:r>
      <w:r>
        <w:rPr>
          <w:rFonts w:eastAsia="仿宋_GB2312" w:hAnsi="宋体" w:cs="宋体" w:hint="eastAsia"/>
          <w:kern w:val="0"/>
          <w:sz w:val="32"/>
          <w:szCs w:val="32"/>
        </w:rPr>
        <w:t>接待场所应保持良好的环境卫生，房间应定期进行打扫、消毒，物品应摆放整齐，做到干净整洁、井然有序。</w:t>
      </w:r>
    </w:p>
    <w:p>
      <w:pPr>
        <w:ind w:firstLine="640" w:firstLineChars="200"/>
        <w:rPr>
          <w:rFonts w:ascii="仿宋_GB2312" w:eastAsia="仿宋_GB2312" w:hint="eastAsia"/>
          <w:sz w:val="32"/>
          <w:szCs w:val="32"/>
        </w:rPr>
      </w:pPr>
      <w:r>
        <w:rPr>
          <w:rFonts w:ascii="黑体" w:eastAsia="黑体" w:hint="eastAsia"/>
          <w:sz w:val="32"/>
          <w:szCs w:val="32"/>
        </w:rPr>
        <w:t>十一、</w:t>
      </w:r>
      <w:r>
        <w:rPr>
          <w:rFonts w:ascii="仿宋_GB2312" w:eastAsia="仿宋_GB2312" w:hint="eastAsia"/>
          <w:sz w:val="32"/>
          <w:szCs w:val="32"/>
        </w:rPr>
        <w:t>上级公安机关应定期对下级公安机关信访接待场所建设情况进行检查，并将建设情况纳入信访工作考评中。</w:t>
      </w:r>
    </w:p>
    <w:p>
      <w:pPr>
        <w:ind w:firstLine="640" w:firstLineChars="200"/>
        <w:rPr>
          <w:rFonts w:ascii="仿宋_GB2312" w:eastAsia="仿宋_GB2312" w:hint="eastAsia"/>
          <w:sz w:val="32"/>
          <w:szCs w:val="32"/>
        </w:rPr>
      </w:pPr>
      <w:r>
        <w:rPr>
          <w:rFonts w:ascii="黑体" w:eastAsia="黑体" w:hint="eastAsia"/>
          <w:sz w:val="32"/>
          <w:szCs w:val="32"/>
        </w:rPr>
        <w:t>十二、</w:t>
      </w:r>
      <w:r>
        <w:rPr>
          <w:rFonts w:ascii="仿宋_GB2312" w:eastAsia="仿宋_GB2312" w:hint="eastAsia"/>
          <w:sz w:val="32"/>
          <w:szCs w:val="32"/>
        </w:rPr>
        <w:t>本规范由公安部办公厅负责解释；自2008年</w:t>
      </w:r>
      <w:r>
        <w:rPr>
          <w:rFonts w:ascii="仿宋_GB2312" w:eastAsia="仿宋_GB2312" w:hint="eastAsia"/>
          <w:sz w:val="32"/>
          <w:szCs w:val="32"/>
        </w:rPr>
        <w:t>——</w:t>
      </w:r>
      <w:r>
        <w:rPr>
          <w:rFonts w:ascii="仿宋_GB2312" w:eastAsia="仿宋_GB2312" w:hint="eastAsia"/>
          <w:sz w:val="32"/>
          <w:szCs w:val="32"/>
        </w:rPr>
        <w:t>月</w:t>
      </w:r>
      <w:r>
        <w:rPr>
          <w:rFonts w:ascii="仿宋_GB2312" w:eastAsia="仿宋_GB2312" w:hint="eastAsia"/>
          <w:sz w:val="32"/>
          <w:szCs w:val="32"/>
        </w:rPr>
        <w:t>——</w:t>
      </w:r>
      <w:r>
        <w:rPr>
          <w:rFonts w:ascii="仿宋_GB2312" w:eastAsia="仿宋_GB2312" w:hint="eastAsia"/>
          <w:sz w:val="32"/>
          <w:szCs w:val="32"/>
        </w:rPr>
        <w:t>日起实施。</w:t>
      </w:r>
    </w:p>
    <w:p>
      <w:pPr>
        <w:rPr>
          <w:rFonts w:hint="eastAsia"/>
          <w:sz w:val="32"/>
          <w:szCs w:val="32"/>
        </w:rPr>
      </w:pPr>
    </w:p>
    <w:p>
      <w:pPr>
        <w:rPr>
          <w:rFonts w:hint="eastAsia"/>
          <w:sz w:val="32"/>
          <w:szCs w:val="32"/>
        </w:rPr>
      </w:pPr>
      <w:r>
        <w:rPr>
          <w:rFonts w:hint="eastAsia"/>
          <w:sz w:val="32"/>
          <w:szCs w:val="32"/>
        </w:rPr>
        <w:t>附件：</w:t>
      </w:r>
    </w:p>
    <w:p>
      <w:pPr>
        <w:rPr>
          <w:rFonts w:hint="eastAsia"/>
          <w:sz w:val="32"/>
          <w:szCs w:val="32"/>
        </w:rPr>
      </w:pPr>
      <w:r>
        <w:rPr>
          <w:rFonts w:hint="eastAsia"/>
          <w:sz w:val="32"/>
          <w:szCs w:val="32"/>
        </w:rPr>
        <w:t>1、有关场所规模标准的说明；</w:t>
      </w:r>
    </w:p>
    <w:p>
      <w:pPr>
        <w:rPr>
          <w:rFonts w:hint="eastAsia"/>
          <w:sz w:val="32"/>
          <w:szCs w:val="32"/>
        </w:rPr>
      </w:pPr>
      <w:r>
        <w:rPr>
          <w:rFonts w:hint="eastAsia"/>
          <w:sz w:val="32"/>
          <w:szCs w:val="32"/>
        </w:rPr>
        <w:t>2、宣传栏设计说明；</w:t>
      </w:r>
    </w:p>
    <w:p>
      <w:pPr>
        <w:rPr>
          <w:rFonts w:hint="eastAsia"/>
          <w:sz w:val="32"/>
          <w:szCs w:val="32"/>
        </w:rPr>
        <w:sectPr>
          <w:headerReference w:type="default" r:id="rId13"/>
          <w:footerReference w:type="even" r:id="rId14"/>
          <w:footerReference w:type="default" r:id="rId15"/>
          <w:type w:val="nextPage"/>
          <w:pgSz w:w="11906" w:h="16838"/>
          <w:pgMar w:top="1440" w:right="1800" w:bottom="1440" w:left="1800" w:header="851" w:footer="992" w:gutter="0"/>
          <w:pgNumType w:start="4"/>
          <w:cols w:space="708"/>
          <w:titlePg w:val="0"/>
          <w:docGrid w:type="lines" w:linePitch="312"/>
        </w:sectPr>
      </w:pPr>
      <w:r>
        <w:rPr>
          <w:rFonts w:hint="eastAsia"/>
          <w:sz w:val="32"/>
          <w:szCs w:val="32"/>
        </w:rPr>
        <w:t>3、《信访事项办理流程》内容；</w:t>
      </w:r>
    </w:p>
    <w:p>
      <w:pPr>
        <w:rPr>
          <w:rFonts w:hint="eastAsia"/>
          <w:sz w:val="32"/>
          <w:szCs w:val="32"/>
        </w:rPr>
      </w:pPr>
      <w:r>
        <w:rPr>
          <w:rFonts w:hint="eastAsia"/>
          <w:sz w:val="32"/>
          <w:szCs w:val="32"/>
        </w:rPr>
        <w:t>4、《信访事项办理流程》宣传板效果图；</w:t>
      </w:r>
    </w:p>
    <w:p>
      <w:pPr>
        <w:rPr>
          <w:rFonts w:hint="eastAsia"/>
          <w:sz w:val="32"/>
          <w:szCs w:val="32"/>
        </w:rPr>
      </w:pPr>
      <w:r>
        <w:rPr>
          <w:rFonts w:hint="eastAsia"/>
          <w:sz w:val="32"/>
          <w:szCs w:val="32"/>
        </w:rPr>
        <w:t>5、《群众信访须知》内容；</w:t>
      </w:r>
    </w:p>
    <w:p>
      <w:pPr>
        <w:rPr>
          <w:rFonts w:hint="eastAsia"/>
          <w:sz w:val="32"/>
          <w:szCs w:val="32"/>
        </w:rPr>
      </w:pPr>
      <w:r>
        <w:rPr>
          <w:rFonts w:hint="eastAsia"/>
          <w:sz w:val="32"/>
          <w:szCs w:val="32"/>
        </w:rPr>
        <w:t>6、《群众信访须知》宣传板效果图；</w:t>
      </w:r>
    </w:p>
    <w:p>
      <w:pPr>
        <w:rPr>
          <w:rFonts w:hint="eastAsia"/>
          <w:sz w:val="32"/>
          <w:szCs w:val="32"/>
        </w:rPr>
      </w:pPr>
      <w:r>
        <w:rPr>
          <w:rFonts w:hint="eastAsia"/>
          <w:sz w:val="32"/>
          <w:szCs w:val="32"/>
        </w:rPr>
        <w:t>7、《公安机关信访部门岗位工作职责》内容；</w:t>
      </w:r>
    </w:p>
    <w:p>
      <w:pPr>
        <w:rPr>
          <w:rFonts w:hint="eastAsia"/>
          <w:sz w:val="32"/>
          <w:szCs w:val="32"/>
        </w:rPr>
      </w:pPr>
      <w:r>
        <w:rPr>
          <w:rFonts w:hint="eastAsia"/>
          <w:sz w:val="32"/>
          <w:szCs w:val="32"/>
        </w:rPr>
        <w:t>8、《公安机关信访部门岗位工作职责》宣传板效果图；</w:t>
      </w:r>
    </w:p>
    <w:p>
      <w:pPr>
        <w:outlineLvl w:val="0"/>
        <w:rPr>
          <w:rFonts w:hint="eastAsia"/>
          <w:sz w:val="32"/>
          <w:szCs w:val="32"/>
        </w:rPr>
      </w:pPr>
      <w:r>
        <w:rPr>
          <w:rFonts w:hint="eastAsia"/>
          <w:sz w:val="32"/>
          <w:szCs w:val="32"/>
        </w:rPr>
        <w:t>9、</w:t>
      </w:r>
      <w:r>
        <w:rPr>
          <w:rFonts w:ascii="宋体" w:hAnsi="宋体" w:hint="eastAsia"/>
          <w:sz w:val="32"/>
          <w:szCs w:val="32"/>
        </w:rPr>
        <w:t>门头标识、大门左侧标牌、警务公示牌说明；</w:t>
      </w:r>
    </w:p>
    <w:p>
      <w:pPr>
        <w:rPr>
          <w:rFonts w:hint="eastAsia"/>
          <w:sz w:val="32"/>
          <w:szCs w:val="32"/>
        </w:rPr>
      </w:pPr>
      <w:r>
        <w:rPr>
          <w:rFonts w:hint="eastAsia"/>
          <w:sz w:val="32"/>
          <w:szCs w:val="32"/>
        </w:rPr>
        <w:t>10、</w:t>
      </w:r>
      <w:r>
        <w:rPr>
          <w:rFonts w:ascii="宋体" w:hAnsi="宋体" w:hint="eastAsia"/>
          <w:sz w:val="32"/>
          <w:szCs w:val="32"/>
        </w:rPr>
        <w:t>门头标识、大门左侧标牌、警务公示牌样式及效果图；</w:t>
      </w: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pPr>
    </w:p>
    <w:p>
      <w:pPr>
        <w:rPr>
          <w:rFonts w:hint="eastAsia"/>
          <w:b/>
          <w:sz w:val="32"/>
          <w:szCs w:val="32"/>
        </w:rPr>
        <w:sectPr>
          <w:headerReference w:type="default" r:id="rId16"/>
          <w:footerReference w:type="even" r:id="rId17"/>
          <w:footerReference w:type="default" r:id="rId18"/>
          <w:type w:val="nextPage"/>
          <w:pgSz w:w="11906" w:h="16838"/>
          <w:pgMar w:top="1440" w:right="1800" w:bottom="1440" w:left="1800" w:header="851" w:footer="992" w:gutter="0"/>
          <w:pgNumType w:start="5"/>
          <w:cols w:space="708"/>
          <w:titlePg w:val="0"/>
          <w:docGrid w:type="lines" w:linePitch="312"/>
        </w:sectPr>
      </w:pPr>
    </w:p>
    <w:p>
      <w:pPr>
        <w:rPr>
          <w:rFonts w:hint="eastAsia"/>
          <w:b/>
          <w:sz w:val="32"/>
          <w:szCs w:val="32"/>
        </w:rPr>
      </w:pPr>
    </w:p>
    <w:p>
      <w:pPr>
        <w:rPr>
          <w:rFonts w:hint="eastAsia"/>
          <w:b/>
          <w:sz w:val="32"/>
          <w:szCs w:val="32"/>
        </w:rPr>
      </w:pPr>
      <w:r>
        <w:rPr>
          <w:rFonts w:hint="eastAsia"/>
          <w:b/>
          <w:sz w:val="32"/>
          <w:szCs w:val="32"/>
        </w:rPr>
        <w:t>附件：1</w:t>
      </w:r>
    </w:p>
    <w:p>
      <w:pPr>
        <w:ind w:firstLine="2520" w:firstLineChars="700"/>
        <w:rPr>
          <w:rFonts w:hint="eastAsia"/>
          <w:sz w:val="36"/>
          <w:szCs w:val="36"/>
        </w:rPr>
      </w:pPr>
      <w:r>
        <w:rPr>
          <w:rFonts w:hint="eastAsia"/>
          <w:sz w:val="36"/>
          <w:szCs w:val="36"/>
        </w:rPr>
        <w:t>有关场所规模标准的说明</w:t>
      </w:r>
    </w:p>
    <w:p>
      <w:pPr>
        <w:ind w:firstLine="640" w:firstLineChars="200"/>
        <w:rPr>
          <w:rFonts w:ascii="仿宋_GB2312" w:eastAsia="仿宋_GB2312" w:hint="eastAsia"/>
          <w:b/>
          <w:sz w:val="32"/>
          <w:szCs w:val="32"/>
        </w:rPr>
      </w:pPr>
      <w:r>
        <w:rPr>
          <w:rFonts w:ascii="仿宋_GB2312" w:eastAsia="仿宋_GB2312" w:hAnsi="宋体" w:hint="eastAsia"/>
          <w:sz w:val="32"/>
          <w:szCs w:val="32"/>
        </w:rPr>
        <w:t>《规范》中所述省级、地市级公安机关的</w:t>
      </w:r>
      <w:r>
        <w:rPr>
          <w:rFonts w:ascii="仿宋_GB2312" w:eastAsia="仿宋_GB2312" w:hAnsi="宋体" w:hint="eastAsia"/>
          <w:sz w:val="32"/>
          <w:szCs w:val="32"/>
        </w:rPr>
        <w:t>“</w:t>
      </w:r>
      <w:r>
        <w:rPr>
          <w:rFonts w:ascii="仿宋_GB2312" w:eastAsia="仿宋_GB2312" w:hAnsi="宋体" w:hint="eastAsia"/>
          <w:sz w:val="32"/>
          <w:szCs w:val="32"/>
        </w:rPr>
        <w:t>来访量较大的</w:t>
      </w:r>
      <w:r>
        <w:rPr>
          <w:rFonts w:ascii="仿宋_GB2312" w:eastAsia="仿宋_GB2312" w:hAnsi="宋体" w:hint="eastAsia"/>
          <w:sz w:val="32"/>
          <w:szCs w:val="32"/>
        </w:rPr>
        <w:t>”</w:t>
      </w:r>
      <w:r>
        <w:rPr>
          <w:rFonts w:ascii="仿宋_GB2312" w:eastAsia="仿宋_GB2312" w:hAnsi="宋体" w:hint="eastAsia"/>
          <w:sz w:val="32"/>
          <w:szCs w:val="32"/>
        </w:rPr>
        <w:t>、</w:t>
      </w:r>
      <w:r>
        <w:rPr>
          <w:rFonts w:ascii="仿宋_GB2312" w:eastAsia="仿宋_GB2312" w:hAnsi="宋体" w:hint="eastAsia"/>
          <w:sz w:val="32"/>
          <w:szCs w:val="32"/>
        </w:rPr>
        <w:t>“</w:t>
      </w:r>
      <w:r>
        <w:rPr>
          <w:rFonts w:ascii="仿宋_GB2312" w:eastAsia="仿宋_GB2312" w:hAnsi="宋体" w:hint="eastAsia"/>
          <w:sz w:val="32"/>
          <w:szCs w:val="32"/>
        </w:rPr>
        <w:t>来访量较小的</w:t>
      </w:r>
      <w:r>
        <w:rPr>
          <w:rFonts w:ascii="仿宋_GB2312" w:eastAsia="仿宋_GB2312" w:hAnsi="宋体" w:hint="eastAsia"/>
          <w:sz w:val="32"/>
          <w:szCs w:val="32"/>
        </w:rPr>
        <w:t>”</w:t>
      </w:r>
      <w:r>
        <w:rPr>
          <w:rFonts w:ascii="仿宋_GB2312" w:eastAsia="仿宋_GB2312" w:hAnsi="宋体" w:hint="eastAsia"/>
          <w:sz w:val="32"/>
          <w:szCs w:val="32"/>
        </w:rPr>
        <w:t>等术语标准，均由公安部信访办按群众到其本级公安机关的来访数量划定。省级公安机关的来访数量以2006年、2007年各省（区、市）公安机关上报《全年信访工作总结》中的数字为准；地市级公安机关的来访数量将根据信息系统后台统计的数字进行换算。</w:t>
      </w:r>
    </w:p>
    <w:p>
      <w:pPr>
        <w:widowControl/>
        <w:spacing w:line="560" w:lineRule="exact"/>
        <w:ind w:right="567"/>
        <w:jc w:val="left"/>
        <w:rPr>
          <w:rFonts w:eastAsia="仿宋_GB2312" w:hint="eastAsia"/>
          <w:b/>
          <w:kern w:val="0"/>
          <w:sz w:val="32"/>
        </w:rPr>
      </w:pPr>
    </w:p>
    <w:p>
      <w:pPr>
        <w:widowControl/>
        <w:spacing w:line="560" w:lineRule="exact"/>
        <w:ind w:right="567"/>
        <w:jc w:val="left"/>
        <w:rPr>
          <w:rFonts w:eastAsia="仿宋_GB2312" w:hint="eastAsia"/>
          <w:b/>
          <w:kern w:val="0"/>
          <w:sz w:val="32"/>
        </w:rPr>
      </w:pPr>
      <w:r>
        <w:rPr>
          <w:rFonts w:eastAsia="仿宋_GB2312" w:hint="eastAsia"/>
          <w:b/>
          <w:kern w:val="0"/>
          <w:sz w:val="32"/>
        </w:rPr>
        <w:t>附件：2</w:t>
      </w:r>
    </w:p>
    <w:p>
      <w:pPr>
        <w:widowControl/>
        <w:spacing w:line="560" w:lineRule="exact"/>
        <w:ind w:right="567" w:firstLine="645"/>
        <w:jc w:val="center"/>
        <w:rPr>
          <w:rFonts w:ascii="宋体" w:hAnsi="宋体" w:hint="eastAsia"/>
          <w:kern w:val="0"/>
          <w:sz w:val="36"/>
          <w:szCs w:val="36"/>
        </w:rPr>
      </w:pPr>
      <w:r>
        <w:rPr>
          <w:rFonts w:ascii="宋体" w:hAnsi="宋体" w:hint="eastAsia"/>
          <w:kern w:val="0"/>
          <w:sz w:val="36"/>
          <w:szCs w:val="36"/>
        </w:rPr>
        <w:t>宣传栏设计说明</w:t>
      </w:r>
    </w:p>
    <w:p>
      <w:pPr>
        <w:ind w:firstLine="640" w:firstLineChars="200"/>
        <w:rPr>
          <w:rFonts w:ascii="仿宋_GB2312" w:eastAsia="仿宋_GB2312" w:hint="eastAsia"/>
          <w:sz w:val="32"/>
          <w:szCs w:val="32"/>
        </w:rPr>
      </w:pPr>
      <w:r>
        <w:rPr>
          <w:rFonts w:ascii="仿宋_GB2312" w:eastAsia="仿宋_GB2312" w:hint="eastAsia"/>
          <w:sz w:val="32"/>
          <w:szCs w:val="32"/>
        </w:rPr>
        <w:t>《信访事项办理流程》、《信访须知》、《公安机关信访部门岗位工作职责》等内容宣传栏应设三块宣传板分别展示，每块宣传板按以下标准设计：</w:t>
      </w:r>
    </w:p>
    <w:p>
      <w:pPr>
        <w:ind w:firstLine="640" w:firstLineChars="200"/>
        <w:rPr>
          <w:rFonts w:ascii="仿宋_GB2312" w:eastAsia="仿宋_GB2312" w:hint="eastAsia"/>
          <w:sz w:val="32"/>
          <w:szCs w:val="32"/>
        </w:rPr>
        <w:sectPr>
          <w:headerReference w:type="default" r:id="rId19"/>
          <w:footerReference w:type="even" r:id="rId20"/>
          <w:footerReference w:type="default" r:id="rId21"/>
          <w:type w:val="nextPage"/>
          <w:pgSz w:w="11906" w:h="16838"/>
          <w:pgMar w:top="1440" w:right="1800" w:bottom="1440" w:left="1800" w:header="851" w:footer="992" w:gutter="0"/>
          <w:pgNumType w:start="6"/>
          <w:cols w:space="708"/>
          <w:titlePg w:val="0"/>
          <w:docGrid w:type="lines" w:linePitch="312"/>
        </w:sectPr>
      </w:pPr>
      <w:r>
        <w:rPr>
          <w:rFonts w:ascii="仿宋_GB2312" w:eastAsia="仿宋_GB2312" w:hint="eastAsia"/>
          <w:sz w:val="32"/>
          <w:szCs w:val="32"/>
        </w:rPr>
        <w:t>宣传板上、下为蓝边，中为白底。上蓝边内分别为</w:t>
      </w:r>
      <w:r>
        <w:rPr>
          <w:rFonts w:ascii="仿宋_GB2312" w:eastAsia="仿宋_GB2312" w:hint="eastAsia"/>
          <w:sz w:val="32"/>
          <w:szCs w:val="32"/>
        </w:rPr>
        <w:t>“</w:t>
      </w:r>
      <w:r>
        <w:rPr>
          <w:rFonts w:ascii="仿宋_GB2312" w:eastAsia="仿宋_GB2312" w:hint="eastAsia"/>
          <w:sz w:val="32"/>
          <w:szCs w:val="32"/>
        </w:rPr>
        <w:t>信访事项办理流程</w:t>
      </w:r>
      <w:r>
        <w:rPr>
          <w:rFonts w:ascii="仿宋_GB2312" w:eastAsia="仿宋_GB2312" w:hint="eastAsia"/>
          <w:sz w:val="32"/>
          <w:szCs w:val="32"/>
        </w:rPr>
        <w:t>”</w:t>
      </w:r>
      <w:r>
        <w:rPr>
          <w:rFonts w:ascii="仿宋_GB2312" w:eastAsia="仿宋_GB2312" w:hint="eastAsia"/>
          <w:sz w:val="32"/>
          <w:szCs w:val="32"/>
        </w:rPr>
        <w:t>、</w:t>
      </w:r>
      <w:r>
        <w:rPr>
          <w:rFonts w:ascii="仿宋_GB2312" w:eastAsia="仿宋_GB2312" w:hint="eastAsia"/>
          <w:sz w:val="32"/>
          <w:szCs w:val="32"/>
        </w:rPr>
        <w:t>“</w:t>
      </w:r>
      <w:r>
        <w:rPr>
          <w:rFonts w:ascii="仿宋_GB2312" w:eastAsia="仿宋_GB2312" w:hint="eastAsia"/>
          <w:sz w:val="32"/>
          <w:szCs w:val="32"/>
        </w:rPr>
        <w:t xml:space="preserve"> 群众信访须知</w:t>
      </w:r>
      <w:r>
        <w:rPr>
          <w:rFonts w:ascii="仿宋_GB2312" w:eastAsia="仿宋_GB2312" w:hint="eastAsia"/>
          <w:sz w:val="32"/>
          <w:szCs w:val="32"/>
        </w:rPr>
        <w:t>”</w:t>
      </w:r>
      <w:r>
        <w:rPr>
          <w:rFonts w:ascii="仿宋_GB2312" w:eastAsia="仿宋_GB2312" w:hint="eastAsia"/>
          <w:sz w:val="32"/>
          <w:szCs w:val="32"/>
        </w:rPr>
        <w:t>、</w:t>
      </w:r>
      <w:r>
        <w:rPr>
          <w:rFonts w:ascii="仿宋_GB2312" w:eastAsia="仿宋_GB2312" w:hint="eastAsia"/>
          <w:sz w:val="32"/>
          <w:szCs w:val="32"/>
        </w:rPr>
        <w:t>“</w:t>
      </w:r>
      <w:r>
        <w:rPr>
          <w:rFonts w:ascii="仿宋_GB2312" w:eastAsia="仿宋_GB2312" w:hint="eastAsia"/>
          <w:sz w:val="32"/>
          <w:szCs w:val="32"/>
        </w:rPr>
        <w:t xml:space="preserve"> 公安机关信访部门岗位工作职责</w:t>
      </w:r>
      <w:r>
        <w:rPr>
          <w:rFonts w:ascii="仿宋_GB2312" w:eastAsia="仿宋_GB2312" w:hint="eastAsia"/>
          <w:sz w:val="32"/>
          <w:szCs w:val="32"/>
        </w:rPr>
        <w:t>”</w:t>
      </w:r>
      <w:r>
        <w:rPr>
          <w:rFonts w:ascii="仿宋_GB2312" w:eastAsia="仿宋_GB2312" w:hint="eastAsia"/>
          <w:sz w:val="32"/>
          <w:szCs w:val="32"/>
        </w:rPr>
        <w:t>等标题，字体为白色宋体；下蓝边内中间为警徽，右侧为</w:t>
      </w:r>
      <w:r>
        <w:rPr>
          <w:rFonts w:ascii="仿宋_GB2312" w:eastAsia="仿宋_GB2312" w:hint="eastAsia"/>
          <w:sz w:val="32"/>
          <w:szCs w:val="32"/>
        </w:rPr>
        <w:t>“</w:t>
      </w:r>
      <w:r>
        <w:rPr>
          <w:rFonts w:ascii="仿宋_GB2312" w:eastAsia="仿宋_GB2312" w:hint="eastAsia"/>
          <w:sz w:val="32"/>
          <w:szCs w:val="32"/>
        </w:rPr>
        <w:t>XXX公安（分）局</w:t>
      </w:r>
      <w:r>
        <w:rPr>
          <w:rFonts w:ascii="仿宋_GB2312" w:eastAsia="仿宋_GB2312" w:hint="eastAsia"/>
          <w:sz w:val="32"/>
          <w:szCs w:val="32"/>
        </w:rPr>
        <w:t>”</w:t>
      </w:r>
      <w:r>
        <w:rPr>
          <w:rFonts w:ascii="仿宋_GB2312" w:eastAsia="仿宋_GB2312" w:hint="eastAsia"/>
          <w:sz w:val="32"/>
          <w:szCs w:val="32"/>
        </w:rPr>
        <w:t>， 字体为白色宋体；中间白底为具体宣传内容，字体为黑体黑字。板面宽、高比例为3：4，具体大小各单位视墙体面积自定。材质使用有机玻璃展板、背胶写真贴纸，广告装饰钉固定上墙。</w:t>
      </w:r>
    </w:p>
    <w:p>
      <w:pPr>
        <w:rPr>
          <w:rFonts w:hint="eastAsia"/>
          <w:b/>
          <w:sz w:val="32"/>
          <w:szCs w:val="32"/>
        </w:rPr>
      </w:pPr>
    </w:p>
    <w:p>
      <w:pPr>
        <w:rPr>
          <w:rFonts w:hint="eastAsia"/>
          <w:b/>
          <w:sz w:val="32"/>
          <w:szCs w:val="32"/>
        </w:rPr>
      </w:pPr>
      <w:r>
        <w:rPr>
          <w:rFonts w:hint="eastAsia"/>
          <w:b/>
          <w:sz w:val="32"/>
          <w:szCs w:val="32"/>
        </w:rPr>
        <w:t xml:space="preserve">附件：3      </w:t>
      </w:r>
      <w:r>
        <w:rPr>
          <w:rFonts w:hint="eastAsia"/>
          <w:sz w:val="32"/>
          <w:szCs w:val="32"/>
        </w:rPr>
        <w:t>《信访事项办理流程》内容</w:t>
      </w:r>
      <w:r>
        <w:rPr>
          <w:rFonts w:hint="eastAsia"/>
          <w:b/>
          <w:sz w:val="32"/>
          <w:szCs w:val="32"/>
        </w:rPr>
        <w:t xml:space="preserve">   </w:t>
      </w:r>
    </w:p>
    <w:p>
      <w:pPr>
        <w:jc w:val="center"/>
        <w:rPr>
          <w:rFonts w:hint="eastAsia"/>
          <w:b/>
          <w:sz w:val="36"/>
          <w:szCs w:val="36"/>
        </w:rPr>
      </w:pPr>
    </w:p>
    <w:p>
      <w:pPr>
        <w:jc w:val="center"/>
        <w:rPr>
          <w:rFonts w:hint="eastAsia"/>
          <w:b/>
          <w:sz w:val="36"/>
          <w:szCs w:val="36"/>
        </w:rPr>
      </w:pPr>
      <w:r>
        <w:rPr>
          <w:rFonts w:hint="eastAsia"/>
          <w:b/>
          <w:sz w:val="36"/>
          <w:szCs w:val="36"/>
        </w:rPr>
        <w:t>信访事项办理流程</w:t>
      </w:r>
    </w:p>
    <w:tbl>
      <w:tblPr>
        <w:tblStyle w:val="TableNormal"/>
        <w:tblpPr w:leftFromText="180" w:rightFromText="180" w:vertAnchor="text" w:horzAnchor="margin" w:tblpY="156"/>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400"/>
      </w:tblGrid>
      <w:tr>
        <w:tblPrEx>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72"/>
        </w:trPr>
        <w:tc>
          <w:tcPr>
            <w:tcW w:w="8400" w:type="dxa"/>
          </w:tcPr>
          <w:p>
            <w:pPr>
              <w:jc w:val="center"/>
            </w:pPr>
            <w:r>
              <w:rPr>
                <w:rFonts w:hint="eastAsia"/>
                <w:sz w:val="24"/>
              </w:rPr>
              <w:t>信访人提出信访事项（采用走访形式不得超过5人）</w:t>
            </w:r>
          </w:p>
        </w:tc>
      </w:tr>
    </w:tbl>
    <w:p>
      <w:pPr>
        <w:jc w:val="center"/>
        <w:rPr>
          <w:rFonts w:hint="eastAsia"/>
        </w:rPr>
      </w:pPr>
      <w:r>
        <w:rPr>
          <w:rFonts w:hint="eastAsia"/>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522" w:type="dxa"/>
          </w:tcPr>
          <w:p>
            <w:pPr>
              <w:jc w:val="center"/>
              <w:rPr>
                <w:rFonts w:hint="eastAsia"/>
              </w:rPr>
            </w:pPr>
            <w:r>
              <w:rPr>
                <w:rFonts w:hint="eastAsia"/>
              </w:rPr>
              <w:t>信访接待登记并听取陈述或阅信，了解事由</w:t>
            </w:r>
          </w:p>
        </w:tc>
      </w:tr>
    </w:tbl>
    <w:p>
      <w:pPr>
        <w:jc w:val="center"/>
        <w:rPr>
          <w:rFonts w:hint="eastAsia"/>
        </w:rPr>
      </w:pPr>
      <w:r>
        <w:rPr>
          <w:rFonts w:hint="eastAsia"/>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522" w:type="dxa"/>
          </w:tcPr>
          <w:p>
            <w:pPr>
              <w:jc w:val="center"/>
              <w:rPr>
                <w:rFonts w:hint="eastAsia"/>
              </w:rPr>
            </w:pPr>
            <w:r>
              <w:rPr>
                <w:rFonts w:hint="eastAsia"/>
              </w:rPr>
              <w:t>当面或日内书面告知</w:t>
            </w:r>
          </w:p>
        </w:tc>
      </w:tr>
    </w:tbl>
    <w:tbl>
      <w:tblPr>
        <w:tblStyle w:val="TableNormal"/>
        <w:tblpPr w:leftFromText="180" w:rightFromText="180" w:vertAnchor="text" w:horzAnchor="margin" w:tblpXSpec="center" w:tblpX="1"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22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14"/>
        </w:trPr>
        <w:tc>
          <w:tcPr>
            <w:tcW w:w="2220" w:type="dxa"/>
          </w:tcPr>
          <w:p>
            <w:pPr>
              <w:jc w:val="center"/>
              <w:rPr>
                <w:rFonts w:hint="eastAsia"/>
              </w:rPr>
            </w:pPr>
            <w:r>
              <w:rPr>
                <w:rFonts w:hint="eastAsia"/>
              </w:rPr>
              <w:t>不予受理事项</w:t>
            </w:r>
          </w:p>
        </w:tc>
      </w:tr>
    </w:tbl>
    <w:p>
      <w:pPr>
        <w:rPr>
          <w:rFonts w:hint="eastAsia"/>
        </w:rPr>
      </w:pPr>
      <w:r>
        <w:rPr>
          <w:rFonts w:hint="eastAsia"/>
        </w:rPr>
        <w:t xml:space="preserve">    </w:t>
      </w:r>
      <w:r>
        <w:rPr>
          <w:rFonts w:ascii="宋体" w:hAnsi="宋体" w:hint="eastAsia"/>
        </w:rPr>
        <w:t xml:space="preserve"> </w:t>
      </w:r>
      <w:r>
        <w:rPr>
          <w:rFonts w:ascii="宋体" w:hAnsi="宋体" w:hint="eastAsia"/>
        </w:rPr>
        <w:t>↓</w:t>
      </w:r>
      <w:r>
        <w:rPr>
          <w:rFonts w:hint="eastAsia"/>
        </w:rPr>
        <w:t xml:space="preserve">  </w:t>
      </w:r>
      <w:r>
        <w:rPr>
          <w:rFonts w:ascii="宋体" w:hAnsi="宋体" w:hint="eastAsia"/>
        </w:rPr>
        <w:t xml:space="preserve">                             </w:t>
      </w:r>
      <w:r>
        <w:rPr>
          <w:rFonts w:hint="eastAsia"/>
        </w:rPr>
        <w:t xml:space="preserve"> </w:t>
      </w:r>
      <w:r>
        <w:rPr>
          <w:rFonts w:ascii="宋体" w:hAnsi="宋体" w:hint="eastAsia"/>
        </w:rPr>
        <w:t>↓</w:t>
      </w:r>
      <w:r>
        <w:rPr>
          <w:rFonts w:hint="eastAsia"/>
        </w:rPr>
        <w:t xml:space="preserve">                            </w:t>
      </w:r>
      <w:r>
        <w:rPr>
          <w:rFonts w:ascii="宋体" w:hAnsi="宋体" w:hint="eastAsia"/>
        </w:rPr>
        <w:t>↓</w:t>
      </w:r>
      <w:r>
        <w:rPr>
          <w:rFonts w:hint="eastAsia"/>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7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89"/>
        </w:trPr>
        <w:tc>
          <w:tcPr>
            <w:tcW w:w="1747" w:type="dxa"/>
          </w:tcPr>
          <w:p>
            <w:pPr>
              <w:jc w:val="center"/>
              <w:rPr>
                <w:rFonts w:hint="eastAsia"/>
              </w:rPr>
            </w:pPr>
            <w:r>
              <w:rPr>
                <w:rFonts w:hint="eastAsia"/>
              </w:rPr>
              <w:t>不再受理事项</w:t>
            </w:r>
          </w:p>
        </w:tc>
      </w:tr>
    </w:tbl>
    <w:tbl>
      <w:tblPr>
        <w:tblStyle w:val="TableNormal"/>
        <w:tblpPr w:leftFromText="180" w:rightFromText="180" w:vertAnchor="text" w:horzAnchor="margin" w:tblpXSpec="right" w:tblpX="1" w:tblpY="-2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32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02"/>
        </w:trPr>
        <w:tc>
          <w:tcPr>
            <w:tcW w:w="2321" w:type="dxa"/>
          </w:tcPr>
          <w:p>
            <w:pPr>
              <w:jc w:val="center"/>
              <w:rPr>
                <w:rFonts w:hint="eastAsia"/>
              </w:rPr>
            </w:pPr>
            <w:r>
              <w:rPr>
                <w:rFonts w:hint="eastAsia"/>
              </w:rPr>
              <w:t>受理事项</w:t>
            </w:r>
          </w:p>
        </w:tc>
      </w:tr>
    </w:tbl>
    <w:p>
      <w:r>
        <w:rPr>
          <w:rFonts w:hint="eastAsia"/>
        </w:rPr>
        <w:pict>
          <v:line id="直线 17" o:spid="_x0000_s1025" style="flip:x;mso-wrap-style:square;position:absolute;z-index:251673600" from="369pt,10.4pt" to="369pt,30.95pt">
            <v:stroke linestyle="single" endarrow="block"/>
          </v:line>
        </w:pict>
      </w:r>
      <w:r>
        <w:rPr>
          <w:rFonts w:hint="eastAsia"/>
        </w:rPr>
        <w:pict>
          <v:line id="直线 15" o:spid="_x0000_s1026" style="mso-wrap-style:square;position:absolute;z-index:251671552" from="27pt,3.6pt" to="27pt,30.95pt">
            <v:stroke linestyle="single" endarrow="block"/>
          </v:line>
        </w:pict>
      </w:r>
      <w:r>
        <w:rPr>
          <w:rFonts w:hint="eastAsia"/>
        </w:rPr>
        <w:pict>
          <v:line id="直线 16" o:spid="_x0000_s1027" style="mso-wrap-style:square;position:absolute;z-index:251672576" from="207pt,11.4pt" to="207pt,42.6pt">
            <v:stroke linestyle="single" endarrow="block"/>
          </v:line>
        </w:pict>
      </w:r>
      <w:r>
        <w:rPr>
          <w:rFonts w:hint="eastAsia"/>
        </w:rPr>
        <w:t xml:space="preserve">                 </w:t>
      </w:r>
    </w:p>
    <w:p>
      <w:r>
        <w:rPr>
          <w:szCs w:val="21"/>
        </w:rPr>
        <w:pict>
          <v:shapetype id="_x0000_t202" coordsize="21600,21600" o:spt="202" path="m,l,21600r21600,l21600,xe">
            <v:stroke joinstyle="miter"/>
            <v:path gradientshapeok="t" o:connecttype="rect"/>
          </v:shapetype>
          <v:shape id="文本框 2" o:spid="_x0000_s1028" type="#_x0000_t202" style="width:126pt;height:54.6pt;margin-top:15.35pt;margin-left:306pt;mso-wrap-style:square;position:absolute;z-index:251658240">
            <v:stroke linestyle="single"/>
            <v:textbox>
              <w:txbxContent>
                <w:p>
                  <w:pPr>
                    <w:rPr>
                      <w:rFonts w:hint="eastAsia"/>
                    </w:rPr>
                  </w:pPr>
                  <w:r>
                    <w:rPr>
                      <w:rFonts w:hint="eastAsia"/>
                    </w:rPr>
                    <w:t>有管辖权的公安机关60内书面答复处理意见，情况复杂的可延长30日</w:t>
                  </w:r>
                </w:p>
              </w:txbxContent>
            </v:textbox>
          </v:shape>
        </w:pict>
      </w:r>
      <w:r>
        <w:rPr>
          <w:rFonts w:hint="eastAsia"/>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8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631"/>
        </w:trPr>
        <w:tc>
          <w:tcPr>
            <w:tcW w:w="1188" w:type="dxa"/>
          </w:tcPr>
          <w:p>
            <w:pPr>
              <w:rPr>
                <w:rFonts w:hint="eastAsia"/>
                <w:szCs w:val="21"/>
              </w:rPr>
            </w:pPr>
            <w:r>
              <w:rPr>
                <w:szCs w:val="21"/>
              </w:rPr>
              <w:pict>
                <v:line id="直线 10" o:spid="_x0000_s1029" style="mso-wrap-style:square;position:absolute;z-index:251666432" from="5in,131.85pt" to="360.2pt,163.35pt">
                  <v:stroke linestyle="single" endarrow="block"/>
                </v:line>
              </w:pict>
            </w:r>
            <w:r>
              <w:rPr>
                <w:szCs w:val="21"/>
              </w:rPr>
              <w:pict>
                <v:shape id="文本框 3" o:spid="_x0000_s1030" type="#_x0000_t202" style="width:80.9pt;height:46.5pt;margin-top:85.05pt;margin-left:306pt;mso-wrap-style:square;position:absolute;z-index:251659264">
                  <v:stroke linestyle="single"/>
                  <v:textbox>
                    <w:txbxContent>
                      <w:p>
                        <w:pPr>
                          <w:rPr>
                            <w:rFonts w:hint="eastAsia"/>
                          </w:rPr>
                        </w:pPr>
                        <w:r>
                          <w:rPr>
                            <w:rFonts w:hint="eastAsia"/>
                          </w:rPr>
                          <w:t>信访人不同意处理意见</w:t>
                        </w:r>
                      </w:p>
                    </w:txbxContent>
                  </v:textbox>
                </v:shape>
              </w:pict>
            </w:r>
            <w:r>
              <w:rPr>
                <w:szCs w:val="21"/>
              </w:rPr>
              <w:pict>
                <v:line id="直线 18" o:spid="_x0000_s1031" style="mso-wrap-style:square;position:absolute;z-index:251674624" from="423.1pt,54pt" to="423.1pt,85.2pt">
                  <v:stroke linestyle="single" endarrow="block"/>
                </v:line>
              </w:pict>
            </w:r>
            <w:r>
              <w:rPr>
                <w:szCs w:val="21"/>
              </w:rPr>
              <w:pict>
                <v:shape id="文本框 5" o:spid="_x0000_s1032" type="#_x0000_t202" style="width:26.9pt;height:299.55pt;margin-top:85.2pt;margin-left:414.2pt;mso-wrap-style:square;position:absolute;z-index:251661312">
                  <v:stroke linestyle="single"/>
                  <v:textbox>
                    <w:txbxContent>
                      <w:p>
                        <w:pPr>
                          <w:rPr>
                            <w:rFonts w:hint="eastAsia"/>
                          </w:rPr>
                        </w:pPr>
                        <w:r>
                          <w:rPr>
                            <w:rFonts w:hint="eastAsia"/>
                          </w:rPr>
                          <w:t>信访人同意处理意见，信访事项结案终止</w:t>
                        </w:r>
                      </w:p>
                    </w:txbxContent>
                  </v:textbox>
                </v:shape>
              </w:pict>
            </w:r>
            <w:r>
              <w:rPr>
                <w:szCs w:val="21"/>
              </w:rPr>
              <w:pict>
                <v:line id="直线 11" o:spid="_x0000_s1033" style="mso-wrap-style:square;position:absolute;z-index:251667456" from="5in,57.7pt" to="5in,81.1pt">
                  <v:stroke linestyle="single" endarrow="block"/>
                </v:line>
              </w:pict>
            </w:r>
            <w:r>
              <w:rPr>
                <w:rFonts w:hint="eastAsia"/>
                <w:szCs w:val="21"/>
              </w:rPr>
              <w:t>信访人对复核意见不服，仍以同一事实和理由提出投诉请求的问题；正在办理、复查、复核中的问题。</w:t>
            </w:r>
          </w:p>
        </w:tc>
      </w:tr>
    </w:tbl>
    <w:tbl>
      <w:tblPr>
        <w:tblStyle w:val="TableNormal"/>
        <w:tblpPr w:leftFromText="180" w:rightFromText="180" w:vertAnchor="text" w:horzAnchor="page" w:tblpX="3529" w:tblpY="-28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88"/>
        <w:gridCol w:w="1080"/>
        <w:gridCol w:w="1080"/>
        <w:gridCol w:w="9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794"/>
        </w:trPr>
        <w:tc>
          <w:tcPr>
            <w:tcW w:w="1188" w:type="dxa"/>
          </w:tcPr>
          <w:p>
            <w:pPr>
              <w:rPr>
                <w:rFonts w:hint="eastAsia"/>
                <w:szCs w:val="21"/>
              </w:rPr>
            </w:pPr>
          </w:p>
          <w:p>
            <w:pPr>
              <w:rPr>
                <w:rFonts w:hint="eastAsia"/>
                <w:szCs w:val="21"/>
              </w:rPr>
            </w:pPr>
            <w:r>
              <w:rPr>
                <w:rFonts w:hint="eastAsia"/>
                <w:szCs w:val="21"/>
              </w:rPr>
              <w:t>县级以上人大、人民法院、人民检察院职权范围内的信访事项</w:t>
            </w:r>
          </w:p>
        </w:tc>
        <w:tc>
          <w:tcPr>
            <w:tcW w:w="1080" w:type="dxa"/>
          </w:tcPr>
          <w:p>
            <w:pPr>
              <w:rPr>
                <w:rFonts w:hint="eastAsia"/>
                <w:szCs w:val="21"/>
              </w:rPr>
            </w:pPr>
          </w:p>
          <w:p>
            <w:pPr>
              <w:rPr>
                <w:rFonts w:hint="eastAsia"/>
                <w:szCs w:val="21"/>
              </w:rPr>
            </w:pPr>
            <w:r>
              <w:rPr>
                <w:rFonts w:hint="eastAsia"/>
                <w:szCs w:val="21"/>
              </w:rPr>
              <w:t>依法应当通过仲裁、诉讼、行政复议等法定途径解决的信访事项</w:t>
            </w:r>
          </w:p>
        </w:tc>
        <w:tc>
          <w:tcPr>
            <w:tcW w:w="1080" w:type="dxa"/>
          </w:tcPr>
          <w:p>
            <w:pPr>
              <w:rPr>
                <w:rFonts w:hint="eastAsia"/>
                <w:szCs w:val="21"/>
              </w:rPr>
            </w:pPr>
          </w:p>
          <w:p>
            <w:pPr>
              <w:rPr>
                <w:rFonts w:hint="eastAsia"/>
                <w:szCs w:val="21"/>
              </w:rPr>
            </w:pPr>
            <w:r>
              <w:rPr>
                <w:rFonts w:hint="eastAsia"/>
                <w:szCs w:val="21"/>
              </w:rPr>
              <w:t>有关部门已经受理或正在办理规定期限内的信访事项</w:t>
            </w:r>
          </w:p>
        </w:tc>
        <w:tc>
          <w:tcPr>
            <w:tcW w:w="900" w:type="dxa"/>
          </w:tcPr>
          <w:p>
            <w:pPr>
              <w:rPr>
                <w:rFonts w:hint="eastAsia"/>
                <w:szCs w:val="21"/>
              </w:rPr>
            </w:pPr>
          </w:p>
          <w:p>
            <w:pPr>
              <w:rPr>
                <w:rFonts w:hint="eastAsia"/>
                <w:szCs w:val="21"/>
              </w:rPr>
            </w:pPr>
            <w:r>
              <w:rPr>
                <w:rFonts w:hint="eastAsia"/>
                <w:szCs w:val="21"/>
              </w:rPr>
              <w:t>不属于公安机关职权范围的信访事项</w:t>
            </w:r>
          </w:p>
        </w:tc>
      </w:tr>
    </w:tbl>
    <w:p>
      <w:pPr>
        <w:rPr>
          <w:rFonts w:hint="eastAsia"/>
        </w:rPr>
      </w:pPr>
      <w:r>
        <w:pict>
          <v:shape id="文本框 4" o:spid="_x0000_s1034" type="#_x0000_t202" style="width:89.9pt;height:152.2pt;margin-top:6.55pt;margin-left:306.1pt;mso-wrap-style:square;position:absolute;z-index:251660288">
            <v:stroke linestyle="single"/>
            <v:textbox>
              <w:txbxContent>
                <w:p>
                  <w:pPr>
                    <w:rPr>
                      <w:rFonts w:hint="eastAsia"/>
                      <w:szCs w:val="21"/>
                    </w:rPr>
                  </w:pPr>
                  <w:r>
                    <w:rPr>
                      <w:rFonts w:hint="eastAsia"/>
                      <w:szCs w:val="21"/>
                    </w:rPr>
                    <w:t>接到书面答复意见30内向同级人民政府或上一级公安机关请求复查（对省级公安机关答复意见不服的，应到省级人民政府申请复查）</w:t>
                  </w:r>
                </w:p>
              </w:txbxContent>
            </v:textbox>
          </v:shape>
        </w:pict>
      </w:r>
    </w:p>
    <w:tbl>
      <w:tblPr>
        <w:tblStyle w:val="TableNormal"/>
        <w:tblpPr w:leftFromText="180" w:rightFromText="180" w:vertAnchor="text" w:horzAnchor="margin"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6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20"/>
        </w:trPr>
        <w:tc>
          <w:tcPr>
            <w:tcW w:w="2469" w:type="dxa"/>
          </w:tcPr>
          <w:p>
            <w:pPr>
              <w:jc w:val="center"/>
              <w:rPr>
                <w:rFonts w:hint="eastAsia"/>
              </w:rPr>
            </w:pPr>
            <w:r>
              <w:rPr>
                <w:rFonts w:hint="eastAsia"/>
              </w:rPr>
              <w:pict>
                <v:line id="直线 14" o:spid="_x0000_s1035" style="flip:y;mso-wrap-style:square;position:absolute;z-index:251670528" from="54pt,19.95pt" to="54pt,43.35pt">
                  <v:stroke linestyle="single" endarrow="block"/>
                </v:line>
              </w:pict>
            </w:r>
            <w:r>
              <w:rPr>
                <w:rFonts w:hint="eastAsia"/>
              </w:rPr>
              <w:t>信访事项终结</w:t>
            </w:r>
          </w:p>
        </w:tc>
      </w:tr>
    </w:tbl>
    <w:p>
      <w:pPr>
        <w:rPr>
          <w:rFonts w:hint="eastAsia"/>
        </w:rPr>
      </w:pPr>
    </w:p>
    <w:p>
      <w:pPr>
        <w:rPr>
          <w:rFonts w:hint="eastAsia"/>
        </w:rPr>
      </w:pPr>
    </w:p>
    <w:p>
      <w:pPr>
        <w:rPr>
          <w:rFonts w:hint="eastAsia"/>
        </w:rPr>
      </w:pPr>
    </w:p>
    <w:tbl>
      <w:tblPr>
        <w:tblStyle w:val="TableNormal"/>
        <w:tblpPr w:leftFromText="180" w:rightFromText="180" w:vertAnchor="text" w:horzAnchor="margin"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7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51"/>
        </w:trPr>
        <w:tc>
          <w:tcPr>
            <w:tcW w:w="2471" w:type="dxa"/>
          </w:tcPr>
          <w:p>
            <w:pPr>
              <w:rPr>
                <w:rFonts w:hint="eastAsia"/>
              </w:rPr>
            </w:pPr>
            <w:r>
              <w:rPr>
                <w:rFonts w:hint="eastAsia"/>
              </w:rPr>
              <w:t>受理机关复核后30内书面答复复核意见</w:t>
            </w:r>
          </w:p>
          <w:p>
            <w:pPr>
              <w:jc w:val="right"/>
              <w:rPr>
                <w:rFonts w:hint="eastAsia"/>
              </w:rPr>
            </w:pPr>
          </w:p>
        </w:tc>
      </w:tr>
    </w:tbl>
    <w:p/>
    <w:p/>
    <w:p/>
    <w:p>
      <w:pPr>
        <w:rPr>
          <w:rFonts w:hint="eastAsia"/>
        </w:rPr>
      </w:pPr>
      <w:r>
        <w:pict>
          <v:line id="直线 13" o:spid="_x0000_s1036" style="flip:y;mso-wrap-style:square;position:absolute;z-index:251669504" from="-73.4pt,10.4pt" to="-73.4pt,26pt">
            <v:stroke linestyle="single" endarrow="block"/>
          </v:line>
        </w:pict>
      </w:r>
    </w:p>
    <w:tbl>
      <w:tblPr>
        <w:tblStyle w:val="TableNormal"/>
        <w:tblpPr w:leftFromText="180" w:rightFromText="180" w:vertAnchor="text" w:horzAnchor="margin"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6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11"/>
        </w:trPr>
        <w:tc>
          <w:tcPr>
            <w:tcW w:w="2465" w:type="dxa"/>
          </w:tcPr>
          <w:p>
            <w:pPr>
              <w:rPr>
                <w:rFonts w:hint="eastAsia"/>
              </w:rPr>
            </w:pPr>
            <w:r>
              <w:rPr>
                <w:rFonts w:hint="eastAsia"/>
              </w:rPr>
              <w:t>接到书面答复意见30内向同级人民政府或上一级公安机关请求复核（对省级公安机关复查意见不服的，到省级人民政府申请复核）</w:t>
            </w:r>
            <w:r>
              <w:rPr>
                <w:rFonts w:hint="eastAsia"/>
              </w:rPr>
              <w:pict>
                <v:line id="直线 8" o:spid="_x0000_s1037" style="mso-wrap-style:square;position:absolute;z-index:251664384" from="46.3pt,-597.3pt" to="46.35pt,-597.3pt">
                  <v:stroke linestyle="single" endarrow="block"/>
                </v:line>
              </w:pict>
            </w:r>
          </w:p>
        </w:tc>
      </w:tr>
    </w:tbl>
    <w:p>
      <w:pPr>
        <w:rPr>
          <w:rFonts w:hint="eastAsia"/>
        </w:rPr>
      </w:pPr>
    </w:p>
    <w:p>
      <w:r>
        <w:pict>
          <v:shape id="文本框 7" o:spid="_x0000_s1038" type="#_x0000_t202" style="width:1in;height:70.2pt;margin-top:6.55pt;margin-left:52.9pt;mso-wrap-style:square;position:absolute;z-index:251663360">
            <v:stroke linestyle="single"/>
            <v:textbox>
              <w:txbxContent>
                <w:p>
                  <w:pPr>
                    <w:rPr>
                      <w:rFonts w:hint="eastAsia"/>
                    </w:rPr>
                  </w:pPr>
                  <w:r>
                    <w:rPr>
                      <w:rFonts w:hint="eastAsia"/>
                    </w:rPr>
                    <w:t>信访人同意复查意见，信访事项结案终止</w:t>
                  </w:r>
                </w:p>
                <w:p/>
              </w:txbxContent>
            </v:textbox>
          </v:shape>
        </w:pict>
      </w:r>
    </w:p>
    <w:p>
      <w:r>
        <w:pict>
          <v:line id="直线 9" o:spid="_x0000_s1039" style="mso-wrap-style:square;position:absolute;z-index:251665408" from="232.9pt,6.55pt" to="232.9pt,22.15pt">
            <v:stroke linestyle="single" endarrow="block"/>
          </v:line>
        </w:pict>
      </w:r>
    </w:p>
    <w:p>
      <w:r>
        <w:pict>
          <v:shape id="文本框 6" o:spid="_x0000_s1040" type="#_x0000_t202" style="width:81pt;height:54.6pt;margin-top:6.55pt;margin-left:187.9pt;mso-wrap-style:square;position:absolute;z-index:251662336">
            <v:stroke linestyle="single"/>
            <v:textbox>
              <w:txbxContent>
                <w:p>
                  <w:pPr>
                    <w:rPr>
                      <w:rFonts w:hint="eastAsia"/>
                    </w:rPr>
                  </w:pPr>
                  <w:r>
                    <w:rPr>
                      <w:rFonts w:hint="eastAsia"/>
                    </w:rPr>
                    <w:t>受理机关复查后30内书面答复复查意见</w:t>
                  </w:r>
                </w:p>
              </w:txbxContent>
            </v:textbox>
          </v:shape>
        </w:pict>
      </w:r>
    </w:p>
    <w:p>
      <w:pPr>
        <w:jc w:val="right"/>
        <w:rPr>
          <w:rFonts w:hint="eastAsia"/>
        </w:rPr>
      </w:pPr>
    </w:p>
    <w:p>
      <w:pPr>
        <w:jc w:val="right"/>
        <w:rPr>
          <w:rFonts w:hint="eastAsia"/>
        </w:rPr>
      </w:pPr>
    </w:p>
    <w:p>
      <w:pPr>
        <w:ind w:right="105"/>
        <w:jc w:val="right"/>
        <w:rPr>
          <w:rFonts w:hint="eastAsia"/>
        </w:rPr>
      </w:pPr>
    </w:p>
    <w:p>
      <w:pPr>
        <w:jc w:val="right"/>
        <w:rPr>
          <w:rFonts w:hint="eastAsia"/>
        </w:rPr>
        <w:sectPr>
          <w:headerReference w:type="default" r:id="rId22"/>
          <w:footerReference w:type="even" r:id="rId23"/>
          <w:footerReference w:type="default" r:id="rId24"/>
          <w:type w:val="nextPage"/>
          <w:pgSz w:w="11906" w:h="16838"/>
          <w:pgMar w:top="1440" w:right="1800" w:bottom="1440" w:left="1800" w:header="851" w:footer="992" w:gutter="0"/>
          <w:pgNumType w:start="7"/>
          <w:cols w:space="708"/>
          <w:titlePg w:val="0"/>
          <w:docGrid w:type="lines" w:linePitch="312"/>
        </w:sectPr>
      </w:pPr>
      <w:r>
        <w:rPr>
          <w:rFonts w:hint="eastAsia"/>
        </w:rPr>
        <w:pict>
          <v:line id="直线 21" o:spid="_x0000_s1041" style="flip:y;mso-wrap-style:square;position:absolute;z-index:251676672" from="88.9pt,2.6pt" to="88.9pt,33.8pt">
            <v:stroke linestyle="single" endarrow="block"/>
          </v:line>
        </w:pict>
      </w:r>
      <w:r>
        <w:rPr>
          <w:rFonts w:hint="eastAsia"/>
        </w:rPr>
        <w:pict>
          <v:line id="直线 19" o:spid="_x0000_s1042" style="mso-wrap-style:square;position:absolute;z-index:251675648" from="241.9pt,2.6pt" to="241.9pt,33.8pt">
            <v:stroke linestyle="single"/>
          </v:line>
        </w:pict>
      </w:r>
      <w:r>
        <w:rPr>
          <w:rFonts w:hint="eastAsia"/>
        </w:rPr>
        <w:pict>
          <v:line id="直线 12" o:spid="_x0000_s1043" style="flip:y;mso-wrap-style:square;position:absolute;z-index:251668480" from="-73.1pt,2.6pt" to="-73.1pt,26pt">
            <v:stroke linestyle="single" endarrow="block"/>
          </v:line>
        </w:pict>
      </w:r>
    </w:p>
    <w:tbl>
      <w:tblPr>
        <w:tblStyle w:val="TableNormal"/>
        <w:tblpPr w:leftFromText="180" w:rightFromText="180" w:vertAnchor="text" w:horzAnchor="margin" w:tblpY="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3"/>
        </w:trPr>
        <w:tc>
          <w:tcPr>
            <w:tcW w:w="2468" w:type="dxa"/>
          </w:tcPr>
          <w:p>
            <w:pPr>
              <w:rPr>
                <w:rFonts w:hint="eastAsia"/>
              </w:rPr>
            </w:pPr>
            <w:r>
              <w:rPr>
                <w:rFonts w:hint="eastAsia"/>
              </w:rPr>
              <w:t>信访人不同意复查意见</w:t>
            </w:r>
          </w:p>
        </w:tc>
      </w:tr>
    </w:tbl>
    <w:p>
      <w:pPr>
        <w:jc w:val="right"/>
        <w:rPr>
          <w:rFonts w:hint="eastAsia"/>
        </w:rPr>
      </w:pPr>
    </w:p>
    <w:p>
      <w:pPr>
        <w:ind w:right="210"/>
        <w:jc w:val="right"/>
        <w:rPr>
          <w:rFonts w:hint="eastAsia"/>
        </w:rPr>
      </w:pPr>
      <w:r>
        <w:rPr>
          <w:rFonts w:hint="eastAsia"/>
        </w:rPr>
        <w:pict>
          <v:line id="直线 20" o:spid="_x0000_s1044" style="flip:y;mso-wrap-style:square;position:absolute;z-index:251677696" from="162pt,2.6pt" to="241.75pt,2.6pt">
            <v:stroke linestyle="single"/>
          </v:line>
        </w:pict>
      </w:r>
      <w:r>
        <w:rPr>
          <w:rFonts w:hint="eastAsia"/>
        </w:rPr>
        <w:pict>
          <v:line id="直线 22" o:spid="_x0000_s1045" style="flip:x;mso-wrap-style:square;position:absolute;z-index:251678720" from="-1.25pt,2.6pt" to="178.75pt,2.6pt">
            <v:stroke linestyle="single" endarrow="block"/>
          </v:line>
        </w:pict>
      </w:r>
    </w:p>
    <w:p>
      <w:pPr>
        <w:rPr>
          <w:rFonts w:ascii="宋体" w:hAnsi="宋体" w:hint="eastAsia"/>
          <w:b/>
          <w:sz w:val="32"/>
          <w:szCs w:val="32"/>
        </w:rPr>
      </w:pPr>
      <w:r>
        <w:rPr>
          <w:rFonts w:ascii="宋体" w:hAnsi="宋体" w:hint="eastAsia"/>
          <w:b/>
          <w:sz w:val="32"/>
          <w:szCs w:val="32"/>
        </w:rPr>
        <w:t>附件：4</w:t>
      </w:r>
    </w:p>
    <w:p>
      <w:pPr>
        <w:ind w:firstLine="1760" w:firstLineChars="550"/>
        <w:rPr>
          <w:rFonts w:ascii="宋体" w:hAnsi="宋体" w:hint="eastAsia"/>
          <w:b/>
          <w:sz w:val="32"/>
          <w:szCs w:val="32"/>
        </w:rPr>
      </w:pPr>
      <w:r>
        <w:rPr>
          <w:rFonts w:hint="eastAsia"/>
          <w:sz w:val="32"/>
          <w:szCs w:val="32"/>
        </w:rPr>
        <w:t>《信访事项办理流程》宣传板效果图</w:t>
      </w:r>
    </w:p>
    <w:p>
      <w:pPr>
        <w:rPr>
          <w:rFonts w:ascii="宋体" w:hAnsi="宋体" w:hint="eastAsia"/>
          <w:b/>
          <w:sz w:val="32"/>
          <w:szCs w:val="32"/>
        </w:rPr>
      </w:pPr>
      <w:r>
        <w:rPr>
          <w:rFonts w:ascii="宋体" w:hAnsi="宋体" w:hint="eastAsia"/>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46" type="#_x0000_t75" style="width:415.14pt;height:554.39pt;mso-position-horizontal-relative:page;mso-position-vertical-relative:page;mso-wrap-style:square" filled="f" stroked="f">
            <v:stroke linestyle="single"/>
            <v:imagedata r:id="rId25" o:title="信访事项办理流程图（灰色边框）"/>
            <v:path o:extrusionok="f"/>
            <o:lock v:ext="edit" aspectratio="t"/>
          </v:shape>
        </w:pict>
      </w:r>
    </w:p>
    <w:p>
      <w:pPr>
        <w:rPr>
          <w:rFonts w:ascii="宋体" w:hAnsi="宋体" w:hint="eastAsia"/>
          <w:b/>
          <w:sz w:val="32"/>
          <w:szCs w:val="32"/>
        </w:rPr>
        <w:sectPr>
          <w:headerReference w:type="default" r:id="rId26"/>
          <w:footerReference w:type="even" r:id="rId27"/>
          <w:footerReference w:type="default" r:id="rId28"/>
          <w:type w:val="nextPage"/>
          <w:pgSz w:w="11906" w:h="16838"/>
          <w:pgMar w:top="1440" w:right="1800" w:bottom="1440" w:left="1800" w:header="851" w:footer="992" w:gutter="0"/>
          <w:pgNumType w:start="8"/>
          <w:cols w:space="708"/>
          <w:titlePg w:val="0"/>
          <w:docGrid w:type="lines" w:linePitch="312"/>
        </w:sectPr>
      </w:pPr>
    </w:p>
    <w:p>
      <w:pPr>
        <w:rPr>
          <w:rFonts w:ascii="宋体" w:hAnsi="宋体" w:hint="eastAsia"/>
          <w:b/>
          <w:sz w:val="32"/>
          <w:szCs w:val="32"/>
        </w:rPr>
      </w:pPr>
    </w:p>
    <w:p>
      <w:pPr>
        <w:rPr>
          <w:rFonts w:ascii="宋体" w:hAnsi="宋体" w:hint="eastAsia"/>
          <w:b/>
          <w:sz w:val="32"/>
          <w:szCs w:val="32"/>
        </w:rPr>
      </w:pPr>
      <w:r>
        <w:rPr>
          <w:rFonts w:ascii="宋体" w:hAnsi="宋体" w:hint="eastAsia"/>
          <w:b/>
          <w:sz w:val="32"/>
          <w:szCs w:val="32"/>
        </w:rPr>
        <w:t>附件：5</w:t>
      </w:r>
    </w:p>
    <w:p>
      <w:pPr>
        <w:ind w:firstLine="2240" w:firstLineChars="700"/>
        <w:rPr>
          <w:rFonts w:ascii="宋体" w:hAnsi="宋体" w:hint="eastAsia"/>
          <w:b/>
          <w:sz w:val="32"/>
          <w:szCs w:val="32"/>
        </w:rPr>
      </w:pPr>
      <w:r>
        <w:rPr>
          <w:rFonts w:hint="eastAsia"/>
          <w:sz w:val="32"/>
          <w:szCs w:val="32"/>
        </w:rPr>
        <w:t>《群众信访须知》内容</w:t>
      </w:r>
    </w:p>
    <w:p>
      <w:pPr>
        <w:ind w:firstLine="440" w:firstLineChars="100"/>
        <w:jc w:val="center"/>
        <w:rPr>
          <w:rFonts w:ascii="宋体" w:hAnsi="宋体" w:hint="eastAsia"/>
          <w:b/>
          <w:sz w:val="44"/>
          <w:szCs w:val="44"/>
        </w:rPr>
      </w:pPr>
    </w:p>
    <w:p>
      <w:pPr>
        <w:ind w:firstLine="440" w:firstLineChars="100"/>
        <w:jc w:val="center"/>
        <w:rPr>
          <w:rFonts w:ascii="宋体" w:hAnsi="宋体" w:hint="eastAsia"/>
          <w:b/>
          <w:sz w:val="44"/>
          <w:szCs w:val="44"/>
        </w:rPr>
      </w:pPr>
      <w:r>
        <w:rPr>
          <w:rFonts w:ascii="宋体" w:hAnsi="宋体" w:hint="eastAsia"/>
          <w:b/>
          <w:sz w:val="44"/>
          <w:szCs w:val="44"/>
        </w:rPr>
        <w:t>群 众 信 访 须 知</w:t>
      </w:r>
    </w:p>
    <w:p>
      <w:pPr>
        <w:spacing w:line="560" w:lineRule="exact"/>
        <w:ind w:left="1072" w:hanging="1072" w:hangingChars="335"/>
        <w:rPr>
          <w:rFonts w:ascii="仿宋_GB2312" w:eastAsia="仿宋_GB2312" w:hAnsi="宋体" w:hint="eastAsia"/>
          <w:sz w:val="32"/>
          <w:szCs w:val="32"/>
        </w:rPr>
      </w:pPr>
      <w:r>
        <w:rPr>
          <w:rFonts w:ascii="仿宋_GB2312" w:eastAsia="仿宋_GB2312" w:hAnsi="宋体" w:hint="eastAsia"/>
          <w:b/>
          <w:sz w:val="32"/>
          <w:szCs w:val="32"/>
        </w:rPr>
        <w:t>第一条</w:t>
      </w:r>
      <w:r>
        <w:rPr>
          <w:rFonts w:ascii="仿宋_GB2312" w:eastAsia="仿宋_GB2312" w:hAnsi="宋体" w:hint="eastAsia"/>
          <w:sz w:val="32"/>
          <w:szCs w:val="32"/>
        </w:rPr>
        <w:t xml:space="preserve"> 信访人进行信访活动应遵守国务院颁布的《信访条例》、《公安机关信访工作规定》。</w:t>
      </w:r>
    </w:p>
    <w:p>
      <w:pPr>
        <w:spacing w:line="560" w:lineRule="exact"/>
        <w:ind w:left="1194" w:hanging="1194" w:hangingChars="373"/>
        <w:rPr>
          <w:rFonts w:ascii="仿宋_GB2312" w:eastAsia="仿宋_GB2312" w:hAnsi="宋体" w:hint="eastAsia"/>
          <w:sz w:val="32"/>
          <w:szCs w:val="32"/>
        </w:rPr>
      </w:pPr>
      <w:r>
        <w:rPr>
          <w:rFonts w:ascii="仿宋_GB2312" w:eastAsia="仿宋_GB2312" w:hAnsi="宋体" w:hint="eastAsia"/>
          <w:b/>
          <w:sz w:val="32"/>
          <w:szCs w:val="32"/>
        </w:rPr>
        <w:t>第二条</w:t>
      </w:r>
      <w:r>
        <w:rPr>
          <w:rFonts w:ascii="仿宋_GB2312" w:eastAsia="仿宋_GB2312" w:hAnsi="宋体" w:hint="eastAsia"/>
          <w:sz w:val="32"/>
          <w:szCs w:val="32"/>
        </w:rPr>
        <w:t xml:space="preserve"> 信访人提出信访事项，一般应当采用书信、电子邮件、传真等书面形式；信访人提出投诉请求的，应当写明信访人姓名（名称）、住址和请求、事实、理由。</w:t>
      </w:r>
    </w:p>
    <w:p>
      <w:pPr>
        <w:spacing w:line="560" w:lineRule="exact"/>
        <w:ind w:left="1040" w:leftChars="495"/>
        <w:rPr>
          <w:rFonts w:ascii="仿宋_GB2312" w:eastAsia="仿宋_GB2312" w:hAnsi="宋体" w:hint="eastAsia"/>
          <w:sz w:val="32"/>
          <w:szCs w:val="32"/>
        </w:rPr>
      </w:pPr>
      <w:r>
        <w:rPr>
          <w:rFonts w:ascii="仿宋_GB2312" w:eastAsia="仿宋_GB2312" w:hAnsi="宋体" w:hint="eastAsia"/>
          <w:sz w:val="32"/>
          <w:szCs w:val="32"/>
        </w:rPr>
        <w:t>公安机关对采用口头形式提出的投诉请求，应当记录信访人的姓名（名称）、住址和请求、事实、理由。</w:t>
      </w:r>
    </w:p>
    <w:p>
      <w:pPr>
        <w:spacing w:line="560" w:lineRule="exact"/>
        <w:ind w:left="1148" w:hanging="1091" w:leftChars="27" w:hangingChars="341"/>
        <w:rPr>
          <w:rFonts w:ascii="仿宋_GB2312" w:eastAsia="仿宋_GB2312" w:hAnsi="宋体" w:hint="eastAsia"/>
          <w:sz w:val="32"/>
          <w:szCs w:val="32"/>
        </w:rPr>
      </w:pPr>
      <w:r>
        <w:rPr>
          <w:rFonts w:ascii="仿宋_GB2312" w:eastAsia="仿宋_GB2312" w:hAnsi="宋体" w:hint="eastAsia"/>
          <w:b/>
          <w:sz w:val="32"/>
          <w:szCs w:val="32"/>
        </w:rPr>
        <w:t>第三条</w:t>
      </w:r>
      <w:r>
        <w:rPr>
          <w:rFonts w:ascii="仿宋_GB2312" w:eastAsia="仿宋_GB2312" w:hAnsi="宋体" w:hint="eastAsia"/>
          <w:sz w:val="32"/>
          <w:szCs w:val="32"/>
        </w:rPr>
        <w:t xml:space="preserve"> 信访人采用走访形式提出信访事项，应当向依法有权处理的本级公安机关或者上一级公安机关设立或者指定的接待场所提出，多人采用走访形式提出共同的信访事项的，应当推选代表，代表人数不得超过5人。</w:t>
      </w:r>
    </w:p>
    <w:p>
      <w:pPr>
        <w:spacing w:line="560" w:lineRule="exact"/>
        <w:ind w:left="1040" w:leftChars="495"/>
        <w:rPr>
          <w:rFonts w:ascii="仿宋_GB2312" w:eastAsia="仿宋_GB2312" w:hAnsi="宋体" w:hint="eastAsia"/>
          <w:sz w:val="32"/>
          <w:szCs w:val="32"/>
        </w:rPr>
      </w:pPr>
      <w:r>
        <w:rPr>
          <w:rFonts w:ascii="仿宋_GB2312" w:eastAsia="仿宋_GB2312" w:hAnsi="宋体" w:hint="eastAsia"/>
          <w:sz w:val="32"/>
          <w:szCs w:val="32"/>
        </w:rPr>
        <w:t>信访事项已经受理或者正在办理的，信访人在规定期限内向上一级机关再提出同一信访事项的，上级公安机关不予受理。</w:t>
      </w:r>
    </w:p>
    <w:p>
      <w:pPr>
        <w:spacing w:line="560" w:lineRule="exact"/>
        <w:ind w:left="1098" w:hanging="1098" w:hangingChars="343"/>
        <w:rPr>
          <w:rFonts w:ascii="仿宋_GB2312" w:eastAsia="仿宋_GB2312" w:hAnsi="宋体" w:hint="eastAsia"/>
          <w:sz w:val="32"/>
          <w:szCs w:val="32"/>
        </w:rPr>
        <w:sectPr>
          <w:headerReference w:type="default" r:id="rId29"/>
          <w:footerReference w:type="even" r:id="rId30"/>
          <w:footerReference w:type="default" r:id="rId31"/>
          <w:type w:val="nextPage"/>
          <w:pgSz w:w="11906" w:h="16838"/>
          <w:pgMar w:top="1440" w:right="1800" w:bottom="1440" w:left="1800" w:header="851" w:footer="992" w:gutter="0"/>
          <w:pgNumType w:start="9"/>
          <w:cols w:space="708"/>
          <w:titlePg w:val="0"/>
          <w:docGrid w:type="lines" w:linePitch="312"/>
        </w:sectPr>
      </w:pPr>
      <w:r>
        <w:rPr>
          <w:rFonts w:ascii="仿宋_GB2312" w:eastAsia="仿宋_GB2312" w:hAnsi="宋体" w:hint="eastAsia"/>
          <w:b/>
          <w:sz w:val="32"/>
          <w:szCs w:val="32"/>
        </w:rPr>
        <w:t>第四条</w:t>
      </w:r>
      <w:r>
        <w:rPr>
          <w:rFonts w:ascii="仿宋_GB2312" w:eastAsia="仿宋_GB2312" w:hAnsi="宋体" w:hint="eastAsia"/>
          <w:sz w:val="32"/>
          <w:szCs w:val="32"/>
        </w:rPr>
        <w:t xml:space="preserve"> 信访人提出信访事项，应当客观真实，对其所提供材料内容的真实性负责，不得捏造、歪曲事实，不得诬告、陷害他人。</w:t>
      </w:r>
    </w:p>
    <w:p>
      <w:pPr>
        <w:spacing w:line="560" w:lineRule="exact"/>
        <w:ind w:left="1098" w:hanging="1098" w:hangingChars="343"/>
        <w:rPr>
          <w:rFonts w:ascii="仿宋_GB2312" w:eastAsia="仿宋_GB2312" w:hAnsi="宋体" w:hint="eastAsia"/>
          <w:sz w:val="32"/>
          <w:szCs w:val="32"/>
        </w:rPr>
      </w:pPr>
      <w:r>
        <w:rPr>
          <w:rFonts w:ascii="仿宋_GB2312" w:eastAsia="仿宋_GB2312" w:hAnsi="宋体" w:hint="eastAsia"/>
          <w:b/>
          <w:sz w:val="32"/>
          <w:szCs w:val="32"/>
        </w:rPr>
        <w:t>第五条</w:t>
      </w:r>
      <w:r>
        <w:rPr>
          <w:rFonts w:ascii="仿宋_GB2312" w:eastAsia="仿宋_GB2312" w:hAnsi="宋体" w:hint="eastAsia"/>
          <w:sz w:val="32"/>
          <w:szCs w:val="32"/>
        </w:rPr>
        <w:t xml:space="preserve"> 信访人在信访过程中应当遵守法律、法规</w:t>
      </w:r>
      <w:r>
        <w:rPr>
          <w:rFonts w:ascii="仿宋_GB2312" w:eastAsia="仿宋_GB2312" w:hint="eastAsia"/>
          <w:sz w:val="32"/>
          <w:szCs w:val="32"/>
        </w:rPr>
        <w:t>文明上访，</w:t>
      </w:r>
      <w:r>
        <w:rPr>
          <w:rFonts w:ascii="仿宋_GB2312" w:eastAsia="仿宋_GB2312" w:hAnsi="宋体" w:hint="eastAsia"/>
          <w:sz w:val="32"/>
          <w:szCs w:val="32"/>
        </w:rPr>
        <w:t>不得损害国家、社会、集体的利益和其他公民的合法权利，自觉维护社会公共秩序和信访秩序及</w:t>
      </w:r>
      <w:r>
        <w:rPr>
          <w:rFonts w:ascii="仿宋_GB2312" w:eastAsia="仿宋_GB2312" w:hint="eastAsia"/>
          <w:sz w:val="32"/>
          <w:szCs w:val="32"/>
        </w:rPr>
        <w:t>社会道德文明</w:t>
      </w:r>
      <w:r>
        <w:rPr>
          <w:rFonts w:ascii="仿宋_GB2312" w:eastAsia="仿宋_GB2312" w:hAnsi="宋体" w:hint="eastAsia"/>
          <w:sz w:val="32"/>
          <w:szCs w:val="32"/>
        </w:rPr>
        <w:t>，不得有下列行为：</w:t>
      </w:r>
    </w:p>
    <w:p>
      <w:pPr>
        <w:spacing w:line="560" w:lineRule="exact"/>
        <w:ind w:left="1232" w:hanging="1232" w:hangingChars="385"/>
        <w:rPr>
          <w:rFonts w:ascii="仿宋_GB2312" w:eastAsia="仿宋_GB2312" w:hAnsi="宋体" w:hint="eastAsia"/>
          <w:sz w:val="32"/>
          <w:szCs w:val="32"/>
        </w:rPr>
      </w:pPr>
      <w:r>
        <w:rPr>
          <w:rFonts w:ascii="仿宋_GB2312" w:eastAsia="仿宋_GB2312" w:hAnsi="宋体" w:hint="eastAsia"/>
          <w:sz w:val="32"/>
          <w:szCs w:val="32"/>
        </w:rPr>
        <w:t xml:space="preserve">       1、在国家机关办公场所周围、公共场所非法聚集，围堵、冲击国家机关，拦截公务车辆，或者堵塞、阻断交通；</w:t>
      </w:r>
    </w:p>
    <w:p>
      <w:pPr>
        <w:spacing w:line="560" w:lineRule="exact"/>
        <w:ind w:firstLine="1120" w:firstLineChars="350"/>
        <w:rPr>
          <w:rFonts w:ascii="仿宋_GB2312" w:eastAsia="仿宋_GB2312" w:hAnsi="宋体" w:hint="eastAsia"/>
          <w:sz w:val="32"/>
          <w:szCs w:val="32"/>
        </w:rPr>
      </w:pPr>
      <w:r>
        <w:rPr>
          <w:rFonts w:ascii="仿宋_GB2312" w:eastAsia="仿宋_GB2312" w:hAnsi="宋体" w:hint="eastAsia"/>
          <w:sz w:val="32"/>
          <w:szCs w:val="32"/>
        </w:rPr>
        <w:t>2、携带危险物品、管制器具；</w:t>
      </w:r>
    </w:p>
    <w:p>
      <w:pPr>
        <w:spacing w:line="560" w:lineRule="exact"/>
        <w:ind w:left="1232" w:hanging="1232" w:hangingChars="385"/>
        <w:rPr>
          <w:rFonts w:ascii="仿宋_GB2312" w:eastAsia="仿宋_GB2312" w:hAnsi="宋体" w:hint="eastAsia"/>
          <w:sz w:val="32"/>
          <w:szCs w:val="32"/>
        </w:rPr>
      </w:pPr>
      <w:r>
        <w:rPr>
          <w:rFonts w:ascii="仿宋_GB2312" w:eastAsia="仿宋_GB2312" w:hAnsi="宋体" w:hint="eastAsia"/>
          <w:sz w:val="32"/>
          <w:szCs w:val="32"/>
        </w:rPr>
        <w:t xml:space="preserve">       3、侮辱、殴打、威胁国家机关工作人员，或者非法限制他人人身自由；</w:t>
      </w:r>
    </w:p>
    <w:p>
      <w:pPr>
        <w:spacing w:line="560" w:lineRule="exact"/>
        <w:ind w:left="1232" w:hanging="1232" w:hangingChars="385"/>
        <w:rPr>
          <w:rFonts w:ascii="仿宋_GB2312" w:eastAsia="仿宋_GB2312" w:hAnsi="宋体" w:hint="eastAsia"/>
          <w:sz w:val="32"/>
          <w:szCs w:val="32"/>
        </w:rPr>
      </w:pPr>
      <w:r>
        <w:rPr>
          <w:rFonts w:ascii="仿宋_GB2312" w:eastAsia="仿宋_GB2312" w:hAnsi="宋体" w:hint="eastAsia"/>
          <w:sz w:val="32"/>
          <w:szCs w:val="32"/>
        </w:rPr>
        <w:t xml:space="preserve">       4、在信访接待场所滞留、滋事，或者将生活不能自理的人弃留在信访接待场所；</w:t>
      </w:r>
    </w:p>
    <w:p>
      <w:pPr>
        <w:spacing w:line="560" w:lineRule="exact"/>
        <w:ind w:left="1232" w:hanging="1232" w:hangingChars="385"/>
        <w:rPr>
          <w:rFonts w:ascii="仿宋_GB2312" w:eastAsia="仿宋_GB2312" w:hAnsi="宋体" w:hint="eastAsia"/>
          <w:sz w:val="32"/>
          <w:szCs w:val="32"/>
        </w:rPr>
      </w:pPr>
      <w:r>
        <w:rPr>
          <w:rFonts w:ascii="仿宋_GB2312" w:eastAsia="仿宋_GB2312" w:hAnsi="宋体" w:hint="eastAsia"/>
          <w:sz w:val="32"/>
          <w:szCs w:val="32"/>
        </w:rPr>
        <w:t xml:space="preserve">       5、煽动、串联、胁迫、以财物诱使、幕后操纵他人信访或者以信访为名借机敛财；</w:t>
      </w:r>
    </w:p>
    <w:p>
      <w:pPr>
        <w:spacing w:line="560" w:lineRule="exact"/>
        <w:ind w:left="1258" w:leftChars="599"/>
        <w:rPr>
          <w:rFonts w:ascii="仿宋_GB2312" w:eastAsia="仿宋_GB2312" w:hint="eastAsia"/>
          <w:sz w:val="32"/>
          <w:szCs w:val="32"/>
        </w:rPr>
      </w:pPr>
      <w:r>
        <w:rPr>
          <w:rFonts w:ascii="仿宋_GB2312" w:eastAsia="仿宋_GB2312" w:hint="eastAsia"/>
          <w:sz w:val="32"/>
          <w:szCs w:val="32"/>
        </w:rPr>
        <w:t>6、打横幅、举状纸、穿孝衣、吵闹及随地吐痰、乱扔杂物；</w:t>
      </w:r>
    </w:p>
    <w:p>
      <w:pPr>
        <w:spacing w:line="560" w:lineRule="exact"/>
        <w:ind w:left="1258" w:leftChars="599"/>
        <w:rPr>
          <w:rFonts w:ascii="仿宋_GB2312" w:eastAsia="仿宋_GB2312" w:hint="eastAsia"/>
          <w:sz w:val="32"/>
          <w:szCs w:val="32"/>
        </w:rPr>
      </w:pPr>
      <w:r>
        <w:rPr>
          <w:rFonts w:ascii="仿宋_GB2312" w:eastAsia="仿宋_GB2312" w:hint="eastAsia"/>
          <w:sz w:val="32"/>
          <w:szCs w:val="32"/>
        </w:rPr>
        <w:t>7、扰乱公共秩序、妨害国家和公共安全、违背社会道德文明的其他行为。</w:t>
      </w:r>
    </w:p>
    <w:p>
      <w:pPr>
        <w:spacing w:line="560" w:lineRule="exact"/>
        <w:ind w:left="1798" w:hanging="840" w:leftChars="456" w:hangingChars="300"/>
        <w:rPr>
          <w:rFonts w:ascii="黑体" w:eastAsia="黑体" w:hAnsi="宋体" w:hint="eastAsia"/>
          <w:sz w:val="28"/>
          <w:szCs w:val="28"/>
        </w:rPr>
      </w:pPr>
    </w:p>
    <w:p>
      <w:pPr>
        <w:spacing w:line="560" w:lineRule="exact"/>
        <w:ind w:left="1798" w:hanging="840" w:leftChars="456" w:hangingChars="300"/>
        <w:rPr>
          <w:rFonts w:ascii="黑体" w:eastAsia="黑体" w:hAnsi="宋体" w:hint="eastAsia"/>
          <w:sz w:val="28"/>
          <w:szCs w:val="28"/>
        </w:rPr>
      </w:pPr>
    </w:p>
    <w:p>
      <w:pPr>
        <w:spacing w:line="560" w:lineRule="exact"/>
        <w:ind w:left="1798" w:hanging="840" w:leftChars="456" w:hangingChars="300"/>
        <w:rPr>
          <w:rFonts w:ascii="黑体" w:eastAsia="黑体" w:hAnsi="宋体" w:hint="eastAsia"/>
          <w:sz w:val="28"/>
          <w:szCs w:val="28"/>
        </w:rPr>
      </w:pPr>
    </w:p>
    <w:p>
      <w:pPr>
        <w:spacing w:line="560" w:lineRule="exact"/>
        <w:ind w:left="1798" w:hanging="840" w:leftChars="456" w:hangingChars="300"/>
        <w:rPr>
          <w:rFonts w:ascii="黑体" w:eastAsia="黑体" w:hAnsi="宋体" w:hint="eastAsia"/>
          <w:sz w:val="28"/>
          <w:szCs w:val="28"/>
        </w:rPr>
      </w:pPr>
    </w:p>
    <w:p>
      <w:pPr>
        <w:spacing w:line="560" w:lineRule="exact"/>
        <w:ind w:left="1918" w:hanging="960" w:leftChars="456" w:hangingChars="300"/>
        <w:rPr>
          <w:rFonts w:ascii="黑体" w:eastAsia="黑体" w:hAnsi="宋体" w:hint="eastAsia"/>
          <w:sz w:val="32"/>
          <w:szCs w:val="32"/>
        </w:rPr>
      </w:pPr>
    </w:p>
    <w:p>
      <w:pPr>
        <w:spacing w:line="560" w:lineRule="exact"/>
        <w:ind w:left="1918" w:hanging="960" w:leftChars="456" w:hangingChars="300"/>
        <w:rPr>
          <w:rFonts w:ascii="黑体" w:eastAsia="黑体" w:hAnsi="宋体" w:hint="eastAsia"/>
          <w:sz w:val="32"/>
          <w:szCs w:val="32"/>
        </w:rPr>
        <w:sectPr>
          <w:headerReference w:type="default" r:id="rId32"/>
          <w:footerReference w:type="even" r:id="rId33"/>
          <w:footerReference w:type="default" r:id="rId34"/>
          <w:type w:val="nextPage"/>
          <w:pgSz w:w="11906" w:h="16838"/>
          <w:pgMar w:top="1440" w:right="1800" w:bottom="1440" w:left="1800" w:header="851" w:footer="992" w:gutter="0"/>
          <w:pgNumType w:start="10"/>
          <w:cols w:space="708"/>
          <w:titlePg w:val="0"/>
          <w:docGrid w:type="lines" w:linePitch="312"/>
        </w:sectPr>
      </w:pPr>
    </w:p>
    <w:p>
      <w:pPr>
        <w:spacing w:line="560" w:lineRule="exact"/>
        <w:ind w:left="1918" w:hanging="960" w:leftChars="456" w:hangingChars="300"/>
        <w:rPr>
          <w:rFonts w:ascii="黑体" w:eastAsia="黑体" w:hAnsi="宋体" w:hint="eastAsia"/>
          <w:sz w:val="32"/>
          <w:szCs w:val="32"/>
        </w:rPr>
      </w:pPr>
    </w:p>
    <w:p>
      <w:pPr>
        <w:spacing w:line="560" w:lineRule="exact"/>
        <w:rPr>
          <w:rFonts w:ascii="黑体" w:eastAsia="黑体" w:hAnsi="宋体" w:hint="eastAsia"/>
          <w:sz w:val="32"/>
          <w:szCs w:val="32"/>
        </w:rPr>
      </w:pPr>
      <w:r>
        <w:rPr>
          <w:rFonts w:ascii="黑体" w:eastAsia="黑体" w:hAnsi="宋体" w:hint="eastAsia"/>
          <w:sz w:val="32"/>
          <w:szCs w:val="32"/>
        </w:rPr>
        <w:t>附件：6  （注：如图片不能显示，请打印该页后查看）</w:t>
      </w:r>
    </w:p>
    <w:p>
      <w:pPr>
        <w:spacing w:line="560" w:lineRule="exact"/>
        <w:ind w:firstLine="2080" w:firstLineChars="650"/>
        <w:rPr>
          <w:rFonts w:hint="eastAsia"/>
          <w:sz w:val="32"/>
          <w:szCs w:val="32"/>
        </w:rPr>
      </w:pPr>
      <w:r>
        <w:rPr>
          <w:rFonts w:hint="eastAsia"/>
          <w:sz w:val="32"/>
          <w:szCs w:val="32"/>
        </w:rPr>
        <w:t>《群众信访须知》宣传板效果图</w:t>
      </w: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hint="eastAsia"/>
          <w:sz w:val="32"/>
          <w:szCs w:val="32"/>
        </w:rPr>
      </w:pPr>
    </w:p>
    <w:p>
      <w:pPr>
        <w:spacing w:line="560" w:lineRule="exact"/>
        <w:ind w:firstLine="2080" w:firstLineChars="650"/>
        <w:rPr>
          <w:rFonts w:ascii="黑体" w:eastAsia="黑体" w:hAnsi="宋体" w:hint="eastAsia"/>
          <w:sz w:val="32"/>
          <w:szCs w:val="32"/>
        </w:rPr>
      </w:pPr>
    </w:p>
    <w:p>
      <w:pPr>
        <w:spacing w:line="560" w:lineRule="exact"/>
        <w:ind w:firstLine="2080" w:firstLineChars="650"/>
        <w:rPr>
          <w:rFonts w:ascii="黑体" w:eastAsia="黑体" w:hAnsi="宋体" w:hint="eastAsia"/>
          <w:sz w:val="32"/>
          <w:szCs w:val="32"/>
        </w:rPr>
      </w:pPr>
    </w:p>
    <w:p>
      <w:pPr>
        <w:spacing w:line="560" w:lineRule="exact"/>
        <w:rPr>
          <w:rFonts w:ascii="黑体" w:eastAsia="黑体" w:hAnsi="宋体" w:hint="eastAsia"/>
          <w:sz w:val="44"/>
          <w:szCs w:val="44"/>
        </w:rPr>
      </w:pPr>
      <w:r>
        <w:rPr>
          <w:rFonts w:ascii="黑体" w:eastAsia="黑体" w:hAnsi="宋体" w:hint="eastAsia"/>
          <w:sz w:val="44"/>
          <w:szCs w:val="44"/>
        </w:rPr>
        <w:pict>
          <v:shape id="图片 2" o:spid="_x0000_i1047" type="#_x0000_t75" style="width:415.14pt;height:554.39pt;mso-position-horizontal-relative:page;mso-position-vertical-relative:page;mso-wrap-style:square" filled="f" stroked="f">
            <v:stroke linestyle="single"/>
            <v:imagedata r:id="rId35" o:title="群众信访须知"/>
            <v:path o:extrusionok="f"/>
            <o:lock v:ext="edit" aspectratio="t"/>
          </v:shape>
        </w:pict>
      </w:r>
      <w:r>
        <w:rPr>
          <w:rFonts w:ascii="黑体" w:eastAsia="黑体" w:hAnsi="宋体" w:hint="eastAsia"/>
          <w:sz w:val="44"/>
          <w:szCs w:val="44"/>
        </w:rPr>
        <w:br/>
      </w:r>
      <w:r>
        <w:rPr>
          <w:rFonts w:ascii="黑体" w:eastAsia="黑体" w:hAnsi="宋体" w:hint="eastAsia"/>
          <w:sz w:val="44"/>
          <w:szCs w:val="4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https://d.book118.com/228010027043006024</w:t>
        </w:r>
      </w:hyperlink>
    </w:p>
    <w:p>
      <w:pPr>
        <w:spacing w:line="560" w:lineRule="exact"/>
        <w:rPr>
          <w:rFonts w:ascii="黑体" w:eastAsia="黑体" w:hAnsi="宋体" w:hint="eastAsia"/>
          <w:sz w:val="44"/>
          <w:szCs w:val="44"/>
        </w:rPr>
      </w:pPr>
    </w:p>
    <w:sectPr>
      <w:headerReference w:type="default" r:id="rId37"/>
      <w:footerReference w:type="even" r:id="rId38"/>
      <w:footerReference w:type="default" r:id="rId39"/>
      <w:type w:val="nextPage"/>
      <w:pgSz w:w="11906" w:h="16838"/>
      <w:pgMar w:top="1440" w:right="1800" w:bottom="1440" w:left="1800" w:header="851" w:footer="992" w:gutter="0"/>
      <w:pgNumType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80E0000" w:usb2="00000000" w:usb3="00000000" w:csb0="00040000" w:csb1="00000000"/>
  </w:font>
  <w:font w:name="楷体_GB2312">
    <w:altName w:val="楷体"/>
    <w:panose1 w:val="00000000000000000000"/>
    <w:charset w:val="86"/>
    <w:family w:val="modern"/>
    <w:pitch w:val="default"/>
    <w:sig w:usb0="00000000" w:usb1="080E0000" w:usb2="0000001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hint="eastAsia"/>
      </w:rPr>
      <w:t xml:space="preserve"> </w:t>
    </w:r>
  </w:p>
  <w:p>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4866"/>
    <w:rsid w:val="000052DB"/>
    <w:rsid w:val="000162BF"/>
    <w:rsid w:val="0003079B"/>
    <w:rsid w:val="0003679C"/>
    <w:rsid w:val="00074D04"/>
    <w:rsid w:val="0007756A"/>
    <w:rsid w:val="0008321F"/>
    <w:rsid w:val="00084BD4"/>
    <w:rsid w:val="0008603E"/>
    <w:rsid w:val="00092B6E"/>
    <w:rsid w:val="00092DF1"/>
    <w:rsid w:val="000A377C"/>
    <w:rsid w:val="000A3F10"/>
    <w:rsid w:val="000B1F69"/>
    <w:rsid w:val="000D02D2"/>
    <w:rsid w:val="000D07C3"/>
    <w:rsid w:val="000D0859"/>
    <w:rsid w:val="000D0958"/>
    <w:rsid w:val="000E14DD"/>
    <w:rsid w:val="000F26D0"/>
    <w:rsid w:val="000F5C95"/>
    <w:rsid w:val="000F7578"/>
    <w:rsid w:val="00106CD1"/>
    <w:rsid w:val="00110E29"/>
    <w:rsid w:val="001128E0"/>
    <w:rsid w:val="001130A6"/>
    <w:rsid w:val="00113579"/>
    <w:rsid w:val="00123D61"/>
    <w:rsid w:val="00126279"/>
    <w:rsid w:val="00144267"/>
    <w:rsid w:val="001514A1"/>
    <w:rsid w:val="00154490"/>
    <w:rsid w:val="0016228D"/>
    <w:rsid w:val="001633D6"/>
    <w:rsid w:val="001655D1"/>
    <w:rsid w:val="00167E45"/>
    <w:rsid w:val="00177A5C"/>
    <w:rsid w:val="001843E6"/>
    <w:rsid w:val="00193C22"/>
    <w:rsid w:val="00196358"/>
    <w:rsid w:val="001A0BEB"/>
    <w:rsid w:val="001A22AF"/>
    <w:rsid w:val="001A2789"/>
    <w:rsid w:val="001B27FC"/>
    <w:rsid w:val="001B47DB"/>
    <w:rsid w:val="001B526D"/>
    <w:rsid w:val="001C2322"/>
    <w:rsid w:val="001D29DE"/>
    <w:rsid w:val="00203B83"/>
    <w:rsid w:val="0020452D"/>
    <w:rsid w:val="00214232"/>
    <w:rsid w:val="00222D8C"/>
    <w:rsid w:val="00224345"/>
    <w:rsid w:val="00230EA8"/>
    <w:rsid w:val="002317EA"/>
    <w:rsid w:val="00231F06"/>
    <w:rsid w:val="00233A79"/>
    <w:rsid w:val="00241D3D"/>
    <w:rsid w:val="002745DC"/>
    <w:rsid w:val="00282800"/>
    <w:rsid w:val="00284E6E"/>
    <w:rsid w:val="00291475"/>
    <w:rsid w:val="002958B3"/>
    <w:rsid w:val="002A1E5F"/>
    <w:rsid w:val="002A2189"/>
    <w:rsid w:val="002A3B57"/>
    <w:rsid w:val="002C5E66"/>
    <w:rsid w:val="002C7069"/>
    <w:rsid w:val="002D0E53"/>
    <w:rsid w:val="002D45A2"/>
    <w:rsid w:val="002D6550"/>
    <w:rsid w:val="002E21EB"/>
    <w:rsid w:val="002E3918"/>
    <w:rsid w:val="002E394D"/>
    <w:rsid w:val="002E4DCF"/>
    <w:rsid w:val="002E5D47"/>
    <w:rsid w:val="002F0063"/>
    <w:rsid w:val="002F1605"/>
    <w:rsid w:val="003016C3"/>
    <w:rsid w:val="00306DA6"/>
    <w:rsid w:val="00307266"/>
    <w:rsid w:val="00307DF2"/>
    <w:rsid w:val="00314FD5"/>
    <w:rsid w:val="00316CC0"/>
    <w:rsid w:val="003268A3"/>
    <w:rsid w:val="0034182D"/>
    <w:rsid w:val="003549F3"/>
    <w:rsid w:val="00356205"/>
    <w:rsid w:val="0035689A"/>
    <w:rsid w:val="00361F25"/>
    <w:rsid w:val="003730AC"/>
    <w:rsid w:val="003928FB"/>
    <w:rsid w:val="00393CF8"/>
    <w:rsid w:val="003978E9"/>
    <w:rsid w:val="003979E5"/>
    <w:rsid w:val="003A2FB7"/>
    <w:rsid w:val="003B1993"/>
    <w:rsid w:val="003B4466"/>
    <w:rsid w:val="003C1864"/>
    <w:rsid w:val="003C2850"/>
    <w:rsid w:val="003C5C7D"/>
    <w:rsid w:val="003E3DE0"/>
    <w:rsid w:val="003F3DA7"/>
    <w:rsid w:val="0040421D"/>
    <w:rsid w:val="004105DC"/>
    <w:rsid w:val="00420BA2"/>
    <w:rsid w:val="0042612D"/>
    <w:rsid w:val="0043063B"/>
    <w:rsid w:val="004310B7"/>
    <w:rsid w:val="0044191D"/>
    <w:rsid w:val="004531EC"/>
    <w:rsid w:val="00461A52"/>
    <w:rsid w:val="00461ABA"/>
    <w:rsid w:val="00471629"/>
    <w:rsid w:val="004735E3"/>
    <w:rsid w:val="00481C3D"/>
    <w:rsid w:val="004820B9"/>
    <w:rsid w:val="0048541C"/>
    <w:rsid w:val="00487B74"/>
    <w:rsid w:val="0049110C"/>
    <w:rsid w:val="004A3292"/>
    <w:rsid w:val="004B63E4"/>
    <w:rsid w:val="004B6D54"/>
    <w:rsid w:val="004B7068"/>
    <w:rsid w:val="004C53B8"/>
    <w:rsid w:val="004D1204"/>
    <w:rsid w:val="004E0785"/>
    <w:rsid w:val="004E1AFD"/>
    <w:rsid w:val="004E76DC"/>
    <w:rsid w:val="004F2650"/>
    <w:rsid w:val="004F27CD"/>
    <w:rsid w:val="004F7447"/>
    <w:rsid w:val="005159FD"/>
    <w:rsid w:val="00522327"/>
    <w:rsid w:val="00527CCD"/>
    <w:rsid w:val="005413B6"/>
    <w:rsid w:val="00553FEE"/>
    <w:rsid w:val="0055651E"/>
    <w:rsid w:val="00556B4E"/>
    <w:rsid w:val="0056115E"/>
    <w:rsid w:val="00564A05"/>
    <w:rsid w:val="00576AFB"/>
    <w:rsid w:val="00591C39"/>
    <w:rsid w:val="005A6012"/>
    <w:rsid w:val="005B51AD"/>
    <w:rsid w:val="005D424E"/>
    <w:rsid w:val="005E0A4A"/>
    <w:rsid w:val="005E60DA"/>
    <w:rsid w:val="005E6285"/>
    <w:rsid w:val="005F259A"/>
    <w:rsid w:val="005F5C35"/>
    <w:rsid w:val="006003E8"/>
    <w:rsid w:val="00607EAC"/>
    <w:rsid w:val="00617686"/>
    <w:rsid w:val="00623C8A"/>
    <w:rsid w:val="00624DE1"/>
    <w:rsid w:val="006364DD"/>
    <w:rsid w:val="006371DF"/>
    <w:rsid w:val="00637657"/>
    <w:rsid w:val="00642586"/>
    <w:rsid w:val="00642ED6"/>
    <w:rsid w:val="00643012"/>
    <w:rsid w:val="00643F74"/>
    <w:rsid w:val="006465C4"/>
    <w:rsid w:val="00674DEC"/>
    <w:rsid w:val="00685928"/>
    <w:rsid w:val="006919F7"/>
    <w:rsid w:val="006A0D1C"/>
    <w:rsid w:val="006A0DE7"/>
    <w:rsid w:val="006A2F53"/>
    <w:rsid w:val="006B0C77"/>
    <w:rsid w:val="006B132D"/>
    <w:rsid w:val="006C404E"/>
    <w:rsid w:val="006D5F53"/>
    <w:rsid w:val="006D6410"/>
    <w:rsid w:val="006E5DBB"/>
    <w:rsid w:val="006F0A80"/>
    <w:rsid w:val="0070143A"/>
    <w:rsid w:val="00703D41"/>
    <w:rsid w:val="007070A4"/>
    <w:rsid w:val="007271E7"/>
    <w:rsid w:val="00741506"/>
    <w:rsid w:val="007417B1"/>
    <w:rsid w:val="00755D79"/>
    <w:rsid w:val="0076008B"/>
    <w:rsid w:val="00761FB5"/>
    <w:rsid w:val="007630A3"/>
    <w:rsid w:val="00772B9A"/>
    <w:rsid w:val="00793E0B"/>
    <w:rsid w:val="0079600C"/>
    <w:rsid w:val="007A7642"/>
    <w:rsid w:val="007B008B"/>
    <w:rsid w:val="007B48F1"/>
    <w:rsid w:val="007C70E2"/>
    <w:rsid w:val="007D07AA"/>
    <w:rsid w:val="007E195C"/>
    <w:rsid w:val="007F376E"/>
    <w:rsid w:val="007F6612"/>
    <w:rsid w:val="00823476"/>
    <w:rsid w:val="00851CC1"/>
    <w:rsid w:val="0086104E"/>
    <w:rsid w:val="0086118E"/>
    <w:rsid w:val="00862FBA"/>
    <w:rsid w:val="008710CB"/>
    <w:rsid w:val="008802C1"/>
    <w:rsid w:val="00881FF4"/>
    <w:rsid w:val="008864A5"/>
    <w:rsid w:val="008A7765"/>
    <w:rsid w:val="008B005E"/>
    <w:rsid w:val="008B1008"/>
    <w:rsid w:val="008B4F51"/>
    <w:rsid w:val="008B6A5E"/>
    <w:rsid w:val="008C58B0"/>
    <w:rsid w:val="008D3BBE"/>
    <w:rsid w:val="008E1660"/>
    <w:rsid w:val="008E3A48"/>
    <w:rsid w:val="008F6935"/>
    <w:rsid w:val="0090009F"/>
    <w:rsid w:val="00904826"/>
    <w:rsid w:val="00910862"/>
    <w:rsid w:val="00920FBA"/>
    <w:rsid w:val="00924BC0"/>
    <w:rsid w:val="00930039"/>
    <w:rsid w:val="0093098E"/>
    <w:rsid w:val="00935D87"/>
    <w:rsid w:val="00943B01"/>
    <w:rsid w:val="00945B0A"/>
    <w:rsid w:val="00962E33"/>
    <w:rsid w:val="0097050A"/>
    <w:rsid w:val="0097491A"/>
    <w:rsid w:val="00974F2F"/>
    <w:rsid w:val="00976453"/>
    <w:rsid w:val="00980378"/>
    <w:rsid w:val="009B26E2"/>
    <w:rsid w:val="009B2C99"/>
    <w:rsid w:val="009C0602"/>
    <w:rsid w:val="009C3971"/>
    <w:rsid w:val="009D2E6E"/>
    <w:rsid w:val="009E2269"/>
    <w:rsid w:val="009E60A7"/>
    <w:rsid w:val="009F58B5"/>
    <w:rsid w:val="00A10CF6"/>
    <w:rsid w:val="00A16DCA"/>
    <w:rsid w:val="00A213DC"/>
    <w:rsid w:val="00A27E11"/>
    <w:rsid w:val="00A331E5"/>
    <w:rsid w:val="00A40DF8"/>
    <w:rsid w:val="00A45545"/>
    <w:rsid w:val="00A468C6"/>
    <w:rsid w:val="00A544A4"/>
    <w:rsid w:val="00A56010"/>
    <w:rsid w:val="00A6529D"/>
    <w:rsid w:val="00A66B85"/>
    <w:rsid w:val="00A73AA9"/>
    <w:rsid w:val="00A8393F"/>
    <w:rsid w:val="00A9027F"/>
    <w:rsid w:val="00A97910"/>
    <w:rsid w:val="00AA2F62"/>
    <w:rsid w:val="00AB122D"/>
    <w:rsid w:val="00AC4E1C"/>
    <w:rsid w:val="00AD17E5"/>
    <w:rsid w:val="00AD379B"/>
    <w:rsid w:val="00AE0BCF"/>
    <w:rsid w:val="00AE18DF"/>
    <w:rsid w:val="00AE3CF4"/>
    <w:rsid w:val="00AE4AF5"/>
    <w:rsid w:val="00AE60C0"/>
    <w:rsid w:val="00AE68ED"/>
    <w:rsid w:val="00AF4333"/>
    <w:rsid w:val="00AF7F08"/>
    <w:rsid w:val="00B04962"/>
    <w:rsid w:val="00B240A2"/>
    <w:rsid w:val="00B245C0"/>
    <w:rsid w:val="00B26045"/>
    <w:rsid w:val="00B351BD"/>
    <w:rsid w:val="00B423A8"/>
    <w:rsid w:val="00B42B06"/>
    <w:rsid w:val="00B51E78"/>
    <w:rsid w:val="00B548A0"/>
    <w:rsid w:val="00B556F6"/>
    <w:rsid w:val="00B62E27"/>
    <w:rsid w:val="00B638DD"/>
    <w:rsid w:val="00B6429A"/>
    <w:rsid w:val="00B64D74"/>
    <w:rsid w:val="00B67401"/>
    <w:rsid w:val="00B82F33"/>
    <w:rsid w:val="00B83E1D"/>
    <w:rsid w:val="00B8585F"/>
    <w:rsid w:val="00B877F8"/>
    <w:rsid w:val="00BB3AC5"/>
    <w:rsid w:val="00BB4415"/>
    <w:rsid w:val="00BC4866"/>
    <w:rsid w:val="00BC6964"/>
    <w:rsid w:val="00BD6CB8"/>
    <w:rsid w:val="00BE43E3"/>
    <w:rsid w:val="00C23207"/>
    <w:rsid w:val="00C27BF3"/>
    <w:rsid w:val="00C34393"/>
    <w:rsid w:val="00C432AE"/>
    <w:rsid w:val="00C55B83"/>
    <w:rsid w:val="00C61DC0"/>
    <w:rsid w:val="00C6216C"/>
    <w:rsid w:val="00C6306B"/>
    <w:rsid w:val="00C7255D"/>
    <w:rsid w:val="00C751C3"/>
    <w:rsid w:val="00C95A63"/>
    <w:rsid w:val="00C95ACC"/>
    <w:rsid w:val="00C96EDE"/>
    <w:rsid w:val="00CA5FF0"/>
    <w:rsid w:val="00CB7599"/>
    <w:rsid w:val="00CB7717"/>
    <w:rsid w:val="00CC2960"/>
    <w:rsid w:val="00CC511C"/>
    <w:rsid w:val="00CD114D"/>
    <w:rsid w:val="00CD1D8A"/>
    <w:rsid w:val="00CD31A0"/>
    <w:rsid w:val="00CD3BAF"/>
    <w:rsid w:val="00CD5F23"/>
    <w:rsid w:val="00CE50A2"/>
    <w:rsid w:val="00CF0135"/>
    <w:rsid w:val="00CF37C7"/>
    <w:rsid w:val="00D158FE"/>
    <w:rsid w:val="00D24BF1"/>
    <w:rsid w:val="00D3579E"/>
    <w:rsid w:val="00D4047C"/>
    <w:rsid w:val="00D446F9"/>
    <w:rsid w:val="00D52EA4"/>
    <w:rsid w:val="00D57783"/>
    <w:rsid w:val="00D6107D"/>
    <w:rsid w:val="00D63DFF"/>
    <w:rsid w:val="00D65918"/>
    <w:rsid w:val="00D66B83"/>
    <w:rsid w:val="00D77DCB"/>
    <w:rsid w:val="00D81B4E"/>
    <w:rsid w:val="00D83199"/>
    <w:rsid w:val="00D91977"/>
    <w:rsid w:val="00DA1F13"/>
    <w:rsid w:val="00DB5A14"/>
    <w:rsid w:val="00DC75DD"/>
    <w:rsid w:val="00DD2A7B"/>
    <w:rsid w:val="00DD61D3"/>
    <w:rsid w:val="00DD6A06"/>
    <w:rsid w:val="00E157C2"/>
    <w:rsid w:val="00E31C9F"/>
    <w:rsid w:val="00E42013"/>
    <w:rsid w:val="00E47245"/>
    <w:rsid w:val="00E51DFE"/>
    <w:rsid w:val="00E53A91"/>
    <w:rsid w:val="00E56DD6"/>
    <w:rsid w:val="00E60331"/>
    <w:rsid w:val="00E60E04"/>
    <w:rsid w:val="00E659DD"/>
    <w:rsid w:val="00E701E9"/>
    <w:rsid w:val="00E74A03"/>
    <w:rsid w:val="00E7576C"/>
    <w:rsid w:val="00E80B40"/>
    <w:rsid w:val="00E91D41"/>
    <w:rsid w:val="00E9337F"/>
    <w:rsid w:val="00E953C9"/>
    <w:rsid w:val="00EA3C69"/>
    <w:rsid w:val="00EA5084"/>
    <w:rsid w:val="00EA509C"/>
    <w:rsid w:val="00EA589F"/>
    <w:rsid w:val="00EB4A4D"/>
    <w:rsid w:val="00EC00CB"/>
    <w:rsid w:val="00EC1618"/>
    <w:rsid w:val="00ED6E73"/>
    <w:rsid w:val="00ED7AC4"/>
    <w:rsid w:val="00EE2785"/>
    <w:rsid w:val="00EE6099"/>
    <w:rsid w:val="00EF0360"/>
    <w:rsid w:val="00EF259A"/>
    <w:rsid w:val="00F0002F"/>
    <w:rsid w:val="00F00C84"/>
    <w:rsid w:val="00F016A8"/>
    <w:rsid w:val="00F363F4"/>
    <w:rsid w:val="00F42EED"/>
    <w:rsid w:val="00F52849"/>
    <w:rsid w:val="00F52CCF"/>
    <w:rsid w:val="00F55487"/>
    <w:rsid w:val="00F56875"/>
    <w:rsid w:val="00F57D11"/>
    <w:rsid w:val="00F64291"/>
    <w:rsid w:val="00F64F08"/>
    <w:rsid w:val="00F66B20"/>
    <w:rsid w:val="00F85DE8"/>
    <w:rsid w:val="00F9102C"/>
    <w:rsid w:val="00F923E9"/>
    <w:rsid w:val="00FA3FC0"/>
    <w:rsid w:val="00FD0FE4"/>
    <w:rsid w:val="00FD3468"/>
    <w:rsid w:val="00FD4DEE"/>
    <w:rsid w:val="4BF50D2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FootnoteReference">
    <w:name w:val="footnote reference"/>
    <w:basedOn w:val="DefaultParagraphFont"/>
    <w:uiPriority w:val="99"/>
    <w:unhideWhenUsed/>
    <w:rPr>
      <w:rFonts w:ascii="Calibri" w:eastAsia="宋体" w:hAnsi="Calibri" w:cs="Times New Roman"/>
      <w:vertAlign w:val="superscript"/>
    </w:rPr>
  </w:style>
  <w:style w:type="character" w:styleId="PageNumber">
    <w:name w:val="page number"/>
    <w:basedOn w:val="DefaultParagraphFont"/>
  </w:style>
  <w:style w:type="character" w:customStyle="1" w:styleId="Char">
    <w:name w:val="脚注文本 Char"/>
    <w:basedOn w:val="DefaultParagraphFont"/>
    <w:link w:val="FootnoteText"/>
    <w:uiPriority w:val="99"/>
    <w:semiHidden/>
    <w:rPr>
      <w:rFonts w:ascii="Calibri" w:eastAsia="宋体" w:hAnsi="Calibri" w:cs="Times New Roman"/>
      <w:sz w:val="18"/>
      <w:szCs w:val="18"/>
    </w:rPr>
  </w:style>
  <w:style w:type="character" w:customStyle="1" w:styleId="Char0">
    <w:name w:val="页眉 Char"/>
    <w:basedOn w:val="DefaultParagraphFont"/>
    <w:link w:val="Header"/>
    <w:uiPriority w:val="99"/>
    <w:semiHidden/>
    <w:rPr>
      <w:rFonts w:ascii="Calibri" w:eastAsia="宋体" w:hAnsi="Calibri" w:cs="Times New Roman"/>
      <w:sz w:val="18"/>
      <w:szCs w:val="18"/>
    </w:rPr>
  </w:style>
  <w:style w:type="character" w:customStyle="1" w:styleId="Char1">
    <w:name w:val="页脚 Char"/>
    <w:basedOn w:val="DefaultParagraphFont"/>
    <w:link w:val="Footer"/>
    <w:uiPriority w:val="99"/>
    <w:semiHidden/>
    <w:rPr>
      <w:rFonts w:ascii="Calibri" w:eastAsia="宋体" w:hAnsi="Calibri" w:cs="Times New Roman"/>
      <w:sz w:val="18"/>
      <w:szCs w:val="18"/>
    </w:rPr>
  </w:style>
  <w:style w:type="character" w:customStyle="1" w:styleId="Char2">
    <w:name w:val="批注框文本 Char"/>
    <w:basedOn w:val="DefaultParagraphFont"/>
    <w:link w:val="BalloonText"/>
    <w:uiPriority w:val="99"/>
    <w:semiHidden/>
    <w:rPr>
      <w:rFonts w:ascii="Calibri" w:eastAsia="宋体" w:hAnsi="Calibri" w:cs="Times New Roman"/>
      <w:sz w:val="18"/>
      <w:szCs w:val="18"/>
    </w:rPr>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Char"/>
    <w:uiPriority w:val="99"/>
    <w:unhideWhenUsed/>
    <w:pPr>
      <w:snapToGrid w:val="0"/>
      <w:jc w:val="left"/>
    </w:pPr>
    <w:rPr>
      <w:rFonts w:ascii="Calibri" w:eastAsia="宋体" w:hAnsi="Calibri" w:cs="Times New Roman"/>
      <w:sz w:val="18"/>
      <w:szCs w:val="18"/>
    </w:rPr>
  </w:style>
  <w:style w:type="paragraph" w:customStyle="1" w:styleId="2">
    <w:name w:val="样式2"/>
    <w:basedOn w:val="Normal"/>
    <w:pPr>
      <w:spacing w:line="400" w:lineRule="atLeast"/>
    </w:pPr>
    <w:rPr>
      <w:rFonts w:cs="黑体"/>
      <w:sz w:val="24"/>
    </w:rPr>
  </w:style>
  <w:style w:type="paragraph" w:customStyle="1" w:styleId="a">
    <w:name w:val="È±Ê¡ÎÄ±¾"/>
    <w:basedOn w:val="Normal"/>
    <w:pPr>
      <w:widowControl/>
      <w:overflowPunct w:val="0"/>
      <w:autoSpaceDE w:val="0"/>
      <w:autoSpaceDN w:val="0"/>
      <w:adjustRightInd w:val="0"/>
      <w:jc w:val="left"/>
    </w:pPr>
    <w:rPr>
      <w:kern w:val="0"/>
      <w:sz w:val="24"/>
      <w:szCs w:val="20"/>
    </w:rPr>
  </w:style>
  <w:style w:type="paragraph" w:styleId="Footer">
    <w:name w:val="footer"/>
    <w:basedOn w:val="Normal"/>
    <w:link w:val="Char1"/>
    <w:pPr>
      <w:tabs>
        <w:tab w:val="center" w:pos="4153"/>
        <w:tab w:val="right" w:pos="8306"/>
      </w:tabs>
      <w:snapToGrid w:val="0"/>
      <w:jc w:val="left"/>
    </w:pPr>
    <w:rPr>
      <w:sz w:val="18"/>
      <w:szCs w:val="18"/>
    </w:rPr>
  </w:style>
  <w:style w:type="paragraph" w:styleId="DocumentMap">
    <w:name w:val="Document Map"/>
    <w:basedOn w:val="Normal"/>
    <w:semiHidden/>
    <w:pPr>
      <w:shd w:val="clear" w:color="auto" w:fill="000080"/>
    </w:pPr>
  </w:style>
  <w:style w:type="paragraph" w:styleId="BalloonText">
    <w:name w:val="Balloon Text"/>
    <w:basedOn w:val="Normal"/>
    <w:link w:val="Char2"/>
    <w:semiHidden/>
    <w:rPr>
      <w:sz w:val="18"/>
      <w:szCs w:val="18"/>
    </w:rPr>
  </w:style>
  <w:style w:type="paragraph" w:styleId="NoSpacing">
    <w:name w:val="No Spacing"/>
    <w:uiPriority w:val="1"/>
    <w:qFormat/>
    <w:pPr>
      <w:widowControl w:val="0"/>
      <w:jc w:val="both"/>
    </w:pPr>
    <w:rPr>
      <w:rFonts w:ascii="Calibri" w:eastAsia="宋体" w:hAnsi="Calibri" w:cs="Times New Roman"/>
      <w:kern w:val="2"/>
      <w:sz w:val="21"/>
      <w:szCs w:val="22"/>
      <w:lang w:val="en-US" w:eastAsia="zh-CN" w:bidi="ar-SA"/>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image" Target="media/image1.png"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eader" Target="header10.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image" Target="media/image2.png" /><Relationship Id="rId36" Type="http://schemas.openxmlformats.org/officeDocument/2006/relationships/hyperlink" Target="https://d.book118.com/228010027043006024" TargetMode="External" /><Relationship Id="rId37" Type="http://schemas.openxmlformats.org/officeDocument/2006/relationships/header" Target="header11.xml" /><Relationship Id="rId38" Type="http://schemas.openxmlformats.org/officeDocument/2006/relationships/footer" Target="footer21.xml" /><Relationship Id="rId39" Type="http://schemas.openxmlformats.org/officeDocument/2006/relationships/footer" Target="footer22.xml" /><Relationship Id="rId4" Type="http://schemas.openxmlformats.org/officeDocument/2006/relationships/header" Target="header1.xml" /><Relationship Id="rId40" Type="http://schemas.openxmlformats.org/officeDocument/2006/relationships/theme" Target="theme/theme1.xml" /><Relationship Id="rId41"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1061</Words>
  <Characters>6052</Characters>
  <Application>Microsoft Office Word</Application>
  <DocSecurity>0</DocSecurity>
  <Lines>50</Lines>
  <Paragraphs>14</Paragraphs>
  <ScaleCrop>false</ScaleCrop>
  <Company/>
  <LinksUpToDate>false</LinksUpToDate>
  <CharactersWithSpaces>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公安机关信访接待场所服务建设规范</dc:title>
  <dc:creator>Administrators</dc:creator>
  <cp:lastModifiedBy>杨东 18666425476</cp:lastModifiedBy>
  <cp:revision>4</cp:revision>
  <cp:lastPrinted>2008-04-07T00:46:00Z</cp:lastPrinted>
  <dcterms:created xsi:type="dcterms:W3CDTF">2012-12-18T04:32:00Z</dcterms:created>
  <dcterms:modified xsi:type="dcterms:W3CDTF">2019-11-11T03:34:59Z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