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频率测量仪表相关行业公司成立方案及可行性研究报告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_Toc26751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(一)、频率测量仪表项目选址原则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(五)、频率测量仪表项目选址综合评价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五、频率测量仪表项目概况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(二)、频率测量仪表项目提出的理由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(三)、频率测量仪表项目选址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(六)、频率测量仪表项目投资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(七)、频率测量仪表项目进度规划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(九)、频率测量仪表项目综合评价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六、频率测量仪表项目经济效益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(三)、频率测量仪表项目盈利能力分析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(五)、频率测量仪表项目总投资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八、频率测量仪表项目风险分析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(一)、频率测量仪表项目风险分析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(二)、频率测量仪表项目风险对策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3" w:history="1">
        <w:r>
          <w:rPr>
            <w:rFonts w:ascii="仿宋" w:eastAsia="仿宋" w:hAnsi="仿宋" w:cs="仿宋" w:hint="eastAsia"/>
            <w:lang w:eastAsia="zh-CN"/>
          </w:rPr>
          <w:t>十二、频率测量仪表项目总结分析</w:t>
        </w:r>
        <w:r>
          <w:tab/>
        </w:r>
        <w:r>
          <w:fldChar w:fldCharType="begin"/>
        </w:r>
        <w:r>
          <w:instrText xml:space="preserve"> PAGEREF _Toc30603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87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0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https://d.book118.com/228017056015006031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8017056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2023-12-31T17:36:00Z</dcterms:created>
  <dcterms:modified xsi:type="dcterms:W3CDTF">2023-12-31T17:36:44Z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DD3F63BC4FEE4886A0C55AB446A68BD6_11</vt:lpwstr>
  </property>
  <property fmtid="{D5CDD505-2E9C-101B-9397-08002B2CF9AE}" pid="3" name="KSOProductBuildVer">
    <vt:lpwstr>2052-12.1.0.16120</vt:lpwstr>
  </property>
</Properties>
</file>