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233" w:lineRule="auto"/>
        <w:ind w:left="4"/>
      </w:pPr>
      <w:r>
        <w:pict>
          <v:shape id="_x0000_s1025" style="width:481.1pt;height:0.8pt;margin-top:221.94pt;margin-left:56.99pt;mso-position-horizontal-relative:page;mso-position-vertical-relative:page;position:absolute;z-index:251659264" coordorigin="0,0" coordsize="9622,16" o:allowincell="f" path="m,7l9621,7e" filled="f" strokecolor="#231f20" strokeweight="0.76pt">
            <v:stroke joinstyle="miter"/>
          </v:shape>
        </w:pict>
      </w:r>
      <w:r>
        <w:pict>
          <v:shape id="_x0000_s1026" style="width:481.1pt;height:0.8pt;margin-top:736.71pt;margin-left:56.99pt;mso-position-horizontal-relative:page;mso-position-vertical-relative:page;position:absolute;z-index:251660288" coordorigin="0,0" coordsize="9622,16" o:allowincell="f" path="m,7l9621,7e" filled="f" strokecolor="#231f20" strokeweight="0.76pt">
            <v:stroke joinstyle="miter"/>
          </v:shape>
        </w:pict>
      </w:r>
      <w:r>
        <w:drawing>
          <wp:anchor distT="0" distB="0" distL="0" distR="0" simplePos="0" relativeHeight="251658240" behindDoc="0" locked="0" layoutInCell="0" allowOverlap="1">
            <wp:simplePos x="0" y="0"/>
            <wp:positionH relativeFrom="page">
              <wp:posOffset>4966779</wp:posOffset>
            </wp:positionH>
            <wp:positionV relativeFrom="page">
              <wp:posOffset>596670</wp:posOffset>
            </wp:positionV>
            <wp:extent cx="1440611" cy="71968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440611" cy="719683"/>
                    </a:xfrm>
                    <a:prstGeom prst="rect">
                      <a:avLst/>
                    </a:prstGeom>
                  </pic:spPr>
                </pic:pic>
              </a:graphicData>
            </a:graphic>
          </wp:anchor>
        </w:drawing>
      </w:r>
      <w:r>
        <w:t>ICS</w:t>
      </w:r>
      <w:r>
        <w:rPr>
          <w:spacing w:val="15"/>
        </w:rPr>
        <w:t>91.</w:t>
      </w:r>
      <w:r>
        <w:rPr>
          <w:spacing w:val="-3"/>
        </w:rPr>
        <w:t xml:space="preserve"> </w:t>
      </w:r>
      <w:r>
        <w:rPr>
          <w:spacing w:val="15"/>
        </w:rPr>
        <w:t>140</w:t>
      </w:r>
    </w:p>
    <w:p>
      <w:pPr>
        <w:pStyle w:val="BodyText"/>
        <w:spacing w:line="199" w:lineRule="auto"/>
        <w:ind w:left="3"/>
      </w:pPr>
      <w:r>
        <w:rPr>
          <w:spacing w:val="15"/>
          <w:w w:val="125"/>
        </w:rPr>
        <w:t>P45</w:t>
      </w:r>
    </w:p>
    <w:p>
      <w:pPr>
        <w:pStyle w:val="BodyText"/>
        <w:spacing w:line="296" w:lineRule="auto"/>
        <w:rPr>
          <w:sz w:val="21"/>
        </w:rPr>
      </w:pPr>
    </w:p>
    <w:p>
      <w:pPr>
        <w:pStyle w:val="BodyText"/>
        <w:spacing w:line="296" w:lineRule="auto"/>
        <w:rPr>
          <w:sz w:val="21"/>
        </w:rPr>
      </w:pPr>
    </w:p>
    <w:p>
      <w:pPr>
        <w:pStyle w:val="BodyText"/>
        <w:spacing w:line="296" w:lineRule="auto"/>
        <w:rPr>
          <w:sz w:val="21"/>
        </w:rPr>
      </w:pPr>
    </w:p>
    <w:p>
      <w:pPr>
        <w:pStyle w:val="BodyText"/>
        <w:spacing w:line="296" w:lineRule="auto"/>
        <w:rPr>
          <w:sz w:val="21"/>
        </w:rPr>
      </w:pPr>
    </w:p>
    <w:p>
      <w:pPr>
        <w:spacing w:before="166" w:line="209" w:lineRule="auto"/>
        <w:ind w:left="170"/>
        <w:outlineLvl w:val="0"/>
        <w:rPr>
          <w:rFonts w:ascii="SimHei" w:eastAsia="SimHei" w:hAnsi="SimHei" w:cs="SimHei"/>
          <w:sz w:val="51"/>
          <w:szCs w:val="51"/>
        </w:rPr>
      </w:pPr>
      <w:r>
        <w:rPr>
          <w:rFonts w:ascii="SimHei" w:eastAsia="SimHei" w:hAnsi="SimHei" w:cs="SimHei"/>
          <w:spacing w:val="113"/>
          <w:sz w:val="51"/>
          <w:szCs w:val="51"/>
        </w:rPr>
        <w:t>中华人民共和国城镇建设行业标准</w:t>
      </w:r>
    </w:p>
    <w:p>
      <w:pPr>
        <w:pStyle w:val="BodyText"/>
        <w:spacing w:line="430" w:lineRule="auto"/>
        <w:rPr>
          <w:sz w:val="21"/>
        </w:rPr>
      </w:pPr>
    </w:p>
    <w:p>
      <w:pPr>
        <w:pStyle w:val="BodyText"/>
        <w:spacing w:before="75" w:line="187" w:lineRule="auto"/>
        <w:ind w:left="5252" w:right="219" w:firstLine="2090"/>
      </w:pPr>
      <w:r>
        <w:rPr>
          <w:sz w:val="26"/>
          <w:szCs w:val="26"/>
        </w:rPr>
        <w:t>CJ</w:t>
      </w:r>
      <w:r>
        <w:rPr>
          <w:spacing w:val="22"/>
          <w:sz w:val="26"/>
          <w:szCs w:val="26"/>
        </w:rPr>
        <w:t>/T479</w:t>
      </w:r>
      <w:r>
        <w:rPr>
          <w:spacing w:val="22"/>
          <w:position w:val="3"/>
          <w:sz w:val="26"/>
          <w:szCs w:val="26"/>
        </w:rPr>
        <w:t>—</w:t>
      </w:r>
      <w:r>
        <w:rPr>
          <w:spacing w:val="-53"/>
          <w:position w:val="3"/>
          <w:sz w:val="26"/>
          <w:szCs w:val="26"/>
        </w:rPr>
        <w:t xml:space="preserve"> </w:t>
      </w:r>
      <w:r>
        <w:rPr>
          <w:spacing w:val="22"/>
          <w:sz w:val="26"/>
          <w:szCs w:val="26"/>
        </w:rPr>
        <w:t>2015</w:t>
      </w:r>
      <w:r>
        <w:rPr>
          <w:sz w:val="26"/>
          <w:szCs w:val="26"/>
        </w:rPr>
        <w:t xml:space="preserve"> </w:t>
      </w:r>
      <w:r>
        <w:rPr>
          <w:rFonts w:ascii="Microsoft YaHei" w:eastAsia="Microsoft YaHei" w:hAnsi="Microsoft YaHei" w:cs="Microsoft YaHei"/>
          <w:spacing w:val="12"/>
        </w:rPr>
        <w:t xml:space="preserve">代替 </w:t>
      </w:r>
      <w:r>
        <w:t>CJ</w:t>
      </w:r>
      <w:r>
        <w:rPr>
          <w:spacing w:val="12"/>
        </w:rPr>
        <w:t>/T3075.</w:t>
      </w:r>
      <w:r>
        <w:rPr>
          <w:spacing w:val="-20"/>
        </w:rPr>
        <w:t xml:space="preserve"> </w:t>
      </w:r>
      <w:r>
        <w:rPr>
          <w:spacing w:val="12"/>
        </w:rPr>
        <w:t>1</w:t>
      </w:r>
      <w:r>
        <w:rPr>
          <w:spacing w:val="12"/>
          <w:position w:val="2"/>
        </w:rPr>
        <w:t>—</w:t>
      </w:r>
      <w:r>
        <w:rPr>
          <w:spacing w:val="-27"/>
          <w:position w:val="2"/>
        </w:rPr>
        <w:t xml:space="preserve"> </w:t>
      </w:r>
      <w:r>
        <w:rPr>
          <w:spacing w:val="12"/>
        </w:rPr>
        <w:t>1998</w:t>
      </w:r>
      <w:r>
        <w:rPr>
          <w:spacing w:val="12"/>
          <w:position w:val="2"/>
        </w:rPr>
        <w:t>,</w:t>
      </w:r>
      <w:r>
        <w:t>CJ</w:t>
      </w:r>
      <w:r>
        <w:rPr>
          <w:spacing w:val="12"/>
        </w:rPr>
        <w:t>/T</w:t>
      </w:r>
      <w:r>
        <w:rPr>
          <w:spacing w:val="11"/>
        </w:rPr>
        <w:t>3075.</w:t>
      </w:r>
      <w:r>
        <w:rPr>
          <w:spacing w:val="-24"/>
        </w:rPr>
        <w:t xml:space="preserve"> </w:t>
      </w:r>
      <w:r>
        <w:rPr>
          <w:spacing w:val="11"/>
        </w:rPr>
        <w:t>2</w:t>
      </w:r>
      <w:r>
        <w:rPr>
          <w:spacing w:val="11"/>
          <w:position w:val="2"/>
        </w:rPr>
        <w:t>—</w:t>
      </w:r>
      <w:r>
        <w:rPr>
          <w:spacing w:val="-27"/>
          <w:position w:val="2"/>
        </w:rPr>
        <w:t xml:space="preserve"> </w:t>
      </w:r>
      <w:r>
        <w:rPr>
          <w:spacing w:val="11"/>
        </w:rPr>
        <w:t>1998</w:t>
      </w: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2" w:lineRule="auto"/>
        <w:rPr>
          <w:sz w:val="21"/>
        </w:rPr>
      </w:pPr>
    </w:p>
    <w:p>
      <w:pPr>
        <w:pStyle w:val="BodyText"/>
        <w:spacing w:line="262" w:lineRule="auto"/>
        <w:rPr>
          <w:sz w:val="21"/>
        </w:rPr>
      </w:pPr>
    </w:p>
    <w:p>
      <w:pPr>
        <w:pStyle w:val="BodyText"/>
        <w:spacing w:line="262" w:lineRule="auto"/>
        <w:rPr>
          <w:sz w:val="21"/>
        </w:rPr>
      </w:pPr>
    </w:p>
    <w:p>
      <w:pPr>
        <w:pStyle w:val="BodyText"/>
        <w:spacing w:line="262" w:lineRule="auto"/>
        <w:rPr>
          <w:sz w:val="21"/>
        </w:rPr>
      </w:pPr>
    </w:p>
    <w:p>
      <w:pPr>
        <w:spacing w:before="165" w:line="697" w:lineRule="exact"/>
        <w:ind w:left="1267"/>
        <w:rPr>
          <w:rFonts w:ascii="SimHei" w:eastAsia="SimHei" w:hAnsi="SimHei" w:cs="SimHei"/>
          <w:sz w:val="51"/>
          <w:szCs w:val="51"/>
        </w:rPr>
      </w:pPr>
      <w:r>
        <w:rPr>
          <w:rFonts w:ascii="SimHei" w:eastAsia="SimHei" w:hAnsi="SimHei" w:cs="SimHei"/>
          <w:spacing w:val="35"/>
          <w:position w:val="3"/>
          <w:sz w:val="51"/>
          <w:szCs w:val="51"/>
        </w:rPr>
        <w:t>燃气燃烧器具实验室技术通则</w:t>
      </w:r>
    </w:p>
    <w:p>
      <w:pPr>
        <w:pStyle w:val="BodyText"/>
        <w:spacing w:line="341" w:lineRule="auto"/>
        <w:rPr>
          <w:sz w:val="21"/>
        </w:rPr>
      </w:pPr>
    </w:p>
    <w:p>
      <w:pPr>
        <w:pStyle w:val="BodyText"/>
        <w:spacing w:before="75" w:line="198" w:lineRule="auto"/>
        <w:ind w:left="577"/>
        <w:rPr>
          <w:sz w:val="26"/>
          <w:szCs w:val="26"/>
        </w:rPr>
      </w:pPr>
      <w:r>
        <w:rPr>
          <w:spacing w:val="14"/>
          <w:sz w:val="26"/>
          <w:szCs w:val="26"/>
        </w:rPr>
        <w:t>Generaltechniquerequirementforlaboratory</w:t>
      </w:r>
      <w:r>
        <w:rPr>
          <w:spacing w:val="-34"/>
          <w:sz w:val="26"/>
          <w:szCs w:val="26"/>
        </w:rPr>
        <w:t xml:space="preserve"> </w:t>
      </w:r>
      <w:r>
        <w:rPr>
          <w:spacing w:val="14"/>
          <w:sz w:val="26"/>
          <w:szCs w:val="26"/>
        </w:rPr>
        <w:t>ofgasburning</w:t>
      </w:r>
      <w:r>
        <w:rPr>
          <w:spacing w:val="-39"/>
          <w:sz w:val="26"/>
          <w:szCs w:val="26"/>
        </w:rPr>
        <w:t xml:space="preserve"> </w:t>
      </w:r>
      <w:r>
        <w:rPr>
          <w:spacing w:val="14"/>
          <w:sz w:val="26"/>
          <w:szCs w:val="26"/>
        </w:rPr>
        <w:t>applian</w:t>
      </w:r>
      <w:r>
        <w:rPr>
          <w:spacing w:val="13"/>
          <w:sz w:val="26"/>
          <w:szCs w:val="26"/>
        </w:rPr>
        <w:t>ces</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Pr>
        <w:sectPr>
          <w:pgSz w:w="11900" w:h="16840"/>
          <w:pgMar w:top="769" w:right="1136" w:bottom="0" w:left="1139" w:header="0" w:footer="0" w:gutter="0"/>
          <w:cols w:num="1" w:space="708" w:equalWidth="0">
            <w:col w:w="9624" w:space="0"/>
          </w:cols>
        </w:sectPr>
      </w:pPr>
    </w:p>
    <w:p/>
    <w:p/>
    <w:p/>
    <w:p/>
    <w:p/>
    <w:p/>
    <w:p/>
    <w:p/>
    <w:p/>
    <w:p/>
    <w:p/>
    <w:p>
      <w:pPr>
        <w:sectPr>
          <w:type w:val="nextPage"/>
          <w:pgSz w:w="11900" w:h="16840"/>
          <w:pgMar w:top="769" w:right="1136" w:bottom="0" w:left="1139" w:header="0" w:footer="0" w:gutter="0"/>
          <w:pgNumType w:start="2"/>
          <w:cols w:num="1" w:space="708" w:equalWidth="0">
            <w:col w:w="9624" w:space="0"/>
          </w:cols>
          <w:titlePg w:val="0"/>
        </w:sectPr>
      </w:pPr>
    </w:p>
    <w:p>
      <w:pPr>
        <w:pStyle w:val="BodyText"/>
        <w:spacing w:before="48" w:line="171" w:lineRule="auto"/>
        <w:ind w:left="1"/>
        <w:rPr>
          <w:rFonts w:ascii="SimHei" w:eastAsia="SimHei" w:hAnsi="SimHei" w:cs="SimHei"/>
          <w:sz w:val="26"/>
          <w:szCs w:val="26"/>
        </w:rPr>
      </w:pPr>
      <w:r>
        <w:rPr>
          <w:spacing w:val="5"/>
          <w:sz w:val="26"/>
          <w:szCs w:val="26"/>
        </w:rPr>
        <w:t>2015-03-</w:t>
      </w:r>
      <w:r>
        <w:rPr>
          <w:spacing w:val="5"/>
          <w:position w:val="1"/>
          <w:sz w:val="26"/>
          <w:szCs w:val="26"/>
        </w:rPr>
        <w:t>04</w:t>
      </w:r>
      <w:r>
        <w:rPr>
          <w:rFonts w:ascii="SimHei" w:eastAsia="SimHei" w:hAnsi="SimHei" w:cs="SimHei"/>
          <w:spacing w:val="5"/>
          <w:position w:val="1"/>
          <w:sz w:val="26"/>
          <w:szCs w:val="26"/>
        </w:rPr>
        <w:t>发布</w:t>
      </w:r>
    </w:p>
    <w:p>
      <w:pPr>
        <w:pStyle w:val="BodyText"/>
        <w:spacing w:line="14" w:lineRule="auto"/>
        <w:rPr>
          <w:sz w:val="2"/>
        </w:rPr>
      </w:pPr>
      <w:r>
        <w:rPr>
          <w:sz w:val="2"/>
          <w:szCs w:val="2"/>
        </w:rPr>
        <w:br w:type="column"/>
      </w:r>
    </w:p>
    <w:p>
      <w:pPr>
        <w:pStyle w:val="BodyText"/>
        <w:spacing w:before="46" w:line="171" w:lineRule="auto"/>
        <w:jc w:val="right"/>
        <w:rPr>
          <w:rFonts w:ascii="SimHei" w:eastAsia="SimHei" w:hAnsi="SimHei" w:cs="SimHei"/>
          <w:sz w:val="26"/>
          <w:szCs w:val="26"/>
        </w:rPr>
      </w:pPr>
      <w:r>
        <w:rPr>
          <w:spacing w:val="5"/>
          <w:sz w:val="26"/>
          <w:szCs w:val="26"/>
        </w:rPr>
        <w:t>2015-09-</w:t>
      </w:r>
      <w:r>
        <w:rPr>
          <w:spacing w:val="5"/>
          <w:position w:val="1"/>
          <w:sz w:val="26"/>
          <w:szCs w:val="26"/>
        </w:rPr>
        <w:t>01</w:t>
      </w:r>
      <w:r>
        <w:rPr>
          <w:rFonts w:ascii="SimHei" w:eastAsia="SimHei" w:hAnsi="SimHei" w:cs="SimHei"/>
          <w:spacing w:val="5"/>
          <w:position w:val="1"/>
          <w:sz w:val="26"/>
          <w:szCs w:val="26"/>
        </w:rPr>
        <w:t>实施</w:t>
      </w:r>
    </w:p>
    <w:p>
      <w:pPr>
        <w:spacing w:line="171" w:lineRule="auto"/>
        <w:rPr>
          <w:rFonts w:ascii="SimHei" w:eastAsia="SimHei" w:hAnsi="SimHei" w:cs="SimHei"/>
          <w:sz w:val="26"/>
          <w:szCs w:val="26"/>
        </w:rPr>
        <w:sectPr>
          <w:type w:val="continuous"/>
          <w:pgSz w:w="11900" w:h="16840"/>
          <w:pgMar w:top="769" w:right="1136" w:bottom="0" w:left="1139" w:header="0" w:footer="0" w:gutter="0"/>
          <w:pgNumType w:start="3"/>
          <w:cols w:num="2" w:space="708" w:equalWidth="0">
            <w:col w:w="7610" w:space="100"/>
            <w:col w:w="1915" w:space="0"/>
          </w:cols>
        </w:sectPr>
      </w:pPr>
    </w:p>
    <w:p>
      <w:pPr>
        <w:pStyle w:val="BodyText"/>
        <w:spacing w:line="309" w:lineRule="auto"/>
        <w:rPr>
          <w:sz w:val="21"/>
        </w:rPr>
      </w:pPr>
    </w:p>
    <w:p>
      <w:pPr>
        <w:pStyle w:val="BodyText"/>
        <w:spacing w:line="309" w:lineRule="auto"/>
        <w:rPr>
          <w:sz w:val="21"/>
        </w:rPr>
      </w:pPr>
    </w:p>
    <w:p>
      <w:pPr>
        <w:spacing w:before="95" w:line="175" w:lineRule="auto"/>
        <w:ind w:left="1867"/>
        <w:rPr>
          <w:rFonts w:ascii="SimHei" w:eastAsia="SimHei" w:hAnsi="SimHei" w:cs="SimHei"/>
          <w:sz w:val="26"/>
          <w:szCs w:val="26"/>
        </w:rPr>
      </w:pPr>
      <w:r>
        <w:rPr>
          <w:rFonts w:ascii="SimHei" w:eastAsia="SimHei" w:hAnsi="SimHei" w:cs="SimHei"/>
          <w:spacing w:val="18"/>
          <w:sz w:val="29"/>
          <w:szCs w:val="29"/>
        </w:rPr>
        <w:t>中华人民共和国住房和城乡建设部</w:t>
      </w:r>
      <w:r>
        <w:rPr>
          <w:rFonts w:ascii="SimHei" w:eastAsia="SimHei" w:hAnsi="SimHei" w:cs="SimHei"/>
          <w:spacing w:val="6"/>
          <w:sz w:val="29"/>
          <w:szCs w:val="29"/>
        </w:rPr>
        <w:t xml:space="preserve">    </w:t>
      </w:r>
      <w:r>
        <w:rPr>
          <w:rFonts w:ascii="SimHei" w:eastAsia="SimHei" w:hAnsi="SimHei" w:cs="SimHei"/>
          <w:spacing w:val="18"/>
          <w:sz w:val="26"/>
          <w:szCs w:val="26"/>
        </w:rPr>
        <w:t>发</w:t>
      </w:r>
      <w:r>
        <w:rPr>
          <w:rFonts w:ascii="SimHei" w:eastAsia="SimHei" w:hAnsi="SimHei" w:cs="SimHei"/>
          <w:spacing w:val="18"/>
          <w:sz w:val="26"/>
          <w:szCs w:val="26"/>
        </w:rPr>
        <w:t xml:space="preserve"> </w:t>
      </w:r>
      <w:r>
        <w:rPr>
          <w:rFonts w:ascii="SimHei" w:eastAsia="SimHei" w:hAnsi="SimHei" w:cs="SimHei"/>
          <w:spacing w:val="18"/>
          <w:sz w:val="26"/>
          <w:szCs w:val="26"/>
        </w:rPr>
        <w:t>布</w:t>
      </w:r>
    </w:p>
    <w:p>
      <w:pPr>
        <w:spacing w:line="175" w:lineRule="auto"/>
        <w:rPr>
          <w:rFonts w:ascii="SimHei" w:eastAsia="SimHei" w:hAnsi="SimHei" w:cs="SimHei"/>
          <w:sz w:val="26"/>
          <w:szCs w:val="26"/>
        </w:rPr>
        <w:sectPr>
          <w:type w:val="continuous"/>
          <w:pgSz w:w="11900" w:h="16840"/>
          <w:pgMar w:top="769" w:right="1136" w:bottom="0" w:left="1139" w:header="0" w:footer="0" w:gutter="0"/>
          <w:pgNumType w:start="4"/>
          <w:cols w:num="1" w:space="708" w:equalWidth="0">
            <w:col w:w="9624" w:space="0"/>
          </w:cols>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62336"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0" w:name="bookmark3"/>
                            <w:bookmarkEnd w:id="0"/>
                            <w:bookmarkStart w:id="1" w:name="bookmark4"/>
                            <w:bookmarkEnd w:id="1"/>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4" o:spid="_x0000_s1027" type="#_x0000_t202" style="width:12.45pt;height:18.95pt;margin-top:487.98pt;margin-left:275.53pt;mso-position-horizontal-relative:page;mso-position-vertical-relative:page;mso-wrap-distance-bottom:0;mso-wrap-distance-left:0;mso-wrap-distance-right:0;mso-wrap-distance-top:0;position:absolute;rotation:300;v-text-anchor:top;z-index:251661312" o:allowincell="f" filled="f" fillcolor="this" stroked="f">
                <v:textbox inset="0,0,0,0">
                  <w:txbxContent>
                    <w:p>
                      <w:pPr>
                        <w:spacing w:before="161" w:line="197" w:lineRule="exact"/>
                        <w:jc w:val="right"/>
                        <w:rPr>
                          <w:rFonts w:ascii="NSimSun" w:eastAsia="NSimSun" w:hAnsi="NSimSun" w:cs="NSimSun"/>
                          <w:sz w:val="48"/>
                          <w:szCs w:val="48"/>
                        </w:rPr>
                      </w:pPr>
                      <w:bookmarkStart w:id="0" w:name="bookmark3"/>
                      <w:bookmarkEnd w:id="0"/>
                      <w:bookmarkStart w:id="1" w:name="bookmark4"/>
                      <w:bookmarkEnd w:id="1"/>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479</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46" w:lineRule="auto"/>
        <w:rPr>
          <w:sz w:val="21"/>
        </w:rPr>
      </w:pPr>
    </w:p>
    <w:p>
      <w:pPr>
        <w:pStyle w:val="BodyText"/>
        <w:spacing w:line="347" w:lineRule="auto"/>
        <w:rPr>
          <w:sz w:val="21"/>
        </w:rPr>
      </w:pPr>
    </w:p>
    <w:p>
      <w:pPr>
        <w:spacing w:before="95" w:line="209" w:lineRule="auto"/>
        <w:ind w:left="4035"/>
        <w:rPr>
          <w:rFonts w:ascii="SimHei" w:eastAsia="SimHei" w:hAnsi="SimHei" w:cs="SimHei"/>
          <w:sz w:val="29"/>
          <w:szCs w:val="29"/>
        </w:rPr>
      </w:pPr>
      <w:r>
        <w:rPr>
          <w:rFonts w:ascii="SimHei" w:eastAsia="SimHei" w:hAnsi="SimHei" w:cs="SimHei"/>
          <w:spacing w:val="-24"/>
          <w:sz w:val="29"/>
          <w:szCs w:val="29"/>
        </w:rPr>
        <w:t>目</w:t>
      </w:r>
      <w:r>
        <w:rPr>
          <w:rFonts w:ascii="SimHei" w:eastAsia="SimHei" w:hAnsi="SimHei" w:cs="SimHei"/>
          <w:spacing w:val="19"/>
          <w:sz w:val="29"/>
          <w:szCs w:val="29"/>
        </w:rPr>
        <w:t xml:space="preserve">    </w:t>
      </w:r>
      <w:r>
        <w:rPr>
          <w:rFonts w:ascii="SimHei" w:eastAsia="SimHei" w:hAnsi="SimHei" w:cs="SimHei"/>
          <w:spacing w:val="-24"/>
          <w:sz w:val="29"/>
          <w:szCs w:val="29"/>
        </w:rPr>
        <w:t>次</w:t>
      </w:r>
    </w:p>
    <w:p>
      <w:pPr>
        <w:pStyle w:val="BodyText"/>
        <w:spacing w:line="284" w:lineRule="auto"/>
        <w:rPr>
          <w:sz w:val="21"/>
        </w:rPr>
      </w:pPr>
    </w:p>
    <w:p>
      <w:pPr>
        <w:pStyle w:val="BodyText"/>
        <w:spacing w:line="284" w:lineRule="auto"/>
        <w:rPr>
          <w:sz w:val="21"/>
        </w:rPr>
      </w:pPr>
    </w:p>
    <w:sdt>
      <w:sdtPr>
        <w:rPr>
          <w:rFonts w:ascii="Microsoft YaHei" w:eastAsia="Microsoft YaHei" w:hAnsi="Microsoft YaHei" w:cs="Microsoft YaHei"/>
          <w:sz w:val="19"/>
          <w:szCs w:val="19"/>
        </w:rPr>
        <w:id w:val="861349198"/>
        <w:docPartObj>
          <w:docPartGallery w:val="Table of Contents"/>
          <w:docPartUnique/>
        </w:docPartObj>
      </w:sdtPr>
      <w:sdtEndPr>
        <w:rPr>
          <w:rFonts w:ascii="Microsoft YaHei" w:eastAsia="Microsoft YaHei" w:hAnsi="Microsoft YaHei" w:cs="Microsoft YaHei"/>
          <w:sz w:val="19"/>
          <w:szCs w:val="19"/>
        </w:rPr>
      </w:sdtEndPr>
      <w:sdtContent>
        <w:p>
          <w:pPr>
            <w:tabs>
              <w:tab w:val="right" w:leader="dot" w:pos="9205"/>
            </w:tabs>
            <w:spacing w:before="81" w:line="182"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前言</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9"/>
              <w:szCs w:val="19"/>
            </w:rPr>
            <w:t>Ⅰ</w:t>
          </w:r>
        </w:p>
        <w:p>
          <w:pPr>
            <w:tabs>
              <w:tab w:val="right" w:leader="dot" w:pos="9255"/>
            </w:tabs>
            <w:spacing w:before="100" w:line="180" w:lineRule="auto"/>
            <w:ind w:left="9"/>
            <w:rPr>
              <w:rFonts w:ascii="Microsoft YaHei" w:eastAsia="Microsoft YaHei" w:hAnsi="Microsoft YaHei" w:cs="Microsoft YaHei"/>
              <w:sz w:val="19"/>
              <w:szCs w:val="19"/>
            </w:rPr>
          </w:pPr>
          <w:r>
            <w:rPr>
              <w:rFonts w:ascii="Microsoft YaHei" w:eastAsia="Microsoft YaHei" w:hAnsi="Microsoft YaHei" w:cs="Microsoft YaHei"/>
              <w:spacing w:val="7"/>
              <w:position w:val="-2"/>
              <w:sz w:val="19"/>
              <w:szCs w:val="19"/>
            </w:rPr>
            <w:t xml:space="preserve">1   </w:t>
          </w:r>
          <w:r>
            <w:rPr>
              <w:rFonts w:ascii="Microsoft YaHei" w:eastAsia="Microsoft YaHei" w:hAnsi="Microsoft YaHei" w:cs="Microsoft YaHei"/>
              <w:spacing w:val="7"/>
              <w:sz w:val="19"/>
              <w:szCs w:val="19"/>
            </w:rPr>
            <w:t>范围</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 w:history="1">
            <w:r>
              <w:rPr>
                <w:rFonts w:ascii="Microsoft YaHei" w:eastAsia="Microsoft YaHei" w:hAnsi="Microsoft YaHei" w:cs="Microsoft YaHei"/>
                <w:spacing w:val="17"/>
                <w:position w:val="-2"/>
                <w:sz w:val="19"/>
                <w:szCs w:val="19"/>
              </w:rPr>
              <w:t>1</w:t>
            </w:r>
          </w:hyperlink>
        </w:p>
        <w:p>
          <w:pPr>
            <w:tabs>
              <w:tab w:val="right" w:leader="dot" w:pos="9255"/>
            </w:tabs>
            <w:spacing w:before="99" w:line="181"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 xml:space="preserve">规范性引用文件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2" w:history="1">
            <w:r>
              <w:rPr>
                <w:rFonts w:ascii="Microsoft YaHei" w:eastAsia="Microsoft YaHei" w:hAnsi="Microsoft YaHei" w:cs="Microsoft YaHei"/>
                <w:spacing w:val="17"/>
                <w:position w:val="-2"/>
                <w:sz w:val="19"/>
                <w:szCs w:val="19"/>
              </w:rPr>
              <w:t>1</w:t>
            </w:r>
          </w:hyperlink>
        </w:p>
        <w:p>
          <w:pPr>
            <w:tabs>
              <w:tab w:val="right" w:leader="dot" w:pos="9255"/>
            </w:tabs>
            <w:spacing w:before="102" w:line="181" w:lineRule="auto"/>
            <w:ind w:left="6"/>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术语和定义</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3" w:history="1">
            <w:r>
              <w:rPr>
                <w:rFonts w:ascii="Microsoft YaHei" w:eastAsia="Microsoft YaHei" w:hAnsi="Microsoft YaHei" w:cs="Microsoft YaHei"/>
                <w:spacing w:val="21"/>
                <w:position w:val="-2"/>
                <w:sz w:val="19"/>
                <w:szCs w:val="19"/>
              </w:rPr>
              <w:t>2</w:t>
            </w:r>
          </w:hyperlink>
        </w:p>
        <w:p>
          <w:pPr>
            <w:tabs>
              <w:tab w:val="right" w:leader="dot" w:pos="9255"/>
            </w:tabs>
            <w:spacing w:before="99" w:line="182"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4</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 xml:space="preserve">试验能力和条件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4" w:history="1">
            <w:r>
              <w:rPr>
                <w:rFonts w:ascii="Microsoft YaHei" w:eastAsia="Microsoft YaHei" w:hAnsi="Microsoft YaHei" w:cs="Microsoft YaHei"/>
                <w:spacing w:val="21"/>
                <w:position w:val="-2"/>
                <w:sz w:val="19"/>
                <w:szCs w:val="19"/>
              </w:rPr>
              <w:t>2</w:t>
            </w:r>
          </w:hyperlink>
        </w:p>
        <w:p>
          <w:pPr>
            <w:tabs>
              <w:tab w:val="right" w:leader="dot" w:pos="9255"/>
            </w:tabs>
            <w:spacing w:before="100" w:line="184" w:lineRule="auto"/>
            <w:ind w:left="7"/>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5</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7"/>
              <w:sz w:val="19"/>
              <w:szCs w:val="19"/>
            </w:rPr>
            <w:t>试验仪器设备</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5" w:history="1">
            <w:r>
              <w:rPr>
                <w:rFonts w:ascii="Microsoft YaHei" w:eastAsia="Microsoft YaHei" w:hAnsi="Microsoft YaHei" w:cs="Microsoft YaHei"/>
                <w:spacing w:val="20"/>
                <w:position w:val="-2"/>
                <w:sz w:val="19"/>
                <w:szCs w:val="19"/>
              </w:rPr>
              <w:t>3</w:t>
            </w:r>
          </w:hyperlink>
        </w:p>
        <w:p>
          <w:pPr>
            <w:tabs>
              <w:tab w:val="right" w:leader="dot" w:pos="9257"/>
            </w:tabs>
            <w:spacing w:before="97" w:line="183" w:lineRule="auto"/>
            <w:ind w:left="8"/>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6</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7"/>
              <w:sz w:val="19"/>
              <w:szCs w:val="19"/>
            </w:rPr>
            <w:t xml:space="preserve">燃气供应系统技术要求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6" w:history="1">
            <w:r>
              <w:rPr>
                <w:rFonts w:ascii="Microsoft YaHei" w:eastAsia="Microsoft YaHei" w:hAnsi="Microsoft YaHei" w:cs="Microsoft YaHei"/>
                <w:spacing w:val="21"/>
                <w:position w:val="-2"/>
                <w:sz w:val="19"/>
                <w:szCs w:val="19"/>
              </w:rPr>
              <w:t>7</w:t>
            </w:r>
          </w:hyperlink>
        </w:p>
        <w:p>
          <w:pPr>
            <w:tabs>
              <w:tab w:val="right" w:leader="dot" w:pos="9257"/>
            </w:tabs>
            <w:spacing w:before="101" w:line="180" w:lineRule="auto"/>
            <w:ind w:left="7"/>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7</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安全运行</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7" w:history="1">
            <w:r>
              <w:rPr>
                <w:rFonts w:ascii="Microsoft YaHei" w:eastAsia="Microsoft YaHei" w:hAnsi="Microsoft YaHei" w:cs="Microsoft YaHei"/>
                <w:spacing w:val="20"/>
                <w:position w:val="-2"/>
                <w:sz w:val="19"/>
                <w:szCs w:val="19"/>
              </w:rPr>
              <w:t>9</w:t>
            </w:r>
          </w:hyperlink>
        </w:p>
        <w:p>
          <w:pPr>
            <w:tabs>
              <w:tab w:val="right" w:leader="dot" w:pos="9255"/>
            </w:tabs>
            <w:spacing w:before="98" w:line="180"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附录 A(资料性附录)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0"/>
              <w:sz w:val="19"/>
              <w:szCs w:val="19"/>
            </w:rPr>
            <w:t xml:space="preserve">易燃气体危险当量计算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8" w:history="1">
            <w:r>
              <w:rPr>
                <w:rFonts w:ascii="Microsoft YaHei" w:eastAsia="Microsoft YaHei" w:hAnsi="Microsoft YaHei" w:cs="Microsoft YaHei"/>
                <w:spacing w:val="5"/>
                <w:position w:val="-2"/>
                <w:sz w:val="19"/>
                <w:szCs w:val="19"/>
              </w:rPr>
              <w:t>1</w:t>
            </w:r>
          </w:hyperlink>
          <w:r>
            <w:rPr>
              <w:rFonts w:ascii="Microsoft YaHei" w:eastAsia="Microsoft YaHei" w:hAnsi="Microsoft YaHei" w:cs="Microsoft YaHei"/>
              <w:spacing w:val="5"/>
              <w:position w:val="-2"/>
              <w:sz w:val="19"/>
              <w:szCs w:val="19"/>
            </w:rPr>
            <w:t>1</w:t>
          </w:r>
        </w:p>
      </w:sdtContent>
    </w:sdt>
    <w:p>
      <w:pPr>
        <w:spacing w:line="180" w:lineRule="auto"/>
        <w:rPr>
          <w:rFonts w:ascii="Microsoft YaHei" w:eastAsia="Microsoft YaHei" w:hAnsi="Microsoft YaHei" w:cs="Microsoft YaHei"/>
          <w:sz w:val="19"/>
          <w:szCs w:val="19"/>
        </w:rPr>
        <w:sectPr>
          <w:pgSz w:w="11906" w:h="16838"/>
          <w:pgMar w:top="1255" w:right="1297" w:bottom="0" w:left="1350" w:header="0" w:footer="0" w:gutter="0"/>
          <w:pgNumType w:start="5"/>
          <w:cols w:space="708"/>
        </w:sectPr>
      </w:pPr>
    </w:p>
    <w:p>
      <w:pPr>
        <w:spacing w:before="35" w:line="163" w:lineRule="auto"/>
        <w:ind w:right="21"/>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479</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47" w:lineRule="auto"/>
        <w:rPr>
          <w:sz w:val="21"/>
        </w:rPr>
      </w:pPr>
    </w:p>
    <w:p>
      <w:pPr>
        <w:pStyle w:val="BodyText"/>
        <w:spacing w:line="348" w:lineRule="auto"/>
        <w:rPr>
          <w:sz w:val="21"/>
        </w:rPr>
      </w:pPr>
    </w:p>
    <w:p>
      <w:pPr>
        <w:spacing w:before="95" w:line="207" w:lineRule="auto"/>
        <w:ind w:left="3994"/>
        <w:rPr>
          <w:rFonts w:ascii="SimHei" w:eastAsia="SimHei" w:hAnsi="SimHei" w:cs="SimHei"/>
          <w:sz w:val="29"/>
          <w:szCs w:val="29"/>
        </w:rPr>
      </w:pPr>
      <w:bookmarkStart w:id="2" w:name="bookmark5"/>
      <w:bookmarkEnd w:id="2"/>
      <w:r>
        <w:rPr>
          <w:rFonts w:ascii="SimHei" w:eastAsia="SimHei" w:hAnsi="SimHei" w:cs="SimHei"/>
          <w:spacing w:val="-4"/>
          <w:sz w:val="29"/>
          <w:szCs w:val="29"/>
        </w:rPr>
        <w:t>前</w:t>
      </w:r>
      <w:r>
        <w:rPr>
          <w:rFonts w:ascii="SimHei" w:eastAsia="SimHei" w:hAnsi="SimHei" w:cs="SimHei"/>
          <w:spacing w:val="21"/>
          <w:sz w:val="29"/>
          <w:szCs w:val="29"/>
        </w:rPr>
        <w:t xml:space="preserve">    </w:t>
      </w:r>
      <w:r>
        <w:rPr>
          <w:rFonts w:ascii="SimHei" w:eastAsia="SimHei" w:hAnsi="SimHei" w:cs="SimHei"/>
          <w:spacing w:val="-4"/>
          <w:sz w:val="29"/>
          <w:szCs w:val="29"/>
        </w:rPr>
        <w:t>言</w:t>
      </w:r>
    </w:p>
    <w:p>
      <w:pPr>
        <w:pStyle w:val="BodyText"/>
        <w:spacing w:line="284" w:lineRule="auto"/>
        <w:rPr>
          <w:sz w:val="21"/>
        </w:rPr>
      </w:pPr>
    </w:p>
    <w:p>
      <w:pPr>
        <w:pStyle w:val="BodyText"/>
        <w:spacing w:line="285" w:lineRule="auto"/>
        <w:rPr>
          <w:sz w:val="21"/>
        </w:rPr>
      </w:pPr>
    </w:p>
    <w:p>
      <w:pPr>
        <w:spacing w:before="82" w:line="17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 xml:space="preserve">本标准按照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14"/>
          <w:sz w:val="19"/>
          <w:szCs w:val="19"/>
        </w:rPr>
        <w:t>2009给出的规则起草</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position w:val="1"/>
          <w:sz w:val="19"/>
          <w:szCs w:val="19"/>
        </w:rPr>
        <w:t>。</w:t>
      </w:r>
    </w:p>
    <w:p>
      <w:pPr>
        <w:spacing w:before="57" w:line="205" w:lineRule="auto"/>
        <w:ind w:right="77" w:firstLine="419"/>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本标准代替</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CJ</w:t>
      </w:r>
      <w:r>
        <w:rPr>
          <w:rFonts w:ascii="Microsoft YaHei" w:eastAsia="Microsoft YaHei" w:hAnsi="Microsoft YaHei" w:cs="Microsoft YaHei"/>
          <w:spacing w:val="5"/>
          <w:sz w:val="19"/>
          <w:szCs w:val="19"/>
        </w:rPr>
        <w:t>/T3075</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5"/>
          <w:sz w:val="19"/>
          <w:szCs w:val="19"/>
        </w:rPr>
        <w:t>1998《燃气燃烧器具</w:t>
      </w:r>
      <w:r>
        <w:rPr>
          <w:rFonts w:ascii="Microsoft YaHei" w:eastAsia="Microsoft YaHei" w:hAnsi="Microsoft YaHei" w:cs="Microsoft YaHei"/>
          <w:spacing w:val="4"/>
          <w:sz w:val="19"/>
          <w:szCs w:val="19"/>
        </w:rPr>
        <w:t>实验室</w:t>
      </w:r>
      <w:r>
        <w:rPr>
          <w:rFonts w:ascii="Microsoft YaHei" w:eastAsia="Microsoft YaHei" w:hAnsi="Microsoft YaHei" w:cs="Microsoft YaHei"/>
          <w:spacing w:val="-41"/>
          <w:sz w:val="19"/>
          <w:szCs w:val="19"/>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36"/>
          <w:position w:val="1"/>
          <w:sz w:val="19"/>
          <w:szCs w:val="19"/>
        </w:rPr>
        <w:t xml:space="preserve"> </w:t>
      </w:r>
      <w:r>
        <w:rPr>
          <w:rFonts w:ascii="Microsoft YaHei" w:eastAsia="Microsoft YaHei" w:hAnsi="Microsoft YaHei" w:cs="Microsoft YaHei"/>
          <w:spacing w:val="4"/>
          <w:sz w:val="19"/>
          <w:szCs w:val="19"/>
        </w:rPr>
        <w:t>技术通则》和</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CJ</w:t>
      </w:r>
      <w:r>
        <w:rPr>
          <w:rFonts w:ascii="Microsoft YaHei" w:eastAsia="Microsoft YaHei" w:hAnsi="Microsoft YaHei" w:cs="Microsoft YaHei"/>
          <w:spacing w:val="4"/>
          <w:sz w:val="19"/>
          <w:szCs w:val="19"/>
        </w:rPr>
        <w:t>/T3075</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4"/>
          <w:position w:val="-1"/>
          <w:sz w:val="19"/>
          <w:szCs w:val="19"/>
        </w:rPr>
        <w:t>2</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spacing w:val="4"/>
          <w:sz w:val="19"/>
          <w:szCs w:val="19"/>
        </w:rPr>
        <w:t>1998《燃气燃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烧器具实验室</w:t>
      </w:r>
      <w:r>
        <w:rPr>
          <w:rFonts w:ascii="Microsoft YaHei" w:eastAsia="Microsoft YaHei" w:hAnsi="Microsoft YaHei" w:cs="Microsoft YaHei"/>
          <w:spacing w:val="-41"/>
          <w:sz w:val="19"/>
          <w:szCs w:val="19"/>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39"/>
          <w:position w:val="1"/>
          <w:sz w:val="19"/>
          <w:szCs w:val="19"/>
        </w:rPr>
        <w:t xml:space="preserve"> </w:t>
      </w:r>
      <w:r>
        <w:rPr>
          <w:rFonts w:ascii="Microsoft YaHei" w:eastAsia="Microsoft YaHei" w:hAnsi="Microsoft YaHei" w:cs="Microsoft YaHei"/>
          <w:spacing w:val="7"/>
          <w:sz w:val="19"/>
          <w:szCs w:val="19"/>
        </w:rPr>
        <w:t>试验装</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置</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7"/>
          <w:sz w:val="19"/>
          <w:szCs w:val="19"/>
        </w:rPr>
        <w:t>和</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7"/>
          <w:sz w:val="19"/>
          <w:szCs w:val="19"/>
        </w:rPr>
        <w:t>仪</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器》</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7"/>
          <w:sz w:val="19"/>
          <w:szCs w:val="19"/>
        </w:rPr>
        <w:t>与</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/T3075</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7"/>
          <w:position w:val="-1"/>
          <w:sz w:val="19"/>
          <w:szCs w:val="19"/>
        </w:rPr>
        <w:t>1</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spacing w:val="7"/>
          <w:position w:val="-1"/>
          <w:sz w:val="19"/>
          <w:szCs w:val="19"/>
        </w:rPr>
        <w:t>1998和</w:t>
      </w:r>
      <w:r>
        <w:rPr>
          <w:rFonts w:ascii="Microsoft YaHei" w:eastAsia="Microsoft YaHei" w:hAnsi="Microsoft YaHei" w:cs="Microsoft YaHei"/>
          <w:spacing w:val="31"/>
          <w:w w:val="101"/>
          <w:position w:val="-1"/>
          <w:sz w:val="19"/>
          <w:szCs w:val="19"/>
        </w:rPr>
        <w:t xml:space="preserve"> </w:t>
      </w:r>
      <w:r>
        <w:rPr>
          <w:rFonts w:ascii="Microsoft YaHei" w:eastAsia="Microsoft YaHei" w:hAnsi="Microsoft YaHei" w:cs="Microsoft YaHei"/>
          <w:position w:val="-1"/>
          <w:sz w:val="19"/>
          <w:szCs w:val="19"/>
        </w:rPr>
        <w:t>CJ</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6"/>
          <w:position w:val="-1"/>
          <w:sz w:val="19"/>
          <w:szCs w:val="19"/>
        </w:rPr>
        <w:t>T3075.</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6"/>
          <w:position w:val="-1"/>
          <w:sz w:val="19"/>
          <w:szCs w:val="19"/>
        </w:rPr>
        <w:t>2</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spacing w:val="6"/>
          <w:sz w:val="19"/>
          <w:szCs w:val="19"/>
        </w:rPr>
        <w:t>1998相 比</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6"/>
          <w:sz w:val="19"/>
          <w:szCs w:val="19"/>
        </w:rPr>
        <w:t>主</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6"/>
          <w:sz w:val="19"/>
          <w:szCs w:val="19"/>
        </w:rPr>
        <w:t>要</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6"/>
          <w:sz w:val="19"/>
          <w:szCs w:val="19"/>
        </w:rPr>
        <w:t>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6"/>
          <w:sz w:val="19"/>
          <w:szCs w:val="19"/>
        </w:rPr>
        <w:t>术</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6"/>
          <w:sz w:val="19"/>
          <w:szCs w:val="19"/>
        </w:rPr>
        <w:t>变</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6"/>
          <w:sz w:val="19"/>
          <w:szCs w:val="19"/>
        </w:rPr>
        <w:t>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如下</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2"/>
          <w:sz w:val="19"/>
          <w:szCs w:val="19"/>
        </w:rPr>
        <w:t>:</w:t>
      </w:r>
    </w:p>
    <w:p>
      <w:pPr>
        <w:pStyle w:val="BodyText"/>
        <w:spacing w:before="67" w:line="178" w:lineRule="auto"/>
        <w:ind w:left="626"/>
        <w:rPr>
          <w:rFonts w:ascii="Microsoft YaHei" w:eastAsia="Microsoft YaHei" w:hAnsi="Microsoft YaHei" w:cs="Microsoft YaHei"/>
        </w:rPr>
      </w:pPr>
      <w:r>
        <w:rPr>
          <w:b/>
          <w:bCs/>
          <w:spacing w:val="17"/>
        </w:rPr>
        <w:t>—</w:t>
      </w:r>
      <w:r>
        <w:rPr>
          <w:b/>
          <w:bCs/>
          <w:spacing w:val="-34"/>
        </w:rPr>
        <w:t xml:space="preserve"> </w:t>
      </w:r>
      <w:r>
        <w:rPr>
          <w:rFonts w:ascii="Microsoft YaHei" w:eastAsia="Microsoft YaHei" w:hAnsi="Microsoft YaHei" w:cs="Microsoft YaHei"/>
          <w:spacing w:val="17"/>
        </w:rPr>
        <w:t>增加了术语和定义章节及危险当量的定义(</w:t>
      </w:r>
      <w:r>
        <w:rPr>
          <w:rFonts w:ascii="Microsoft YaHei" w:eastAsia="Microsoft YaHei" w:hAnsi="Microsoft YaHei" w:cs="Microsoft YaHei"/>
          <w:spacing w:val="16"/>
        </w:rPr>
        <w:t>见 3) ;</w:t>
      </w:r>
    </w:p>
    <w:p>
      <w:pPr>
        <w:pStyle w:val="BodyText"/>
        <w:spacing w:before="70" w:line="180" w:lineRule="auto"/>
        <w:ind w:left="626"/>
        <w:rPr>
          <w:rFonts w:ascii="Microsoft YaHei" w:eastAsia="Microsoft YaHei" w:hAnsi="Microsoft YaHei" w:cs="Microsoft YaHei"/>
        </w:rPr>
      </w:pPr>
      <w:r>
        <w:rPr>
          <w:b/>
          <w:bCs/>
          <w:spacing w:val="14"/>
        </w:rPr>
        <w:t>—</w:t>
      </w:r>
      <w:r>
        <w:rPr>
          <w:b/>
          <w:bCs/>
          <w:spacing w:val="-34"/>
        </w:rPr>
        <w:t xml:space="preserve"> </w:t>
      </w:r>
      <w:r>
        <w:rPr>
          <w:rFonts w:ascii="Microsoft YaHei" w:eastAsia="Microsoft YaHei" w:hAnsi="Microsoft YaHei" w:cs="Microsoft YaHei"/>
          <w:spacing w:val="14"/>
        </w:rPr>
        <w:t>增加了实验室室内环境易燃及有害气体监测要求(见 4</w:t>
      </w:r>
      <w:r>
        <w:rPr>
          <w:rFonts w:ascii="Microsoft YaHei" w:eastAsia="Microsoft YaHei" w:hAnsi="Microsoft YaHei" w:cs="Microsoft YaHei"/>
          <w:spacing w:val="14"/>
          <w:position w:val="-2"/>
        </w:rPr>
        <w:t>.</w:t>
      </w:r>
      <w:r>
        <w:rPr>
          <w:rFonts w:ascii="Microsoft YaHei" w:eastAsia="Microsoft YaHei" w:hAnsi="Microsoft YaHei" w:cs="Microsoft YaHei"/>
          <w:spacing w:val="-26"/>
          <w:position w:val="-2"/>
        </w:rPr>
        <w:t xml:space="preserve"> </w:t>
      </w:r>
      <w:r>
        <w:rPr>
          <w:rFonts w:ascii="Microsoft YaHei" w:eastAsia="Microsoft YaHei" w:hAnsi="Microsoft YaHei" w:cs="Microsoft YaHei"/>
          <w:spacing w:val="14"/>
          <w:position w:val="-2"/>
        </w:rPr>
        <w:t>3.</w:t>
      </w:r>
      <w:r>
        <w:rPr>
          <w:rFonts w:ascii="Microsoft YaHei" w:eastAsia="Microsoft YaHei" w:hAnsi="Microsoft YaHei" w:cs="Microsoft YaHei"/>
          <w:spacing w:val="-28"/>
          <w:position w:val="-2"/>
        </w:rPr>
        <w:t xml:space="preserve"> </w:t>
      </w:r>
      <w:r>
        <w:rPr>
          <w:rFonts w:ascii="Microsoft YaHei" w:eastAsia="Microsoft YaHei" w:hAnsi="Microsoft YaHei" w:cs="Microsoft YaHei"/>
          <w:spacing w:val="14"/>
        </w:rPr>
        <w:t>2)</w:t>
      </w:r>
      <w:r>
        <w:rPr>
          <w:rFonts w:ascii="Microsoft YaHei" w:eastAsia="Microsoft YaHei" w:hAnsi="Microsoft YaHei" w:cs="Microsoft YaHei"/>
          <w:spacing w:val="13"/>
        </w:rPr>
        <w:t xml:space="preserve"> ;</w:t>
      </w:r>
    </w:p>
    <w:p>
      <w:pPr>
        <w:pStyle w:val="BodyText"/>
        <w:spacing w:before="49" w:line="180" w:lineRule="auto"/>
        <w:ind w:left="626"/>
        <w:rPr>
          <w:rFonts w:ascii="Microsoft YaHei" w:eastAsia="Microsoft YaHei" w:hAnsi="Microsoft YaHei" w:cs="Microsoft YaHei"/>
        </w:rPr>
      </w:pPr>
      <w:r>
        <w:rPr>
          <w:b/>
          <w:bCs/>
          <w:spacing w:val="16"/>
        </w:rPr>
        <w:t>—</w:t>
      </w:r>
      <w:r>
        <w:rPr>
          <w:b/>
          <w:bCs/>
          <w:spacing w:val="-34"/>
        </w:rPr>
        <w:t xml:space="preserve"> </w:t>
      </w:r>
      <w:r>
        <w:rPr>
          <w:rFonts w:ascii="Microsoft YaHei" w:eastAsia="Microsoft YaHei" w:hAnsi="Microsoft YaHei" w:cs="Microsoft YaHei"/>
          <w:spacing w:val="16"/>
        </w:rPr>
        <w:t>增加了不同场所内允许易燃气体的最大存在量限制</w:t>
      </w:r>
      <w:r>
        <w:rPr>
          <w:rFonts w:ascii="Microsoft YaHei" w:eastAsia="Microsoft YaHei" w:hAnsi="Microsoft YaHei" w:cs="Microsoft YaHei"/>
          <w:spacing w:val="15"/>
        </w:rPr>
        <w:t>要求(见 6</w:t>
      </w:r>
      <w:r>
        <w:rPr>
          <w:rFonts w:ascii="Microsoft YaHei" w:eastAsia="Microsoft YaHei" w:hAnsi="Microsoft YaHei" w:cs="Microsoft YaHei"/>
          <w:spacing w:val="15"/>
          <w:position w:val="-2"/>
        </w:rPr>
        <w:t>.</w:t>
      </w:r>
      <w:r>
        <w:rPr>
          <w:rFonts w:ascii="Microsoft YaHei" w:eastAsia="Microsoft YaHei" w:hAnsi="Microsoft YaHei" w:cs="Microsoft YaHei"/>
          <w:spacing w:val="-24"/>
          <w:position w:val="-2"/>
        </w:rPr>
        <w:t xml:space="preserve"> </w:t>
      </w:r>
      <w:r>
        <w:rPr>
          <w:rFonts w:ascii="Microsoft YaHei" w:eastAsia="Microsoft YaHei" w:hAnsi="Microsoft YaHei" w:cs="Microsoft YaHei"/>
          <w:spacing w:val="15"/>
        </w:rPr>
        <w:t>1) ;</w:t>
      </w:r>
    </w:p>
    <w:p>
      <w:pPr>
        <w:pStyle w:val="BodyText"/>
        <w:spacing w:before="50" w:line="172" w:lineRule="auto"/>
        <w:ind w:left="626"/>
        <w:rPr>
          <w:rFonts w:ascii="Microsoft YaHei" w:eastAsia="Microsoft YaHei" w:hAnsi="Microsoft YaHei" w:cs="Microsoft YaHei"/>
        </w:rPr>
      </w:pPr>
      <w:r>
        <w:rPr>
          <w:b/>
          <w:bCs/>
          <w:spacing w:val="13"/>
          <w:position w:val="1"/>
        </w:rPr>
        <w:t>—</w:t>
      </w:r>
      <w:r>
        <w:rPr>
          <w:b/>
          <w:bCs/>
          <w:spacing w:val="-32"/>
          <w:position w:val="1"/>
        </w:rPr>
        <w:t xml:space="preserve"> </w:t>
      </w:r>
      <w:r>
        <w:rPr>
          <w:rFonts w:ascii="Microsoft YaHei" w:eastAsia="Microsoft YaHei" w:hAnsi="Microsoft YaHei" w:cs="Microsoft YaHei"/>
          <w:spacing w:val="13"/>
        </w:rPr>
        <w:t>补充了配气站场地布置技术条件要求(见</w:t>
      </w:r>
      <w:r>
        <w:rPr>
          <w:rFonts w:ascii="Microsoft YaHei" w:eastAsia="Microsoft YaHei" w:hAnsi="Microsoft YaHei" w:cs="Microsoft YaHei"/>
          <w:spacing w:val="21"/>
        </w:rPr>
        <w:t xml:space="preserve"> </w:t>
      </w:r>
      <w:r>
        <w:rPr>
          <w:rFonts w:ascii="Microsoft YaHei" w:eastAsia="Microsoft YaHei" w:hAnsi="Microsoft YaHei" w:cs="Microsoft YaHei"/>
          <w:spacing w:val="13"/>
        </w:rPr>
        <w:t>6</w:t>
      </w:r>
      <w:r>
        <w:rPr>
          <w:rFonts w:ascii="Microsoft YaHei" w:eastAsia="Microsoft YaHei" w:hAnsi="Microsoft YaHei" w:cs="Microsoft YaHei"/>
          <w:spacing w:val="13"/>
          <w:position w:val="-1"/>
        </w:rPr>
        <w:t>.</w:t>
      </w:r>
      <w:r>
        <w:rPr>
          <w:rFonts w:ascii="Microsoft YaHei" w:eastAsia="Microsoft YaHei" w:hAnsi="Microsoft YaHei" w:cs="Microsoft YaHei"/>
          <w:spacing w:val="-30"/>
          <w:position w:val="-1"/>
        </w:rPr>
        <w:t xml:space="preserve"> </w:t>
      </w:r>
      <w:r>
        <w:rPr>
          <w:rFonts w:ascii="Microsoft YaHei" w:eastAsia="Microsoft YaHei" w:hAnsi="Microsoft YaHei" w:cs="Microsoft YaHei"/>
          <w:spacing w:val="13"/>
          <w:position w:val="-1"/>
        </w:rPr>
        <w:t>4.</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3"/>
          <w:position w:val="-1"/>
        </w:rPr>
        <w:t>1</w:t>
      </w:r>
      <w:r>
        <w:rPr>
          <w:rFonts w:ascii="Microsoft YaHei" w:eastAsia="Microsoft YaHei" w:hAnsi="Microsoft YaHei" w:cs="Microsoft YaHei"/>
          <w:spacing w:val="13"/>
          <w:position w:val="1"/>
        </w:rPr>
        <w:t>,</w:t>
      </w:r>
      <w:r>
        <w:rPr>
          <w:rFonts w:ascii="Microsoft YaHei" w:eastAsia="Microsoft YaHei" w:hAnsi="Microsoft YaHei" w:cs="Microsoft YaHei"/>
          <w:spacing w:val="13"/>
        </w:rPr>
        <w:t xml:space="preserve">1998年版 </w:t>
      </w:r>
      <w:r>
        <w:rPr>
          <w:rFonts w:ascii="Microsoft YaHei" w:eastAsia="Microsoft YaHei" w:hAnsi="Microsoft YaHei" w:cs="Microsoft YaHei"/>
        </w:rPr>
        <w:t>CJ</w:t>
      </w:r>
      <w:r>
        <w:rPr>
          <w:rFonts w:ascii="Microsoft YaHei" w:eastAsia="Microsoft YaHei" w:hAnsi="Microsoft YaHei" w:cs="Microsoft YaHei"/>
          <w:spacing w:val="13"/>
        </w:rPr>
        <w:t>/</w:t>
      </w:r>
      <w:r>
        <w:rPr>
          <w:rFonts w:ascii="Microsoft YaHei" w:eastAsia="Microsoft YaHei" w:hAnsi="Microsoft YaHei" w:cs="Microsoft YaHei"/>
          <w:spacing w:val="12"/>
        </w:rPr>
        <w:t>T3075</w:t>
      </w:r>
      <w:r>
        <w:rPr>
          <w:rFonts w:ascii="Microsoft YaHei" w:eastAsia="Microsoft YaHei" w:hAnsi="Microsoft YaHei" w:cs="Microsoft YaHei"/>
          <w:spacing w:val="12"/>
          <w:position w:val="-1"/>
        </w:rPr>
        <w:t>.</w:t>
      </w:r>
      <w:r>
        <w:rPr>
          <w:rFonts w:ascii="Microsoft YaHei" w:eastAsia="Microsoft YaHei" w:hAnsi="Microsoft YaHei" w:cs="Microsoft YaHei"/>
          <w:spacing w:val="-23"/>
          <w:position w:val="-1"/>
        </w:rPr>
        <w:t xml:space="preserve"> </w:t>
      </w:r>
      <w:r>
        <w:rPr>
          <w:rFonts w:ascii="Microsoft YaHei" w:eastAsia="Microsoft YaHei" w:hAnsi="Microsoft YaHei" w:cs="Microsoft YaHei"/>
          <w:spacing w:val="12"/>
        </w:rPr>
        <w:t>1的 5</w:t>
      </w:r>
      <w:r>
        <w:rPr>
          <w:rFonts w:ascii="Microsoft YaHei" w:eastAsia="Microsoft YaHei" w:hAnsi="Microsoft YaHei" w:cs="Microsoft YaHei"/>
          <w:spacing w:val="12"/>
          <w:position w:val="-1"/>
        </w:rPr>
        <w:t>.</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2"/>
        </w:rPr>
        <w:t xml:space="preserve">1) </w:t>
      </w:r>
      <w:r>
        <w:rPr>
          <w:rFonts w:ascii="Microsoft YaHei" w:eastAsia="Microsoft YaHei" w:hAnsi="Microsoft YaHei" w:cs="Microsoft YaHei"/>
          <w:spacing w:val="12"/>
          <w:position w:val="1"/>
        </w:rPr>
        <w:t>;</w:t>
      </w:r>
    </w:p>
    <w:p>
      <w:pPr>
        <w:pStyle w:val="BodyText"/>
        <w:spacing w:before="62" w:line="172" w:lineRule="auto"/>
        <w:ind w:left="626"/>
        <w:rPr>
          <w:rFonts w:ascii="Microsoft YaHei" w:eastAsia="Microsoft YaHei" w:hAnsi="Microsoft YaHei" w:cs="Microsoft YaHei"/>
        </w:rPr>
      </w:pPr>
      <w:r>
        <w:rPr>
          <w:b/>
          <w:bCs/>
          <w:spacing w:val="13"/>
          <w:position w:val="1"/>
        </w:rPr>
        <w:t>—</w:t>
      </w:r>
      <w:r>
        <w:rPr>
          <w:b/>
          <w:bCs/>
          <w:spacing w:val="-32"/>
          <w:position w:val="1"/>
        </w:rPr>
        <w:t xml:space="preserve"> </w:t>
      </w:r>
      <w:r>
        <w:rPr>
          <w:rFonts w:ascii="Microsoft YaHei" w:eastAsia="Microsoft YaHei" w:hAnsi="Microsoft YaHei" w:cs="Microsoft YaHei"/>
          <w:spacing w:val="13"/>
        </w:rPr>
        <w:t>补充了实验室辅助专业技术条件要求(见</w:t>
      </w:r>
      <w:r>
        <w:rPr>
          <w:rFonts w:ascii="Microsoft YaHei" w:eastAsia="Microsoft YaHei" w:hAnsi="Microsoft YaHei" w:cs="Microsoft YaHei"/>
          <w:spacing w:val="21"/>
        </w:rPr>
        <w:t xml:space="preserve"> </w:t>
      </w:r>
      <w:r>
        <w:rPr>
          <w:rFonts w:ascii="Microsoft YaHei" w:eastAsia="Microsoft YaHei" w:hAnsi="Microsoft YaHei" w:cs="Microsoft YaHei"/>
          <w:spacing w:val="13"/>
        </w:rPr>
        <w:t>6</w:t>
      </w:r>
      <w:r>
        <w:rPr>
          <w:rFonts w:ascii="Microsoft YaHei" w:eastAsia="Microsoft YaHei" w:hAnsi="Microsoft YaHei" w:cs="Microsoft YaHei"/>
          <w:spacing w:val="13"/>
          <w:position w:val="-1"/>
        </w:rPr>
        <w:t>.</w:t>
      </w:r>
      <w:r>
        <w:rPr>
          <w:rFonts w:ascii="Microsoft YaHei" w:eastAsia="Microsoft YaHei" w:hAnsi="Microsoft YaHei" w:cs="Microsoft YaHei"/>
          <w:spacing w:val="-30"/>
          <w:position w:val="-1"/>
        </w:rPr>
        <w:t xml:space="preserve"> </w:t>
      </w:r>
      <w:r>
        <w:rPr>
          <w:rFonts w:ascii="Microsoft YaHei" w:eastAsia="Microsoft YaHei" w:hAnsi="Microsoft YaHei" w:cs="Microsoft YaHei"/>
          <w:spacing w:val="13"/>
          <w:position w:val="-1"/>
        </w:rPr>
        <w:t>4.</w:t>
      </w:r>
      <w:r>
        <w:rPr>
          <w:rFonts w:ascii="Microsoft YaHei" w:eastAsia="Microsoft YaHei" w:hAnsi="Microsoft YaHei" w:cs="Microsoft YaHei"/>
          <w:spacing w:val="-27"/>
          <w:position w:val="-1"/>
        </w:rPr>
        <w:t xml:space="preserve"> </w:t>
      </w:r>
      <w:r>
        <w:rPr>
          <w:rFonts w:ascii="Microsoft YaHei" w:eastAsia="Microsoft YaHei" w:hAnsi="Microsoft YaHei" w:cs="Microsoft YaHei"/>
          <w:spacing w:val="13"/>
          <w:position w:val="-1"/>
        </w:rPr>
        <w:t>2</w:t>
      </w:r>
      <w:r>
        <w:rPr>
          <w:rFonts w:ascii="Microsoft YaHei" w:eastAsia="Microsoft YaHei" w:hAnsi="Microsoft YaHei" w:cs="Microsoft YaHei"/>
          <w:spacing w:val="13"/>
          <w:position w:val="1"/>
        </w:rPr>
        <w:t>,</w:t>
      </w:r>
      <w:r>
        <w:rPr>
          <w:rFonts w:ascii="Microsoft YaHei" w:eastAsia="Microsoft YaHei" w:hAnsi="Microsoft YaHei" w:cs="Microsoft YaHei"/>
          <w:spacing w:val="13"/>
        </w:rPr>
        <w:t xml:space="preserve">1998年版 </w:t>
      </w:r>
      <w:r>
        <w:rPr>
          <w:rFonts w:ascii="Microsoft YaHei" w:eastAsia="Microsoft YaHei" w:hAnsi="Microsoft YaHei" w:cs="Microsoft YaHei"/>
        </w:rPr>
        <w:t>CJ</w:t>
      </w:r>
      <w:r>
        <w:rPr>
          <w:rFonts w:ascii="Microsoft YaHei" w:eastAsia="Microsoft YaHei" w:hAnsi="Microsoft YaHei" w:cs="Microsoft YaHei"/>
          <w:spacing w:val="13"/>
        </w:rPr>
        <w:t>/T3075</w:t>
      </w:r>
      <w:r>
        <w:rPr>
          <w:rFonts w:ascii="Microsoft YaHei" w:eastAsia="Microsoft YaHei" w:hAnsi="Microsoft YaHei" w:cs="Microsoft YaHei"/>
          <w:spacing w:val="13"/>
          <w:position w:val="-1"/>
        </w:rPr>
        <w:t>.</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3"/>
        </w:rPr>
        <w:t>1的</w:t>
      </w:r>
      <w:r>
        <w:rPr>
          <w:rFonts w:ascii="Microsoft YaHei" w:eastAsia="Microsoft YaHei" w:hAnsi="Microsoft YaHei" w:cs="Microsoft YaHei"/>
          <w:spacing w:val="12"/>
        </w:rPr>
        <w:t xml:space="preserve"> 5</w:t>
      </w:r>
      <w:r>
        <w:rPr>
          <w:rFonts w:ascii="Microsoft YaHei" w:eastAsia="Microsoft YaHei" w:hAnsi="Microsoft YaHei" w:cs="Microsoft YaHei"/>
          <w:spacing w:val="12"/>
          <w:position w:val="-1"/>
        </w:rPr>
        <w:t>.</w:t>
      </w:r>
      <w:r>
        <w:rPr>
          <w:rFonts w:ascii="Microsoft YaHei" w:eastAsia="Microsoft YaHei" w:hAnsi="Microsoft YaHei" w:cs="Microsoft YaHei"/>
          <w:spacing w:val="-28"/>
          <w:position w:val="-1"/>
        </w:rPr>
        <w:t xml:space="preserve"> </w:t>
      </w:r>
      <w:r>
        <w:rPr>
          <w:rFonts w:ascii="Microsoft YaHei" w:eastAsia="Microsoft YaHei" w:hAnsi="Microsoft YaHei" w:cs="Microsoft YaHei"/>
          <w:spacing w:val="12"/>
        </w:rPr>
        <w:t xml:space="preserve">2) </w:t>
      </w:r>
      <w:r>
        <w:rPr>
          <w:rFonts w:ascii="Microsoft YaHei" w:eastAsia="Microsoft YaHei" w:hAnsi="Microsoft YaHei" w:cs="Microsoft YaHei"/>
          <w:spacing w:val="12"/>
          <w:position w:val="1"/>
        </w:rPr>
        <w:t>;</w:t>
      </w:r>
    </w:p>
    <w:p>
      <w:pPr>
        <w:pStyle w:val="BodyText"/>
        <w:spacing w:before="61" w:line="171" w:lineRule="auto"/>
        <w:ind w:left="626"/>
        <w:rPr>
          <w:rFonts w:ascii="Microsoft YaHei" w:eastAsia="Microsoft YaHei" w:hAnsi="Microsoft YaHei" w:cs="Microsoft YaHei"/>
        </w:rPr>
      </w:pPr>
      <w:r>
        <w:rPr>
          <w:b/>
          <w:bCs/>
          <w:spacing w:val="14"/>
          <w:position w:val="1"/>
        </w:rPr>
        <w:t>—</w:t>
      </w:r>
      <w:r>
        <w:rPr>
          <w:b/>
          <w:bCs/>
          <w:spacing w:val="-19"/>
          <w:position w:val="1"/>
        </w:rPr>
        <w:t xml:space="preserve"> </w:t>
      </w:r>
      <w:r>
        <w:rPr>
          <w:rFonts w:ascii="Microsoft YaHei" w:eastAsia="Microsoft YaHei" w:hAnsi="Microsoft YaHei" w:cs="Microsoft YaHei"/>
          <w:spacing w:val="14"/>
        </w:rPr>
        <w:t>修改了燃烧实验室功能要求(见 4</w:t>
      </w:r>
      <w:r>
        <w:rPr>
          <w:rFonts w:ascii="Microsoft YaHei" w:eastAsia="Microsoft YaHei" w:hAnsi="Microsoft YaHei" w:cs="Microsoft YaHei"/>
          <w:spacing w:val="14"/>
          <w:position w:val="1"/>
        </w:rPr>
        <w:t>,</w:t>
      </w:r>
      <w:r>
        <w:rPr>
          <w:rFonts w:ascii="Microsoft YaHei" w:eastAsia="Microsoft YaHei" w:hAnsi="Microsoft YaHei" w:cs="Microsoft YaHei"/>
          <w:spacing w:val="14"/>
        </w:rPr>
        <w:t xml:space="preserve">1998年版 </w:t>
      </w:r>
      <w:r>
        <w:rPr>
          <w:rFonts w:ascii="Microsoft YaHei" w:eastAsia="Microsoft YaHei" w:hAnsi="Microsoft YaHei" w:cs="Microsoft YaHei"/>
        </w:rPr>
        <w:t>CJ</w:t>
      </w:r>
      <w:r>
        <w:rPr>
          <w:rFonts w:ascii="Microsoft YaHei" w:eastAsia="Microsoft YaHei" w:hAnsi="Microsoft YaHei" w:cs="Microsoft YaHei"/>
          <w:spacing w:val="14"/>
        </w:rPr>
        <w:t>/T3075</w:t>
      </w:r>
      <w:r>
        <w:rPr>
          <w:rFonts w:ascii="Microsoft YaHei" w:eastAsia="Microsoft YaHei" w:hAnsi="Microsoft YaHei" w:cs="Microsoft YaHei"/>
          <w:spacing w:val="14"/>
          <w:position w:val="-1"/>
        </w:rPr>
        <w:t>.</w:t>
      </w:r>
      <w:r>
        <w:rPr>
          <w:rFonts w:ascii="Microsoft YaHei" w:eastAsia="Microsoft YaHei" w:hAnsi="Microsoft YaHei" w:cs="Microsoft YaHei"/>
          <w:spacing w:val="-23"/>
          <w:position w:val="-1"/>
        </w:rPr>
        <w:t xml:space="preserve"> </w:t>
      </w:r>
      <w:r>
        <w:rPr>
          <w:rFonts w:ascii="Microsoft YaHei" w:eastAsia="Microsoft YaHei" w:hAnsi="Microsoft YaHei" w:cs="Microsoft YaHei"/>
          <w:spacing w:val="14"/>
        </w:rPr>
        <w:t>1的 4</w:t>
      </w:r>
      <w:r>
        <w:rPr>
          <w:rFonts w:ascii="Microsoft YaHei" w:eastAsia="Microsoft YaHei" w:hAnsi="Microsoft YaHei" w:cs="Microsoft YaHei"/>
          <w:spacing w:val="14"/>
          <w:position w:val="-1"/>
        </w:rPr>
        <w:t>.</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4"/>
        </w:rPr>
        <w:t xml:space="preserve">1) </w:t>
      </w:r>
      <w:r>
        <w:rPr>
          <w:rFonts w:ascii="Microsoft YaHei" w:eastAsia="Microsoft YaHei" w:hAnsi="Microsoft YaHei" w:cs="Microsoft YaHei"/>
          <w:spacing w:val="14"/>
          <w:position w:val="1"/>
        </w:rPr>
        <w:t>;</w:t>
      </w:r>
    </w:p>
    <w:p>
      <w:pPr>
        <w:pStyle w:val="BodyText"/>
        <w:spacing w:before="62" w:line="171" w:lineRule="auto"/>
        <w:ind w:left="626"/>
        <w:rPr>
          <w:rFonts w:ascii="Microsoft YaHei" w:eastAsia="Microsoft YaHei" w:hAnsi="Microsoft YaHei" w:cs="Microsoft YaHei"/>
        </w:rPr>
      </w:pPr>
      <w:r>
        <w:rPr>
          <w:b/>
          <w:bCs/>
          <w:spacing w:val="12"/>
          <w:position w:val="1"/>
        </w:rPr>
        <w:t>—</w:t>
      </w:r>
      <w:r>
        <w:rPr>
          <w:b/>
          <w:bCs/>
          <w:spacing w:val="-33"/>
          <w:position w:val="1"/>
        </w:rPr>
        <w:t xml:space="preserve"> </w:t>
      </w:r>
      <w:r>
        <w:rPr>
          <w:rFonts w:ascii="Microsoft YaHei" w:eastAsia="Microsoft YaHei" w:hAnsi="Microsoft YaHei" w:cs="Microsoft YaHei"/>
          <w:spacing w:val="12"/>
        </w:rPr>
        <w:t>修改了燃烧实验室换气次数的要求(见 4</w:t>
      </w:r>
      <w:r>
        <w:rPr>
          <w:rFonts w:ascii="Microsoft YaHei" w:eastAsia="Microsoft YaHei" w:hAnsi="Microsoft YaHei" w:cs="Microsoft YaHei"/>
          <w:spacing w:val="12"/>
          <w:position w:val="-1"/>
        </w:rPr>
        <w:t>.</w:t>
      </w:r>
      <w:r>
        <w:rPr>
          <w:rFonts w:ascii="Microsoft YaHei" w:eastAsia="Microsoft YaHei" w:hAnsi="Microsoft YaHei" w:cs="Microsoft YaHei"/>
          <w:spacing w:val="-26"/>
          <w:position w:val="-1"/>
        </w:rPr>
        <w:t xml:space="preserve"> </w:t>
      </w:r>
      <w:r>
        <w:rPr>
          <w:rFonts w:ascii="Microsoft YaHei" w:eastAsia="Microsoft YaHei" w:hAnsi="Microsoft YaHei" w:cs="Microsoft YaHei"/>
          <w:spacing w:val="12"/>
          <w:position w:val="-1"/>
        </w:rPr>
        <w:t>3.</w:t>
      </w:r>
      <w:r>
        <w:rPr>
          <w:rFonts w:ascii="Microsoft YaHei" w:eastAsia="Microsoft YaHei" w:hAnsi="Microsoft YaHei" w:cs="Microsoft YaHei"/>
          <w:spacing w:val="-30"/>
          <w:position w:val="-1"/>
        </w:rPr>
        <w:t xml:space="preserve"> </w:t>
      </w:r>
      <w:r>
        <w:rPr>
          <w:rFonts w:ascii="Microsoft YaHei" w:eastAsia="Microsoft YaHei" w:hAnsi="Microsoft YaHei" w:cs="Microsoft YaHei"/>
          <w:spacing w:val="12"/>
          <w:position w:val="-1"/>
        </w:rPr>
        <w:t>4</w:t>
      </w:r>
      <w:r>
        <w:rPr>
          <w:rFonts w:ascii="Microsoft YaHei" w:eastAsia="Microsoft YaHei" w:hAnsi="Microsoft YaHei" w:cs="Microsoft YaHei"/>
          <w:spacing w:val="12"/>
          <w:position w:val="1"/>
        </w:rPr>
        <w:t>,</w:t>
      </w:r>
      <w:r>
        <w:rPr>
          <w:rFonts w:ascii="Microsoft YaHei" w:eastAsia="Microsoft YaHei" w:hAnsi="Microsoft YaHei" w:cs="Microsoft YaHei"/>
          <w:spacing w:val="12"/>
        </w:rPr>
        <w:t xml:space="preserve">1998年版 </w:t>
      </w:r>
      <w:r>
        <w:rPr>
          <w:rFonts w:ascii="Microsoft YaHei" w:eastAsia="Microsoft YaHei" w:hAnsi="Microsoft YaHei" w:cs="Microsoft YaHei"/>
        </w:rPr>
        <w:t>CJ</w:t>
      </w:r>
      <w:r>
        <w:rPr>
          <w:rFonts w:ascii="Microsoft YaHei" w:eastAsia="Microsoft YaHei" w:hAnsi="Microsoft YaHei" w:cs="Microsoft YaHei"/>
          <w:spacing w:val="12"/>
        </w:rPr>
        <w:t>/T3075</w:t>
      </w:r>
      <w:r>
        <w:rPr>
          <w:rFonts w:ascii="Microsoft YaHei" w:eastAsia="Microsoft YaHei" w:hAnsi="Microsoft YaHei" w:cs="Microsoft YaHei"/>
          <w:spacing w:val="12"/>
          <w:position w:val="-1"/>
        </w:rPr>
        <w:t>.</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2"/>
        </w:rPr>
        <w:t>1的 5</w:t>
      </w:r>
      <w:r>
        <w:rPr>
          <w:rFonts w:ascii="Microsoft YaHei" w:eastAsia="Microsoft YaHei" w:hAnsi="Microsoft YaHei" w:cs="Microsoft YaHei"/>
          <w:spacing w:val="12"/>
          <w:position w:val="-1"/>
        </w:rPr>
        <w:t>.</w:t>
      </w:r>
      <w:r>
        <w:rPr>
          <w:rFonts w:ascii="Microsoft YaHei" w:eastAsia="Microsoft YaHei" w:hAnsi="Microsoft YaHei" w:cs="Microsoft YaHei"/>
          <w:spacing w:val="-26"/>
          <w:position w:val="-1"/>
        </w:rPr>
        <w:t xml:space="preserve"> </w:t>
      </w:r>
      <w:r>
        <w:rPr>
          <w:rFonts w:ascii="Microsoft YaHei" w:eastAsia="Microsoft YaHei" w:hAnsi="Microsoft YaHei" w:cs="Microsoft YaHei"/>
          <w:spacing w:val="12"/>
          <w:position w:val="-1"/>
        </w:rPr>
        <w:t>3.</w:t>
      </w:r>
      <w:r>
        <w:rPr>
          <w:rFonts w:ascii="Microsoft YaHei" w:eastAsia="Microsoft YaHei" w:hAnsi="Microsoft YaHei" w:cs="Microsoft YaHei"/>
          <w:spacing w:val="-28"/>
          <w:position w:val="-1"/>
        </w:rPr>
        <w:t xml:space="preserve"> </w:t>
      </w:r>
      <w:r>
        <w:rPr>
          <w:rFonts w:ascii="Microsoft YaHei" w:eastAsia="Microsoft YaHei" w:hAnsi="Microsoft YaHei" w:cs="Microsoft YaHei"/>
          <w:spacing w:val="12"/>
        </w:rPr>
        <w:t xml:space="preserve">2) </w:t>
      </w:r>
      <w:r>
        <w:rPr>
          <w:rFonts w:ascii="Microsoft YaHei" w:eastAsia="Microsoft YaHei" w:hAnsi="Microsoft YaHei" w:cs="Microsoft YaHei"/>
          <w:spacing w:val="12"/>
          <w:position w:val="1"/>
        </w:rPr>
        <w:t>;</w:t>
      </w:r>
    </w:p>
    <w:p>
      <w:pPr>
        <w:pStyle w:val="BodyText"/>
        <w:spacing w:before="62" w:line="171" w:lineRule="auto"/>
        <w:ind w:left="626"/>
        <w:rPr>
          <w:rFonts w:ascii="Microsoft YaHei" w:eastAsia="Microsoft YaHei" w:hAnsi="Microsoft YaHei" w:cs="Microsoft YaHei"/>
        </w:rPr>
      </w:pPr>
      <w:r>
        <w:rPr>
          <w:b/>
          <w:bCs/>
          <w:spacing w:val="11"/>
          <w:position w:val="1"/>
        </w:rPr>
        <w:t>—</w:t>
      </w:r>
      <w:r>
        <w:rPr>
          <w:b/>
          <w:bCs/>
          <w:spacing w:val="-24"/>
          <w:position w:val="1"/>
        </w:rPr>
        <w:t xml:space="preserve"> </w:t>
      </w:r>
      <w:r>
        <w:rPr>
          <w:rFonts w:ascii="Microsoft YaHei" w:eastAsia="Microsoft YaHei" w:hAnsi="Microsoft YaHei" w:cs="Microsoft YaHei"/>
          <w:spacing w:val="11"/>
        </w:rPr>
        <w:t>修改了燃气供应系统要求(见</w:t>
      </w:r>
      <w:r>
        <w:rPr>
          <w:rFonts w:ascii="Microsoft YaHei" w:eastAsia="Microsoft YaHei" w:hAnsi="Microsoft YaHei" w:cs="Microsoft YaHei"/>
          <w:spacing w:val="21"/>
          <w:w w:val="101"/>
        </w:rPr>
        <w:t xml:space="preserve"> </w:t>
      </w:r>
      <w:r>
        <w:rPr>
          <w:rFonts w:ascii="Microsoft YaHei" w:eastAsia="Microsoft YaHei" w:hAnsi="Microsoft YaHei" w:cs="Microsoft YaHei"/>
          <w:spacing w:val="11"/>
        </w:rPr>
        <w:t>6</w:t>
      </w:r>
      <w:r>
        <w:rPr>
          <w:rFonts w:ascii="Microsoft YaHei" w:eastAsia="Microsoft YaHei" w:hAnsi="Microsoft YaHei" w:cs="Microsoft YaHei"/>
          <w:spacing w:val="11"/>
          <w:position w:val="1"/>
        </w:rPr>
        <w:t>,</w:t>
      </w:r>
      <w:r>
        <w:rPr>
          <w:rFonts w:ascii="Microsoft YaHei" w:eastAsia="Microsoft YaHei" w:hAnsi="Microsoft YaHei" w:cs="Microsoft YaHei"/>
          <w:spacing w:val="11"/>
        </w:rPr>
        <w:t xml:space="preserve">1998年版 </w:t>
      </w:r>
      <w:r>
        <w:rPr>
          <w:rFonts w:ascii="Microsoft YaHei" w:eastAsia="Microsoft YaHei" w:hAnsi="Microsoft YaHei" w:cs="Microsoft YaHei"/>
        </w:rPr>
        <w:t>CJ</w:t>
      </w:r>
      <w:r>
        <w:rPr>
          <w:rFonts w:ascii="Microsoft YaHei" w:eastAsia="Microsoft YaHei" w:hAnsi="Microsoft YaHei" w:cs="Microsoft YaHei"/>
          <w:spacing w:val="11"/>
        </w:rPr>
        <w:t>/T3075</w:t>
      </w:r>
      <w:r>
        <w:rPr>
          <w:rFonts w:ascii="Microsoft YaHei" w:eastAsia="Microsoft YaHei" w:hAnsi="Microsoft YaHei" w:cs="Microsoft YaHei"/>
          <w:spacing w:val="11"/>
          <w:position w:val="-1"/>
        </w:rPr>
        <w:t>.</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1"/>
        </w:rPr>
        <w:t>1的</w:t>
      </w:r>
      <w:r>
        <w:rPr>
          <w:rFonts w:ascii="Microsoft YaHei" w:eastAsia="Microsoft YaHei" w:hAnsi="Microsoft YaHei" w:cs="Microsoft YaHei"/>
          <w:spacing w:val="21"/>
        </w:rPr>
        <w:t xml:space="preserve"> </w:t>
      </w:r>
      <w:r>
        <w:rPr>
          <w:rFonts w:ascii="Microsoft YaHei" w:eastAsia="Microsoft YaHei" w:hAnsi="Microsoft YaHei" w:cs="Microsoft YaHei"/>
          <w:spacing w:val="11"/>
        </w:rPr>
        <w:t>6</w:t>
      </w:r>
      <w:r>
        <w:rPr>
          <w:rFonts w:ascii="Microsoft YaHei" w:eastAsia="Microsoft YaHei" w:hAnsi="Microsoft YaHei" w:cs="Microsoft YaHei"/>
          <w:spacing w:val="11"/>
          <w:position w:val="-1"/>
        </w:rPr>
        <w:t>.</w:t>
      </w:r>
      <w:r>
        <w:rPr>
          <w:rFonts w:ascii="Microsoft YaHei" w:eastAsia="Microsoft YaHei" w:hAnsi="Microsoft YaHei" w:cs="Microsoft YaHei"/>
          <w:spacing w:val="-27"/>
          <w:position w:val="-1"/>
        </w:rPr>
        <w:t xml:space="preserve"> </w:t>
      </w:r>
      <w:r>
        <w:rPr>
          <w:rFonts w:ascii="Microsoft YaHei" w:eastAsia="Microsoft YaHei" w:hAnsi="Microsoft YaHei" w:cs="Microsoft YaHei"/>
          <w:spacing w:val="11"/>
          <w:position w:val="-1"/>
        </w:rPr>
        <w:t>3.</w:t>
      </w:r>
      <w:r>
        <w:rPr>
          <w:rFonts w:ascii="Microsoft YaHei" w:eastAsia="Microsoft YaHei" w:hAnsi="Microsoft YaHei" w:cs="Microsoft YaHei"/>
          <w:spacing w:val="-26"/>
          <w:position w:val="-1"/>
        </w:rPr>
        <w:t xml:space="preserve"> </w:t>
      </w:r>
      <w:r>
        <w:rPr>
          <w:rFonts w:ascii="Microsoft YaHei" w:eastAsia="Microsoft YaHei" w:hAnsi="Microsoft YaHei" w:cs="Microsoft YaHei"/>
          <w:spacing w:val="11"/>
        </w:rPr>
        <w:t>3至</w:t>
      </w:r>
      <w:r>
        <w:rPr>
          <w:rFonts w:ascii="Microsoft YaHei" w:eastAsia="Microsoft YaHei" w:hAnsi="Microsoft YaHei" w:cs="Microsoft YaHei"/>
          <w:spacing w:val="21"/>
        </w:rPr>
        <w:t xml:space="preserve"> </w:t>
      </w:r>
      <w:r>
        <w:rPr>
          <w:rFonts w:ascii="Microsoft YaHei" w:eastAsia="Microsoft YaHei" w:hAnsi="Microsoft YaHei" w:cs="Microsoft YaHei"/>
          <w:spacing w:val="11"/>
        </w:rPr>
        <w:t>6</w:t>
      </w:r>
      <w:r>
        <w:rPr>
          <w:rFonts w:ascii="Microsoft YaHei" w:eastAsia="Microsoft YaHei" w:hAnsi="Microsoft YaHei" w:cs="Microsoft YaHei"/>
          <w:spacing w:val="11"/>
          <w:position w:val="-1"/>
        </w:rPr>
        <w:t>.</w:t>
      </w:r>
      <w:r>
        <w:rPr>
          <w:rFonts w:ascii="Microsoft YaHei" w:eastAsia="Microsoft YaHei" w:hAnsi="Microsoft YaHei" w:cs="Microsoft YaHei"/>
          <w:spacing w:val="-27"/>
          <w:position w:val="-1"/>
        </w:rPr>
        <w:t xml:space="preserve"> </w:t>
      </w:r>
      <w:r>
        <w:rPr>
          <w:rFonts w:ascii="Microsoft YaHei" w:eastAsia="Microsoft YaHei" w:hAnsi="Microsoft YaHei" w:cs="Microsoft YaHei"/>
          <w:spacing w:val="11"/>
          <w:position w:val="-1"/>
        </w:rPr>
        <w:t>3.</w:t>
      </w:r>
      <w:r>
        <w:rPr>
          <w:rFonts w:ascii="Microsoft YaHei" w:eastAsia="Microsoft YaHei" w:hAnsi="Microsoft YaHei" w:cs="Microsoft YaHei"/>
          <w:spacing w:val="-25"/>
          <w:position w:val="-1"/>
        </w:rPr>
        <w:t xml:space="preserve"> </w:t>
      </w:r>
      <w:r>
        <w:rPr>
          <w:rFonts w:ascii="Microsoft YaHei" w:eastAsia="Microsoft YaHei" w:hAnsi="Microsoft YaHei" w:cs="Microsoft YaHei"/>
          <w:spacing w:val="11"/>
        </w:rPr>
        <w:t xml:space="preserve">7) </w:t>
      </w:r>
      <w:r>
        <w:rPr>
          <w:rFonts w:ascii="Microsoft YaHei" w:eastAsia="Microsoft YaHei" w:hAnsi="Microsoft YaHei" w:cs="Microsoft YaHei"/>
          <w:spacing w:val="11"/>
          <w:position w:val="1"/>
        </w:rPr>
        <w:t>;</w:t>
      </w:r>
    </w:p>
    <w:p>
      <w:pPr>
        <w:pStyle w:val="BodyText"/>
        <w:spacing w:before="62" w:line="171" w:lineRule="auto"/>
        <w:ind w:left="626"/>
        <w:rPr>
          <w:rFonts w:ascii="Microsoft YaHei" w:eastAsia="Microsoft YaHei" w:hAnsi="Microsoft YaHei" w:cs="Microsoft YaHei"/>
        </w:rPr>
      </w:pPr>
      <w:r>
        <w:rPr>
          <w:b/>
          <w:bCs/>
          <w:spacing w:val="11"/>
          <w:position w:val="1"/>
        </w:rPr>
        <w:t>—</w:t>
      </w:r>
      <w:r>
        <w:rPr>
          <w:b/>
          <w:bCs/>
          <w:spacing w:val="-23"/>
          <w:position w:val="1"/>
        </w:rPr>
        <w:t xml:space="preserve"> </w:t>
      </w:r>
      <w:r>
        <w:rPr>
          <w:rFonts w:ascii="Microsoft YaHei" w:eastAsia="Microsoft YaHei" w:hAnsi="Microsoft YaHei" w:cs="Microsoft YaHei"/>
          <w:spacing w:val="11"/>
        </w:rPr>
        <w:t>修改了安全操作和运行要求(见 7</w:t>
      </w:r>
      <w:r>
        <w:rPr>
          <w:rFonts w:ascii="Microsoft YaHei" w:eastAsia="Microsoft YaHei" w:hAnsi="Microsoft YaHei" w:cs="Microsoft YaHei"/>
          <w:spacing w:val="11"/>
          <w:position w:val="1"/>
        </w:rPr>
        <w:t>,</w:t>
      </w:r>
      <w:r>
        <w:rPr>
          <w:rFonts w:ascii="Microsoft YaHei" w:eastAsia="Microsoft YaHei" w:hAnsi="Microsoft YaHei" w:cs="Microsoft YaHei"/>
          <w:spacing w:val="11"/>
        </w:rPr>
        <w:t xml:space="preserve">1998年版 </w:t>
      </w:r>
      <w:r>
        <w:rPr>
          <w:rFonts w:ascii="Microsoft YaHei" w:eastAsia="Microsoft YaHei" w:hAnsi="Microsoft YaHei" w:cs="Microsoft YaHei"/>
        </w:rPr>
        <w:t>CJ</w:t>
      </w:r>
      <w:r>
        <w:rPr>
          <w:rFonts w:ascii="Microsoft YaHei" w:eastAsia="Microsoft YaHei" w:hAnsi="Microsoft YaHei" w:cs="Microsoft YaHei"/>
          <w:spacing w:val="11"/>
        </w:rPr>
        <w:t>/T3075</w:t>
      </w:r>
      <w:r>
        <w:rPr>
          <w:rFonts w:ascii="Microsoft YaHei" w:eastAsia="Microsoft YaHei" w:hAnsi="Microsoft YaHei" w:cs="Microsoft YaHei"/>
          <w:spacing w:val="11"/>
          <w:position w:val="-1"/>
        </w:rPr>
        <w:t>.</w:t>
      </w:r>
      <w:r>
        <w:rPr>
          <w:rFonts w:ascii="Microsoft YaHei" w:eastAsia="Microsoft YaHei" w:hAnsi="Microsoft YaHei" w:cs="Microsoft YaHei"/>
          <w:spacing w:val="-24"/>
          <w:position w:val="-1"/>
        </w:rPr>
        <w:t xml:space="preserve"> </w:t>
      </w:r>
      <w:r>
        <w:rPr>
          <w:rFonts w:ascii="Microsoft YaHei" w:eastAsia="Microsoft YaHei" w:hAnsi="Microsoft YaHei" w:cs="Microsoft YaHei"/>
          <w:spacing w:val="11"/>
        </w:rPr>
        <w:t>1的</w:t>
      </w:r>
      <w:r>
        <w:rPr>
          <w:rFonts w:ascii="Microsoft YaHei" w:eastAsia="Microsoft YaHei" w:hAnsi="Microsoft YaHei" w:cs="Microsoft YaHei"/>
          <w:spacing w:val="21"/>
        </w:rPr>
        <w:t xml:space="preserve"> </w:t>
      </w:r>
      <w:r>
        <w:rPr>
          <w:rFonts w:ascii="Microsoft YaHei" w:eastAsia="Microsoft YaHei" w:hAnsi="Microsoft YaHei" w:cs="Microsoft YaHei"/>
          <w:spacing w:val="11"/>
        </w:rPr>
        <w:t>6</w:t>
      </w:r>
      <w:r>
        <w:rPr>
          <w:rFonts w:ascii="Microsoft YaHei" w:eastAsia="Microsoft YaHei" w:hAnsi="Microsoft YaHei" w:cs="Microsoft YaHei"/>
          <w:spacing w:val="11"/>
          <w:position w:val="-1"/>
        </w:rPr>
        <w:t>.</w:t>
      </w:r>
      <w:r>
        <w:rPr>
          <w:rFonts w:ascii="Microsoft YaHei" w:eastAsia="Microsoft YaHei" w:hAnsi="Microsoft YaHei" w:cs="Microsoft YaHei"/>
          <w:spacing w:val="-27"/>
          <w:position w:val="-1"/>
        </w:rPr>
        <w:t xml:space="preserve"> </w:t>
      </w:r>
      <w:r>
        <w:rPr>
          <w:rFonts w:ascii="Microsoft YaHei" w:eastAsia="Microsoft YaHei" w:hAnsi="Microsoft YaHei" w:cs="Microsoft YaHei"/>
          <w:spacing w:val="11"/>
          <w:position w:val="-1"/>
        </w:rPr>
        <w:t>3.</w:t>
      </w:r>
      <w:r>
        <w:rPr>
          <w:rFonts w:ascii="Microsoft YaHei" w:eastAsia="Microsoft YaHei" w:hAnsi="Microsoft YaHei" w:cs="Microsoft YaHei"/>
          <w:spacing w:val="-27"/>
          <w:position w:val="-1"/>
        </w:rPr>
        <w:t xml:space="preserve"> </w:t>
      </w:r>
      <w:r>
        <w:rPr>
          <w:rFonts w:ascii="Microsoft YaHei" w:eastAsia="Microsoft YaHei" w:hAnsi="Microsoft YaHei" w:cs="Microsoft YaHei"/>
          <w:spacing w:val="11"/>
        </w:rPr>
        <w:t>8至</w:t>
      </w:r>
      <w:r>
        <w:rPr>
          <w:rFonts w:ascii="Microsoft YaHei" w:eastAsia="Microsoft YaHei" w:hAnsi="Microsoft YaHei" w:cs="Microsoft YaHei"/>
          <w:spacing w:val="20"/>
          <w:w w:val="101"/>
        </w:rPr>
        <w:t xml:space="preserve"> </w:t>
      </w:r>
      <w:r>
        <w:rPr>
          <w:rFonts w:ascii="Microsoft YaHei" w:eastAsia="Microsoft YaHei" w:hAnsi="Microsoft YaHei" w:cs="Microsoft YaHei"/>
          <w:spacing w:val="11"/>
        </w:rPr>
        <w:t>6</w:t>
      </w:r>
      <w:r>
        <w:rPr>
          <w:rFonts w:ascii="Microsoft YaHei" w:eastAsia="Microsoft YaHei" w:hAnsi="Microsoft YaHei" w:cs="Microsoft YaHei"/>
          <w:spacing w:val="11"/>
          <w:position w:val="-1"/>
        </w:rPr>
        <w:t>.</w:t>
      </w:r>
      <w:r>
        <w:rPr>
          <w:rFonts w:ascii="Microsoft YaHei" w:eastAsia="Microsoft YaHei" w:hAnsi="Microsoft YaHei" w:cs="Microsoft YaHei"/>
          <w:spacing w:val="-27"/>
          <w:position w:val="-1"/>
        </w:rPr>
        <w:t xml:space="preserve"> </w:t>
      </w:r>
      <w:r>
        <w:rPr>
          <w:rFonts w:ascii="Microsoft YaHei" w:eastAsia="Microsoft YaHei" w:hAnsi="Microsoft YaHei" w:cs="Microsoft YaHei"/>
          <w:spacing w:val="11"/>
          <w:position w:val="-1"/>
        </w:rPr>
        <w:t>3.</w:t>
      </w:r>
      <w:r>
        <w:rPr>
          <w:rFonts w:ascii="Microsoft YaHei" w:eastAsia="Microsoft YaHei" w:hAnsi="Microsoft YaHei" w:cs="Microsoft YaHei"/>
          <w:spacing w:val="-23"/>
          <w:position w:val="-1"/>
        </w:rPr>
        <w:t xml:space="preserve"> </w:t>
      </w:r>
      <w:r>
        <w:rPr>
          <w:rFonts w:ascii="Microsoft YaHei" w:eastAsia="Microsoft YaHei" w:hAnsi="Microsoft YaHei" w:cs="Microsoft YaHei"/>
          <w:spacing w:val="11"/>
        </w:rPr>
        <w:t xml:space="preserve">10) </w:t>
      </w:r>
      <w:r>
        <w:rPr>
          <w:rFonts w:ascii="Microsoft YaHei" w:eastAsia="Microsoft YaHei" w:hAnsi="Microsoft YaHei" w:cs="Microsoft YaHei"/>
          <w:spacing w:val="11"/>
          <w:position w:val="1"/>
        </w:rPr>
        <w:t>;</w:t>
      </w:r>
    </w:p>
    <w:p>
      <w:pPr>
        <w:pStyle w:val="BodyText"/>
        <w:spacing w:before="61" w:line="172" w:lineRule="auto"/>
        <w:ind w:left="626"/>
        <w:rPr>
          <w:rFonts w:ascii="Microsoft YaHei" w:eastAsia="Microsoft YaHei" w:hAnsi="Microsoft YaHei" w:cs="Microsoft YaHei"/>
        </w:rPr>
      </w:pPr>
      <w:r>
        <w:rPr>
          <w:b/>
          <w:bCs/>
          <w:spacing w:val="11"/>
          <w:position w:val="1"/>
        </w:rPr>
        <w:t>—</w:t>
      </w:r>
      <w:r>
        <w:rPr>
          <w:b/>
          <w:bCs/>
          <w:spacing w:val="-30"/>
          <w:position w:val="1"/>
        </w:rPr>
        <w:t xml:space="preserve"> </w:t>
      </w:r>
      <w:r>
        <w:rPr>
          <w:rFonts w:ascii="Microsoft YaHei" w:eastAsia="Microsoft YaHei" w:hAnsi="Microsoft YaHei" w:cs="Microsoft YaHei"/>
          <w:spacing w:val="11"/>
        </w:rPr>
        <w:t xml:space="preserve">删除了配气站输气管道相关工艺设计参数和试验参数的要求(见 1998年版 </w:t>
      </w:r>
      <w:r>
        <w:rPr>
          <w:rFonts w:ascii="Microsoft YaHei" w:eastAsia="Microsoft YaHei" w:hAnsi="Microsoft YaHei" w:cs="Microsoft YaHei"/>
        </w:rPr>
        <w:t>CJ</w:t>
      </w:r>
      <w:r>
        <w:rPr>
          <w:rFonts w:ascii="Microsoft YaHei" w:eastAsia="Microsoft YaHei" w:hAnsi="Microsoft YaHei" w:cs="Microsoft YaHei"/>
          <w:spacing w:val="11"/>
        </w:rPr>
        <w:t>/T3075</w:t>
      </w:r>
      <w:r>
        <w:rPr>
          <w:rFonts w:ascii="Microsoft YaHei" w:eastAsia="Microsoft YaHei" w:hAnsi="Microsoft YaHei" w:cs="Microsoft YaHei"/>
          <w:spacing w:val="11"/>
          <w:position w:val="-2"/>
        </w:rPr>
        <w:t>.</w:t>
      </w:r>
      <w:r>
        <w:rPr>
          <w:rFonts w:ascii="Microsoft YaHei" w:eastAsia="Microsoft YaHei" w:hAnsi="Microsoft YaHei" w:cs="Microsoft YaHei"/>
          <w:spacing w:val="-34"/>
          <w:position w:val="-2"/>
        </w:rPr>
        <w:t xml:space="preserve"> </w:t>
      </w:r>
      <w:r>
        <w:rPr>
          <w:rFonts w:ascii="Microsoft YaHei" w:eastAsia="Microsoft YaHei" w:hAnsi="Microsoft YaHei" w:cs="Microsoft YaHei"/>
          <w:spacing w:val="11"/>
        </w:rPr>
        <w:t>2的 7)</w:t>
      </w:r>
      <w:r>
        <w:rPr>
          <w:rFonts w:ascii="Microsoft YaHei" w:eastAsia="Microsoft YaHei" w:hAnsi="Microsoft YaHei" w:cs="Microsoft YaHei"/>
          <w:spacing w:val="-23"/>
        </w:rPr>
        <w:t xml:space="preserve"> </w:t>
      </w:r>
      <w:r>
        <w:rPr>
          <w:rFonts w:ascii="Microsoft YaHei" w:eastAsia="Microsoft YaHei" w:hAnsi="Microsoft YaHei" w:cs="Microsoft YaHei"/>
          <w:spacing w:val="11"/>
          <w:position w:val="1"/>
        </w:rPr>
        <w:t>。</w:t>
      </w:r>
    </w:p>
    <w:p>
      <w:pPr>
        <w:spacing w:before="51" w:line="182"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本标准由住房和城乡建设部标准定额研究所提出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w:t>
      </w:r>
    </w:p>
    <w:p>
      <w:pPr>
        <w:spacing w:before="67"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本标准由住房和城乡建设部燃气标准化技术委员会归口</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63" w:line="222" w:lineRule="auto"/>
        <w:ind w:left="1" w:right="77" w:firstLine="418"/>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本标准起草单位</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5"/>
          <w:sz w:val="19"/>
          <w:szCs w:val="19"/>
        </w:rPr>
        <w:t>中国市政工程华北设计研</w:t>
      </w:r>
      <w:r>
        <w:rPr>
          <w:rFonts w:ascii="Microsoft YaHei" w:eastAsia="Microsoft YaHei" w:hAnsi="Microsoft YaHei" w:cs="Microsoft YaHei"/>
          <w:spacing w:val="14"/>
          <w:sz w:val="19"/>
          <w:szCs w:val="19"/>
        </w:rPr>
        <w:t>究总院有限公司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4"/>
          <w:sz w:val="19"/>
          <w:szCs w:val="19"/>
        </w:rPr>
        <w:t>、广东诺科冷暖设备有限公司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4"/>
          <w:sz w:val="19"/>
          <w:szCs w:val="19"/>
        </w:rPr>
        <w:t>、广东万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和新电气股份有限公司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6"/>
          <w:sz w:val="19"/>
          <w:szCs w:val="19"/>
        </w:rPr>
        <w:t>、广州迪森家用锅炉制造有限</w:t>
      </w:r>
      <w:r>
        <w:rPr>
          <w:rFonts w:ascii="Microsoft YaHei" w:eastAsia="Microsoft YaHei" w:hAnsi="Microsoft YaHei" w:cs="Microsoft YaHei"/>
          <w:spacing w:val="15"/>
          <w:sz w:val="19"/>
          <w:szCs w:val="19"/>
        </w:rPr>
        <w:t>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5"/>
          <w:sz w:val="19"/>
          <w:szCs w:val="19"/>
        </w:rPr>
        <w:t>、国家燃气用具质量监督检验中心</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5"/>
          <w:sz w:val="19"/>
          <w:szCs w:val="19"/>
        </w:rPr>
        <w:t>、能率(中</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国)投资有限公司</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1"/>
          <w:sz w:val="19"/>
          <w:szCs w:val="19"/>
        </w:rPr>
        <w:t>、银川艾尼工业科技开发有限公司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1"/>
          <w:sz w:val="19"/>
          <w:szCs w:val="19"/>
        </w:rPr>
        <w:t>、广东美的厨卫电器制造有限公司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、裕富宝厨具设备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(深圳)有限公司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4"/>
          <w:sz w:val="19"/>
          <w:szCs w:val="19"/>
        </w:rPr>
        <w:t>、广州市精鼎电器科技有限公司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4"/>
          <w:sz w:val="19"/>
          <w:szCs w:val="19"/>
        </w:rPr>
        <w:t>、浙江新涛电子机械股份有限公</w:t>
      </w:r>
      <w:r>
        <w:rPr>
          <w:rFonts w:ascii="Microsoft YaHei" w:eastAsia="Microsoft YaHei" w:hAnsi="Microsoft YaHei" w:cs="Microsoft YaHei"/>
          <w:spacing w:val="13"/>
          <w:sz w:val="19"/>
          <w:szCs w:val="19"/>
        </w:rPr>
        <w:t>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3"/>
          <w:sz w:val="19"/>
          <w:szCs w:val="19"/>
        </w:rPr>
        <w:t>、杭州老板电器股份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有限公司</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1"/>
          <w:sz w:val="19"/>
          <w:szCs w:val="19"/>
        </w:rPr>
        <w:t>、迅达科技集团股份有限公司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、上海梦地工业自动控制系统股份有限公司</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sz w:val="19"/>
          <w:szCs w:val="19"/>
        </w:rPr>
        <w:t>。</w:t>
      </w:r>
    </w:p>
    <w:p>
      <w:pPr>
        <w:spacing w:before="68" w:line="207" w:lineRule="auto"/>
        <w:ind w:firstLine="419"/>
        <w:rPr>
          <w:rFonts w:ascii="Microsoft YaHei" w:eastAsia="Microsoft YaHei" w:hAnsi="Microsoft YaHei" w:cs="Microsoft YaHei"/>
          <w:sz w:val="19"/>
          <w:szCs w:val="19"/>
        </w:rPr>
      </w:pPr>
      <w:r>
        <mc:AlternateContent>
          <mc:Choice Requires="wps">
            <w:drawing>
              <wp:anchor distT="0" distB="0" distL="0" distR="0" simplePos="0" relativeHeight="251664384" behindDoc="0" locked="0" layoutInCell="1" allowOverlap="1">
                <wp:simplePos x="0" y="0"/>
                <wp:positionH relativeFrom="column">
                  <wp:posOffset>2640832</wp:posOffset>
                </wp:positionH>
                <wp:positionV relativeFrom="paragraph">
                  <wp:posOffset>-50277</wp:posOffset>
                </wp:positionV>
                <wp:extent cx="158114" cy="24066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8000000">
                          <a:off x="2640832" y="-50277"/>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8" type="#_x0000_t202" style="width:12.45pt;height:18.95pt;margin-top:-3.96pt;margin-left:207.94pt;mso-wrap-distance-bottom:0;mso-wrap-distance-left:0;mso-wrap-distance-right:0;mso-wrap-distance-top:0;position:absolute;rotation:300;v-text-anchor:top;z-index:251663360"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5"/>
          <w:sz w:val="19"/>
          <w:szCs w:val="19"/>
        </w:rPr>
        <w:t>本标准主要起草人 :赵自军</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、陈韶舜</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、钟家淞</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、郭海</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、潘翠景</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、张坤东</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、李军</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、徐国平</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w:t>
      </w:r>
      <w:r>
        <w:rPr>
          <w:rFonts w:ascii="Microsoft YaHei" w:eastAsia="Microsoft YaHei" w:hAnsi="Microsoft YaHei" w:cs="Microsoft YaHei"/>
          <w:spacing w:val="-6"/>
          <w:sz w:val="19"/>
          <w:szCs w:val="19"/>
        </w:rPr>
        <w:t>黄嘉文</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、庞智勇</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w w:val="99"/>
          <w:sz w:val="19"/>
          <w:szCs w:val="19"/>
        </w:rPr>
        <w:t>何明辉</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w w:val="99"/>
          <w:sz w:val="19"/>
          <w:szCs w:val="19"/>
        </w:rPr>
        <w:t>、吴伟良</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w w:val="99"/>
          <w:sz w:val="19"/>
          <w:szCs w:val="19"/>
        </w:rPr>
        <w:t>、伍斌强</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1"/>
          <w:w w:val="99"/>
          <w:sz w:val="19"/>
          <w:szCs w:val="19"/>
        </w:rPr>
        <w:t>、姜鸣</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w w:val="99"/>
          <w:sz w:val="19"/>
          <w:szCs w:val="19"/>
        </w:rPr>
        <w:t>、黎康有</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1"/>
          <w:w w:val="99"/>
          <w:sz w:val="19"/>
          <w:szCs w:val="19"/>
        </w:rPr>
        <w:t>、郭倩</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w w:val="99"/>
          <w:sz w:val="19"/>
          <w:szCs w:val="19"/>
        </w:rPr>
        <w:t>。</w:t>
      </w:r>
    </w:p>
    <w:p>
      <w:pPr>
        <w:spacing w:before="65" w:line="182"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本标准所代替标准的历次版本发布情况为</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8"/>
          <w:sz w:val="19"/>
          <w:szCs w:val="19"/>
        </w:rPr>
        <w:t>:</w:t>
      </w:r>
    </w:p>
    <w:p>
      <w:pPr>
        <w:pStyle w:val="BodyText"/>
        <w:spacing w:before="79" w:line="160" w:lineRule="auto"/>
        <w:ind w:left="626"/>
        <w:rPr>
          <w:rFonts w:ascii="Microsoft YaHei" w:eastAsia="Microsoft YaHei" w:hAnsi="Microsoft YaHei" w:cs="Microsoft YaHei"/>
        </w:rPr>
      </w:pPr>
      <w:r>
        <w:rPr>
          <w:b/>
          <w:bCs/>
          <w:spacing w:val="7"/>
          <w:position w:val="2"/>
        </w:rPr>
        <w:t>—</w:t>
      </w:r>
      <w:r>
        <w:rPr>
          <w:b/>
          <w:bCs/>
          <w:spacing w:val="-30"/>
          <w:position w:val="2"/>
        </w:rPr>
        <w:t xml:space="preserve"> </w:t>
      </w:r>
      <w:r>
        <w:rPr>
          <w:rFonts w:ascii="Microsoft YaHei" w:eastAsia="Microsoft YaHei" w:hAnsi="Microsoft YaHei" w:cs="Microsoft YaHei"/>
        </w:rPr>
        <w:t>CJ</w:t>
      </w:r>
      <w:r>
        <w:rPr>
          <w:rFonts w:ascii="Microsoft YaHei" w:eastAsia="Microsoft YaHei" w:hAnsi="Microsoft YaHei" w:cs="Microsoft YaHei"/>
          <w:spacing w:val="7"/>
        </w:rPr>
        <w:t>/T3075.</w:t>
      </w:r>
      <w:r>
        <w:rPr>
          <w:rFonts w:ascii="Microsoft YaHei" w:eastAsia="Microsoft YaHei" w:hAnsi="Microsoft YaHei" w:cs="Microsoft YaHei"/>
          <w:spacing w:val="-23"/>
        </w:rPr>
        <w:t xml:space="preserve"> </w:t>
      </w:r>
      <w:r>
        <w:rPr>
          <w:rFonts w:ascii="Microsoft YaHei" w:eastAsia="Microsoft YaHei" w:hAnsi="Microsoft YaHei" w:cs="Microsoft YaHei"/>
          <w:spacing w:val="7"/>
        </w:rPr>
        <w:t>1</w:t>
      </w:r>
      <w:r>
        <w:rPr>
          <w:rFonts w:ascii="Microsoft YaHei" w:eastAsia="Microsoft YaHei" w:hAnsi="Microsoft YaHei" w:cs="Microsoft YaHei"/>
          <w:spacing w:val="7"/>
          <w:position w:val="2"/>
        </w:rPr>
        <w:t>—</w:t>
      </w:r>
      <w:r>
        <w:rPr>
          <w:rFonts w:ascii="Microsoft YaHei" w:eastAsia="Microsoft YaHei" w:hAnsi="Microsoft YaHei" w:cs="Microsoft YaHei"/>
          <w:spacing w:val="-31"/>
          <w:position w:val="2"/>
        </w:rPr>
        <w:t xml:space="preserve"> </w:t>
      </w:r>
      <w:r>
        <w:rPr>
          <w:rFonts w:ascii="Microsoft YaHei" w:eastAsia="Microsoft YaHei" w:hAnsi="Microsoft YaHei" w:cs="Microsoft YaHei"/>
          <w:spacing w:val="7"/>
        </w:rPr>
        <w:t>1998;</w:t>
      </w:r>
    </w:p>
    <w:p>
      <w:pPr>
        <w:pStyle w:val="BodyText"/>
        <w:spacing w:before="77" w:line="161" w:lineRule="auto"/>
        <w:ind w:left="626"/>
        <w:rPr>
          <w:rFonts w:ascii="Microsoft YaHei" w:eastAsia="Microsoft YaHei" w:hAnsi="Microsoft YaHei" w:cs="Microsoft YaHei"/>
        </w:rPr>
      </w:pPr>
      <w:r>
        <w:rPr>
          <w:b/>
          <w:bCs/>
          <w:spacing w:val="6"/>
          <w:position w:val="2"/>
        </w:rPr>
        <w:t>—</w:t>
      </w:r>
      <w:r>
        <w:rPr>
          <w:b/>
          <w:bCs/>
          <w:spacing w:val="-23"/>
          <w:position w:val="2"/>
        </w:rPr>
        <w:t xml:space="preserve"> </w:t>
      </w:r>
      <w:r>
        <w:rPr>
          <w:rFonts w:ascii="Microsoft YaHei" w:eastAsia="Microsoft YaHei" w:hAnsi="Microsoft YaHei" w:cs="Microsoft YaHei"/>
        </w:rPr>
        <w:t>CJ</w:t>
      </w:r>
      <w:r>
        <w:rPr>
          <w:rFonts w:ascii="Microsoft YaHei" w:eastAsia="Microsoft YaHei" w:hAnsi="Microsoft YaHei" w:cs="Microsoft YaHei"/>
          <w:spacing w:val="6"/>
        </w:rPr>
        <w:t>/T3075.</w:t>
      </w:r>
      <w:r>
        <w:rPr>
          <w:rFonts w:ascii="Microsoft YaHei" w:eastAsia="Microsoft YaHei" w:hAnsi="Microsoft YaHei" w:cs="Microsoft YaHei"/>
          <w:spacing w:val="-27"/>
        </w:rPr>
        <w:t xml:space="preserve"> </w:t>
      </w:r>
      <w:r>
        <w:rPr>
          <w:rFonts w:ascii="Microsoft YaHei" w:eastAsia="Microsoft YaHei" w:hAnsi="Microsoft YaHei" w:cs="Microsoft YaHei"/>
          <w:spacing w:val="6"/>
        </w:rPr>
        <w:t>2</w:t>
      </w:r>
      <w:r>
        <w:rPr>
          <w:rFonts w:ascii="Microsoft YaHei" w:eastAsia="Microsoft YaHei" w:hAnsi="Microsoft YaHei" w:cs="Microsoft YaHei"/>
          <w:spacing w:val="6"/>
          <w:position w:val="2"/>
        </w:rPr>
        <w:t>—</w:t>
      </w:r>
      <w:r>
        <w:rPr>
          <w:rFonts w:ascii="Microsoft YaHei" w:eastAsia="Microsoft YaHei" w:hAnsi="Microsoft YaHei" w:cs="Microsoft YaHei"/>
          <w:spacing w:val="-31"/>
          <w:position w:val="2"/>
        </w:rPr>
        <w:t xml:space="preserve"> </w:t>
      </w:r>
      <w:r>
        <w:rPr>
          <w:rFonts w:ascii="Microsoft YaHei" w:eastAsia="Microsoft YaHei" w:hAnsi="Microsoft YaHei" w:cs="Microsoft YaHei"/>
          <w:spacing w:val="6"/>
        </w:rPr>
        <w:t>1998</w:t>
      </w:r>
      <w:r>
        <w:rPr>
          <w:rFonts w:ascii="Microsoft YaHei" w:eastAsia="Microsoft YaHei" w:hAnsi="Microsoft YaHei" w:cs="Microsoft YaHei"/>
          <w:spacing w:val="6"/>
          <w:position w:val="2"/>
        </w:rPr>
        <w:t>。</w:t>
      </w:r>
    </w:p>
    <w:p>
      <w:pPr>
        <w:spacing w:line="161" w:lineRule="auto"/>
        <w:rPr>
          <w:rFonts w:ascii="Microsoft YaHei" w:eastAsia="Microsoft YaHei" w:hAnsi="Microsoft YaHei" w:cs="Microsoft YaHei"/>
        </w:rPr>
        <w:sectPr>
          <w:footerReference w:type="default" r:id="rId5"/>
          <w:pgSz w:w="11906" w:h="16838"/>
          <w:pgMar w:top="1255" w:right="1271" w:bottom="1462" w:left="1351" w:header="0" w:footer="1276" w:gutter="0"/>
          <w:pgNumType w:start="6"/>
          <w:cols w:space="708"/>
        </w:sectPr>
      </w:pPr>
    </w:p>
    <w:p>
      <w:pPr>
        <w:spacing w:before="35" w:line="163" w:lineRule="auto"/>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479</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49" w:lineRule="auto"/>
        <w:rPr>
          <w:sz w:val="21"/>
        </w:rPr>
      </w:pPr>
    </w:p>
    <w:p>
      <w:pPr>
        <w:pStyle w:val="BodyText"/>
        <w:spacing w:line="350" w:lineRule="auto"/>
        <w:rPr>
          <w:sz w:val="21"/>
        </w:rPr>
      </w:pPr>
    </w:p>
    <w:p>
      <w:pPr>
        <w:spacing w:before="95" w:line="398" w:lineRule="exact"/>
        <w:ind w:left="2575"/>
        <w:rPr>
          <w:rFonts w:ascii="SimHei" w:eastAsia="SimHei" w:hAnsi="SimHei" w:cs="SimHei"/>
          <w:sz w:val="29"/>
          <w:szCs w:val="29"/>
        </w:rPr>
      </w:pPr>
      <w:r>
        <w:rPr>
          <w:rFonts w:ascii="SimHei" w:eastAsia="SimHei" w:hAnsi="SimHei" w:cs="SimHei"/>
          <w:spacing w:val="22"/>
          <w:position w:val="2"/>
          <w:sz w:val="29"/>
          <w:szCs w:val="29"/>
        </w:rPr>
        <w:t>燃气燃烧器具实验室技术通则</w:t>
      </w:r>
    </w:p>
    <w:p>
      <w:pPr>
        <w:pStyle w:val="BodyText"/>
        <w:spacing w:line="299" w:lineRule="auto"/>
        <w:rPr>
          <w:sz w:val="21"/>
        </w:rPr>
      </w:pPr>
    </w:p>
    <w:p>
      <w:pPr>
        <w:pStyle w:val="BodyText"/>
        <w:spacing w:line="299" w:lineRule="auto"/>
        <w:rPr>
          <w:sz w:val="21"/>
        </w:rPr>
      </w:pPr>
    </w:p>
    <w:p>
      <w:pPr>
        <w:spacing w:before="81" w:line="191" w:lineRule="auto"/>
        <w:ind w:left="24"/>
        <w:rPr>
          <w:rFonts w:ascii="SimHei" w:eastAsia="SimHei" w:hAnsi="SimHei" w:cs="SimHei"/>
          <w:sz w:val="19"/>
          <w:szCs w:val="19"/>
        </w:rPr>
      </w:pP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范围</w:t>
      </w:r>
    </w:p>
    <w:p>
      <w:pPr>
        <w:pStyle w:val="BodyText"/>
        <w:spacing w:line="292" w:lineRule="auto"/>
        <w:rPr>
          <w:sz w:val="21"/>
        </w:rPr>
      </w:pPr>
    </w:p>
    <w:p>
      <w:pPr>
        <w:spacing w:before="81" w:line="215" w:lineRule="auto"/>
        <w:ind w:right="47" w:firstLine="421"/>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本标准规定了燃气燃烧器具实验室(以下简称</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6"/>
          <w:sz w:val="19"/>
          <w:szCs w:val="19"/>
        </w:rPr>
        <w:t>:实验室)的术语和定义</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6"/>
          <w:sz w:val="19"/>
          <w:szCs w:val="19"/>
        </w:rPr>
        <w:t>、试验能力和条件</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6"/>
          <w:sz w:val="19"/>
          <w:szCs w:val="19"/>
        </w:rPr>
        <w:t>、试验仪器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设备</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9"/>
          <w:sz w:val="19"/>
          <w:szCs w:val="19"/>
        </w:rPr>
        <w:t>、燃气供应系统以及安全运行</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9"/>
          <w:sz w:val="19"/>
          <w:szCs w:val="19"/>
        </w:rPr>
        <w:t>。</w:t>
      </w:r>
    </w:p>
    <w:p>
      <w:pPr>
        <w:spacing w:before="85"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 xml:space="preserve">本标准适用于检验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16914界定的燃气燃烧器具</w:t>
      </w:r>
      <w:r>
        <w:rPr>
          <w:rFonts w:ascii="Microsoft YaHei" w:eastAsia="Microsoft YaHei" w:hAnsi="Microsoft YaHei" w:cs="Microsoft YaHei"/>
          <w:spacing w:val="17"/>
          <w:sz w:val="19"/>
          <w:szCs w:val="19"/>
        </w:rPr>
        <w:t>用实验室</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pStyle w:val="BodyText"/>
        <w:spacing w:line="327" w:lineRule="auto"/>
        <w:rPr>
          <w:sz w:val="21"/>
        </w:rPr>
      </w:pPr>
    </w:p>
    <w:p>
      <w:pPr>
        <w:spacing w:before="81" w:line="197" w:lineRule="auto"/>
        <w:rPr>
          <w:rFonts w:ascii="SimHei" w:eastAsia="SimHei" w:hAnsi="SimHei" w:cs="SimHei"/>
          <w:sz w:val="19"/>
          <w:szCs w:val="19"/>
        </w:rPr>
      </w:pPr>
      <w:r>
        <w:rPr>
          <w:rFonts w:ascii="Microsoft YaHei" w:eastAsia="Microsoft YaHei" w:hAnsi="Microsoft YaHei" w:cs="Microsoft YaHei"/>
          <w:spacing w:val="14"/>
          <w:position w:val="-2"/>
          <w:sz w:val="19"/>
          <w:szCs w:val="19"/>
        </w:rPr>
        <w:t xml:space="preserve">2   </w:t>
      </w:r>
      <w:r>
        <w:rPr>
          <w:rFonts w:ascii="SimHei" w:eastAsia="SimHei" w:hAnsi="SimHei" w:cs="SimHei"/>
          <w:spacing w:val="14"/>
          <w:sz w:val="19"/>
          <w:szCs w:val="19"/>
        </w:rPr>
        <w:t>规范性引用文件</w:t>
      </w:r>
    </w:p>
    <w:p>
      <w:pPr>
        <w:pStyle w:val="BodyText"/>
        <w:spacing w:line="288" w:lineRule="auto"/>
        <w:rPr>
          <w:sz w:val="21"/>
        </w:rPr>
      </w:pPr>
    </w:p>
    <w:p>
      <w:pPr>
        <w:spacing w:before="82" w:line="214" w:lineRule="auto"/>
        <w:ind w:left="4" w:right="47" w:firstLine="419"/>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下列文件对于本文件的应用是必不可少的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0"/>
          <w:sz w:val="19"/>
          <w:szCs w:val="19"/>
        </w:rPr>
        <w:t>。凡是注日期的引用文件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,仅注日期的版本适用于本文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件</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8"/>
          <w:sz w:val="19"/>
          <w:szCs w:val="19"/>
        </w:rPr>
        <w:t>。凡是不注日期的引用文件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,其最新版本(包括所有的修改单)适用于本文件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91" w:line="183"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2894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9"/>
          <w:sz w:val="19"/>
          <w:szCs w:val="19"/>
        </w:rPr>
        <w:t>安全标志及其使用导则</w:t>
      </w:r>
    </w:p>
    <w:p>
      <w:pPr>
        <w:spacing w:before="75"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GB</w:t>
      </w:r>
      <w:r>
        <w:rPr>
          <w:rFonts w:ascii="Microsoft YaHei" w:eastAsia="Microsoft YaHei" w:hAnsi="Microsoft YaHei" w:cs="Microsoft YaHei"/>
          <w:spacing w:val="15"/>
          <w:position w:val="-2"/>
          <w:sz w:val="19"/>
          <w:szCs w:val="19"/>
        </w:rPr>
        <w:t>3836.</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5"/>
          <w:position w:val="-2"/>
          <w:sz w:val="19"/>
          <w:szCs w:val="19"/>
        </w:rPr>
        <w:t>14</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5"/>
          <w:sz w:val="19"/>
          <w:szCs w:val="19"/>
        </w:rPr>
        <w:t>爆炸性气体环境用电气设备   第</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5"/>
          <w:sz w:val="19"/>
          <w:szCs w:val="19"/>
        </w:rPr>
        <w:t>14部分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危险场所分类</w:t>
      </w:r>
    </w:p>
    <w:p>
      <w:pPr>
        <w:spacing w:before="64"/>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4962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9"/>
          <w:sz w:val="19"/>
          <w:szCs w:val="19"/>
        </w:rPr>
        <w:t>氢气使用安全技术规程</w:t>
      </w:r>
    </w:p>
    <w:p>
      <w:pPr>
        <w:spacing w:line="18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7144</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9"/>
          <w:sz w:val="19"/>
          <w:szCs w:val="19"/>
        </w:rPr>
        <w:t>气瓶颜色标志</w:t>
      </w:r>
    </w:p>
    <w:p>
      <w:pPr>
        <w:spacing w:before="76" w:line="231"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GB</w:t>
      </w:r>
      <w:r>
        <w:rPr>
          <w:rFonts w:ascii="Microsoft YaHei" w:eastAsia="Microsoft YaHei" w:hAnsi="Microsoft YaHei" w:cs="Microsoft YaHei"/>
          <w:spacing w:val="14"/>
          <w:position w:val="-2"/>
          <w:sz w:val="19"/>
          <w:szCs w:val="19"/>
        </w:rPr>
        <w:t>7231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4"/>
          <w:sz w:val="19"/>
          <w:szCs w:val="19"/>
        </w:rPr>
        <w:t>工业管道的基本识别色</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4"/>
          <w:sz w:val="19"/>
          <w:szCs w:val="19"/>
        </w:rPr>
        <w:t>、识别符号和安全标识</w:t>
      </w:r>
    </w:p>
    <w:p>
      <w:pPr>
        <w:spacing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/T13611</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9"/>
          <w:sz w:val="19"/>
          <w:szCs w:val="19"/>
        </w:rPr>
        <w:t>城镇燃气分类和基本特性</w:t>
      </w:r>
    </w:p>
    <w:p>
      <w:pPr>
        <w:spacing w:line="86" w:lineRule="exact"/>
      </w:pPr>
    </w:p>
    <w:tbl>
      <w:tblPr>
        <w:tblStyle w:val="TableNormal0"/>
        <w:tblW w:w="6940" w:type="dxa"/>
        <w:tblInd w:w="424" w:type="dxa"/>
        <w:tblBorders>
          <w:top w:val="nil"/>
          <w:left w:val="nil"/>
          <w:bottom w:val="nil"/>
          <w:right w:val="nil"/>
          <w:insideH w:val="nil"/>
          <w:insideV w:val="nil"/>
        </w:tblBorders>
        <w:tblLayout w:type="fixed"/>
      </w:tblPr>
      <w:tblGrid>
        <w:gridCol w:w="1431"/>
        <w:gridCol w:w="1011"/>
        <w:gridCol w:w="1678"/>
        <w:gridCol w:w="2820"/>
      </w:tblGrid>
      <w:tr>
        <w:tblPrEx>
          <w:tblW w:w="6940" w:type="dxa"/>
          <w:tblInd w:w="424" w:type="dxa"/>
          <w:tblBorders>
            <w:top w:val="nil"/>
            <w:left w:val="nil"/>
            <w:bottom w:val="nil"/>
            <w:right w:val="nil"/>
            <w:insideH w:val="nil"/>
            <w:insideV w:val="nil"/>
          </w:tblBorders>
          <w:tblLayout w:type="fixed"/>
        </w:tblPrEx>
        <w:trPr>
          <w:trHeight w:val="259"/>
        </w:trPr>
        <w:tc>
          <w:tcPr>
            <w:tcW w:w="1431" w:type="dxa"/>
            <w:vAlign w:val="top"/>
          </w:tcPr>
          <w:p>
            <w:pPr>
              <w:pStyle w:val="TableText"/>
              <w:spacing w:before="9" w:line="169" w:lineRule="auto"/>
            </w:pPr>
            <w:r>
              <w:rPr>
                <w:position w:val="-1"/>
              </w:rPr>
              <w:t>GB</w:t>
            </w:r>
            <w:r>
              <w:rPr>
                <w:spacing w:val="15"/>
                <w:position w:val="-1"/>
              </w:rPr>
              <w:t>/T17626</w:t>
            </w:r>
            <w:r>
              <w:rPr>
                <w:spacing w:val="15"/>
                <w:position w:val="-2"/>
              </w:rPr>
              <w:t>.</w:t>
            </w:r>
            <w:r>
              <w:rPr>
                <w:spacing w:val="-26"/>
                <w:position w:val="-2"/>
              </w:rPr>
              <w:t xml:space="preserve"> </w:t>
            </w:r>
            <w:r>
              <w:rPr>
                <w:spacing w:val="15"/>
                <w:position w:val="-2"/>
              </w:rPr>
              <w:t>2</w:t>
            </w:r>
          </w:p>
        </w:tc>
        <w:tc>
          <w:tcPr>
            <w:tcW w:w="1011" w:type="dxa"/>
            <w:vAlign w:val="top"/>
          </w:tcPr>
          <w:p>
            <w:pPr>
              <w:pStyle w:val="TableText"/>
              <w:spacing w:line="181" w:lineRule="auto"/>
              <w:ind w:left="97"/>
            </w:pPr>
            <w:r>
              <w:rPr>
                <w:spacing w:val="10"/>
              </w:rPr>
              <w:t>电磁兼容</w:t>
            </w:r>
          </w:p>
        </w:tc>
        <w:tc>
          <w:tcPr>
            <w:tcW w:w="1678" w:type="dxa"/>
            <w:vAlign w:val="top"/>
          </w:tcPr>
          <w:p>
            <w:pPr>
              <w:pStyle w:val="TableText"/>
              <w:spacing w:line="180" w:lineRule="auto"/>
              <w:ind w:left="114"/>
            </w:pPr>
            <w:r>
              <w:rPr>
                <w:spacing w:val="17"/>
              </w:rPr>
              <w:t>试验和测量技术</w:t>
            </w:r>
          </w:p>
        </w:tc>
        <w:tc>
          <w:tcPr>
            <w:tcW w:w="2820" w:type="dxa"/>
            <w:vAlign w:val="top"/>
          </w:tcPr>
          <w:p>
            <w:pPr>
              <w:pStyle w:val="TableText"/>
              <w:spacing w:line="181" w:lineRule="auto"/>
              <w:ind w:left="115"/>
            </w:pPr>
            <w:r>
              <w:rPr>
                <w:spacing w:val="17"/>
              </w:rPr>
              <w:t>静电放电抗扰度试验</w:t>
            </w:r>
          </w:p>
        </w:tc>
      </w:tr>
      <w:tr>
        <w:tblPrEx>
          <w:tblW w:w="6940" w:type="dxa"/>
          <w:tblInd w:w="424" w:type="dxa"/>
          <w:tblLayout w:type="fixed"/>
        </w:tblPrEx>
        <w:trPr>
          <w:trHeight w:val="334"/>
        </w:trPr>
        <w:tc>
          <w:tcPr>
            <w:tcW w:w="1431" w:type="dxa"/>
            <w:vAlign w:val="top"/>
          </w:tcPr>
          <w:p>
            <w:pPr>
              <w:pStyle w:val="TableText"/>
              <w:spacing w:before="84" w:line="169" w:lineRule="auto"/>
            </w:pPr>
            <w:r>
              <w:rPr>
                <w:position w:val="-1"/>
              </w:rPr>
              <w:t>GB</w:t>
            </w:r>
            <w:r>
              <w:rPr>
                <w:spacing w:val="15"/>
                <w:position w:val="-1"/>
              </w:rPr>
              <w:t>/T17626</w:t>
            </w:r>
            <w:r>
              <w:rPr>
                <w:spacing w:val="15"/>
                <w:position w:val="-2"/>
              </w:rPr>
              <w:t>.</w:t>
            </w:r>
            <w:r>
              <w:rPr>
                <w:spacing w:val="-26"/>
                <w:position w:val="-2"/>
              </w:rPr>
              <w:t xml:space="preserve"> </w:t>
            </w:r>
            <w:r>
              <w:rPr>
                <w:spacing w:val="15"/>
                <w:position w:val="-2"/>
              </w:rPr>
              <w:t>3</w:t>
            </w:r>
          </w:p>
        </w:tc>
        <w:tc>
          <w:tcPr>
            <w:tcW w:w="1011" w:type="dxa"/>
            <w:vAlign w:val="top"/>
          </w:tcPr>
          <w:p>
            <w:pPr>
              <w:pStyle w:val="TableText"/>
              <w:spacing w:before="75" w:line="181" w:lineRule="auto"/>
              <w:ind w:left="97"/>
            </w:pPr>
            <w:r>
              <w:rPr>
                <w:spacing w:val="10"/>
              </w:rPr>
              <w:t>电磁兼容</w:t>
            </w:r>
          </w:p>
        </w:tc>
        <w:tc>
          <w:tcPr>
            <w:tcW w:w="1678" w:type="dxa"/>
            <w:vAlign w:val="top"/>
          </w:tcPr>
          <w:p>
            <w:pPr>
              <w:pStyle w:val="TableText"/>
              <w:spacing w:before="75" w:line="180" w:lineRule="auto"/>
              <w:ind w:left="114"/>
            </w:pPr>
            <w:r>
              <w:rPr>
                <w:spacing w:val="17"/>
              </w:rPr>
              <w:t>试验和测量技术</w:t>
            </w:r>
          </w:p>
        </w:tc>
        <w:tc>
          <w:tcPr>
            <w:tcW w:w="2820" w:type="dxa"/>
            <w:vAlign w:val="top"/>
          </w:tcPr>
          <w:p>
            <w:pPr>
              <w:pStyle w:val="TableText"/>
              <w:spacing w:before="73" w:line="182" w:lineRule="auto"/>
              <w:ind w:left="115"/>
            </w:pPr>
            <w:r>
              <w:rPr>
                <w:spacing w:val="17"/>
              </w:rPr>
              <w:t>射频电磁场辐射抗扰度试验</w:t>
            </w:r>
          </w:p>
        </w:tc>
      </w:tr>
      <w:tr>
        <w:tblPrEx>
          <w:tblW w:w="6940" w:type="dxa"/>
          <w:tblInd w:w="424" w:type="dxa"/>
          <w:tblLayout w:type="fixed"/>
        </w:tblPrEx>
        <w:trPr>
          <w:trHeight w:val="334"/>
        </w:trPr>
        <w:tc>
          <w:tcPr>
            <w:tcW w:w="1431" w:type="dxa"/>
            <w:vAlign w:val="top"/>
          </w:tcPr>
          <w:p>
            <w:pPr>
              <w:pStyle w:val="TableText"/>
              <w:spacing w:before="84" w:line="169" w:lineRule="auto"/>
            </w:pPr>
            <w:r>
              <w:rPr>
                <w:position w:val="-1"/>
              </w:rPr>
              <w:t>GB</w:t>
            </w:r>
            <w:r>
              <w:rPr>
                <w:spacing w:val="15"/>
                <w:position w:val="-1"/>
              </w:rPr>
              <w:t>/T17626</w:t>
            </w:r>
            <w:r>
              <w:rPr>
                <w:spacing w:val="15"/>
                <w:position w:val="-2"/>
              </w:rPr>
              <w:t>.</w:t>
            </w:r>
            <w:r>
              <w:rPr>
                <w:spacing w:val="-24"/>
                <w:position w:val="-2"/>
              </w:rPr>
              <w:t xml:space="preserve"> </w:t>
            </w:r>
            <w:r>
              <w:rPr>
                <w:spacing w:val="15"/>
                <w:position w:val="-2"/>
              </w:rPr>
              <w:t>4</w:t>
            </w:r>
          </w:p>
        </w:tc>
        <w:tc>
          <w:tcPr>
            <w:tcW w:w="1011" w:type="dxa"/>
            <w:vAlign w:val="top"/>
          </w:tcPr>
          <w:p>
            <w:pPr>
              <w:pStyle w:val="TableText"/>
              <w:spacing w:before="75" w:line="181" w:lineRule="auto"/>
              <w:ind w:left="97"/>
            </w:pPr>
            <w:r>
              <w:rPr>
                <w:spacing w:val="10"/>
              </w:rPr>
              <w:t>电磁兼容</w:t>
            </w:r>
          </w:p>
        </w:tc>
        <w:tc>
          <w:tcPr>
            <w:tcW w:w="1678" w:type="dxa"/>
            <w:vAlign w:val="top"/>
          </w:tcPr>
          <w:p>
            <w:pPr>
              <w:pStyle w:val="TableText"/>
              <w:spacing w:before="74" w:line="180" w:lineRule="auto"/>
              <w:ind w:left="114"/>
            </w:pPr>
            <w:r>
              <w:rPr>
                <w:spacing w:val="17"/>
              </w:rPr>
              <w:t>试验和测量技术</w:t>
            </w:r>
          </w:p>
        </w:tc>
        <w:tc>
          <w:tcPr>
            <w:tcW w:w="2820" w:type="dxa"/>
            <w:vAlign w:val="top"/>
          </w:tcPr>
          <w:p>
            <w:pPr>
              <w:pStyle w:val="TableText"/>
              <w:spacing w:before="73" w:line="182" w:lineRule="auto"/>
              <w:jc w:val="right"/>
            </w:pPr>
            <w:r>
              <w:rPr>
                <w:spacing w:val="16"/>
              </w:rPr>
              <w:t>电快速瞬变脉冲群抗扰度试验</w:t>
            </w:r>
          </w:p>
        </w:tc>
      </w:tr>
      <w:tr>
        <w:tblPrEx>
          <w:tblW w:w="6940" w:type="dxa"/>
          <w:tblInd w:w="424" w:type="dxa"/>
          <w:tblLayout w:type="fixed"/>
        </w:tblPrEx>
        <w:trPr>
          <w:trHeight w:val="334"/>
        </w:trPr>
        <w:tc>
          <w:tcPr>
            <w:tcW w:w="1431" w:type="dxa"/>
            <w:vAlign w:val="top"/>
          </w:tcPr>
          <w:p>
            <w:pPr>
              <w:pStyle w:val="TableText"/>
              <w:spacing w:before="84" w:line="169" w:lineRule="auto"/>
            </w:pPr>
            <w:r>
              <w:rPr>
                <w:position w:val="-1"/>
              </w:rPr>
              <w:t>GB</w:t>
            </w:r>
            <w:r>
              <w:rPr>
                <w:spacing w:val="15"/>
                <w:position w:val="-1"/>
              </w:rPr>
              <w:t>/T17626</w:t>
            </w:r>
            <w:r>
              <w:rPr>
                <w:spacing w:val="15"/>
                <w:position w:val="-2"/>
              </w:rPr>
              <w:t>.</w:t>
            </w:r>
            <w:r>
              <w:rPr>
                <w:spacing w:val="-26"/>
                <w:position w:val="-2"/>
              </w:rPr>
              <w:t xml:space="preserve"> </w:t>
            </w:r>
            <w:r>
              <w:rPr>
                <w:spacing w:val="15"/>
                <w:position w:val="-2"/>
              </w:rPr>
              <w:t>5</w:t>
            </w:r>
          </w:p>
        </w:tc>
        <w:tc>
          <w:tcPr>
            <w:tcW w:w="1011" w:type="dxa"/>
            <w:vAlign w:val="top"/>
          </w:tcPr>
          <w:p>
            <w:pPr>
              <w:pStyle w:val="TableText"/>
              <w:spacing w:before="75" w:line="181" w:lineRule="auto"/>
              <w:ind w:left="97"/>
            </w:pPr>
            <w:r>
              <w:rPr>
                <w:spacing w:val="10"/>
              </w:rPr>
              <w:t>电磁兼容</w:t>
            </w:r>
          </w:p>
        </w:tc>
        <w:tc>
          <w:tcPr>
            <w:tcW w:w="1678" w:type="dxa"/>
            <w:vAlign w:val="top"/>
          </w:tcPr>
          <w:p>
            <w:pPr>
              <w:pStyle w:val="TableText"/>
              <w:spacing w:before="74" w:line="180" w:lineRule="auto"/>
              <w:ind w:left="114"/>
            </w:pPr>
            <w:r>
              <mc:AlternateContent>
                <mc:Choice Requires="wps">
                  <w:drawing>
                    <wp:anchor distT="0" distB="0" distL="0" distR="0" simplePos="0" relativeHeight="251666432" behindDoc="0" locked="0" layoutInCell="1" allowOverlap="1">
                      <wp:simplePos x="0" y="0"/>
                      <wp:positionH relativeFrom="column">
                        <wp:posOffset>822258</wp:posOffset>
                      </wp:positionH>
                      <wp:positionV relativeFrom="paragraph">
                        <wp:posOffset>88432</wp:posOffset>
                      </wp:positionV>
                      <wp:extent cx="158114" cy="240665"/>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8000000">
                                <a:off x="822258" y="88432"/>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9" type="#_x0000_t202" style="width:12.45pt;height:18.95pt;margin-top:6.96pt;margin-left:64.74pt;mso-wrap-distance-bottom:0;mso-wrap-distance-left:0;mso-wrap-distance-right:0;mso-wrap-distance-top:0;position:absolute;rotation:300;v-text-anchor:top;z-index:251665408"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spacing w:val="17"/>
              </w:rPr>
              <w:t>试验和测量技术</w:t>
            </w:r>
          </w:p>
        </w:tc>
        <w:tc>
          <w:tcPr>
            <w:tcW w:w="2820" w:type="dxa"/>
            <w:vAlign w:val="top"/>
          </w:tcPr>
          <w:p>
            <w:pPr>
              <w:pStyle w:val="TableText"/>
              <w:spacing w:before="72" w:line="179" w:lineRule="auto"/>
              <w:ind w:left="119"/>
            </w:pPr>
            <w:r>
              <w:rPr>
                <w:spacing w:val="21"/>
              </w:rPr>
              <w:t>浪涌(冲击)抗扰度试验</w:t>
            </w:r>
          </w:p>
        </w:tc>
      </w:tr>
      <w:tr>
        <w:tblPrEx>
          <w:tblW w:w="6940" w:type="dxa"/>
          <w:tblInd w:w="424" w:type="dxa"/>
          <w:tblLayout w:type="fixed"/>
        </w:tblPrEx>
        <w:trPr>
          <w:trHeight w:val="334"/>
        </w:trPr>
        <w:tc>
          <w:tcPr>
            <w:tcW w:w="1431" w:type="dxa"/>
            <w:vAlign w:val="top"/>
          </w:tcPr>
          <w:p>
            <w:pPr>
              <w:pStyle w:val="TableText"/>
              <w:spacing w:before="84" w:line="169" w:lineRule="auto"/>
            </w:pPr>
            <w:r>
              <w:rPr>
                <w:position w:val="-1"/>
              </w:rPr>
              <w:t>GB</w:t>
            </w:r>
            <w:r>
              <w:rPr>
                <w:spacing w:val="15"/>
                <w:position w:val="-1"/>
              </w:rPr>
              <w:t>/T17626</w:t>
            </w:r>
            <w:r>
              <w:rPr>
                <w:spacing w:val="15"/>
                <w:position w:val="-2"/>
              </w:rPr>
              <w:t>.</w:t>
            </w:r>
            <w:r>
              <w:rPr>
                <w:spacing w:val="-24"/>
                <w:position w:val="-2"/>
              </w:rPr>
              <w:t xml:space="preserve"> </w:t>
            </w:r>
            <w:r>
              <w:rPr>
                <w:spacing w:val="15"/>
                <w:position w:val="-2"/>
              </w:rPr>
              <w:t>6</w:t>
            </w:r>
          </w:p>
        </w:tc>
        <w:tc>
          <w:tcPr>
            <w:tcW w:w="1011" w:type="dxa"/>
            <w:vAlign w:val="top"/>
          </w:tcPr>
          <w:p>
            <w:pPr>
              <w:pStyle w:val="TableText"/>
              <w:spacing w:before="74" w:line="181" w:lineRule="auto"/>
              <w:ind w:left="97"/>
            </w:pPr>
            <w:r>
              <w:rPr>
                <w:spacing w:val="10"/>
              </w:rPr>
              <w:t>电磁兼容</w:t>
            </w:r>
          </w:p>
        </w:tc>
        <w:tc>
          <w:tcPr>
            <w:tcW w:w="1678" w:type="dxa"/>
            <w:vAlign w:val="top"/>
          </w:tcPr>
          <w:p>
            <w:pPr>
              <w:pStyle w:val="TableText"/>
              <w:spacing w:before="74" w:line="180" w:lineRule="auto"/>
              <w:ind w:left="114"/>
            </w:pPr>
            <w:r>
              <w:rPr>
                <w:spacing w:val="17"/>
              </w:rPr>
              <w:t>试验和测量技术</w:t>
            </w:r>
          </w:p>
        </w:tc>
        <w:tc>
          <w:tcPr>
            <w:tcW w:w="2820" w:type="dxa"/>
            <w:vAlign w:val="top"/>
          </w:tcPr>
          <w:p>
            <w:pPr>
              <w:pStyle w:val="TableText"/>
              <w:spacing w:before="72" w:line="183" w:lineRule="auto"/>
              <w:jc w:val="right"/>
            </w:pPr>
            <w:r>
              <w:rPr>
                <w:spacing w:val="18"/>
              </w:rPr>
              <w:t>射频场感应的传导骚扰抗扰度</w:t>
            </w:r>
          </w:p>
        </w:tc>
      </w:tr>
      <w:tr>
        <w:tblPrEx>
          <w:tblW w:w="6940" w:type="dxa"/>
          <w:tblInd w:w="424" w:type="dxa"/>
          <w:tblLayout w:type="fixed"/>
        </w:tblPrEx>
        <w:trPr>
          <w:trHeight w:val="259"/>
        </w:trPr>
        <w:tc>
          <w:tcPr>
            <w:tcW w:w="1431" w:type="dxa"/>
            <w:vAlign w:val="top"/>
          </w:tcPr>
          <w:p>
            <w:pPr>
              <w:pStyle w:val="TableText"/>
              <w:spacing w:before="83" w:line="166" w:lineRule="exact"/>
            </w:pPr>
            <w:r>
              <w:rPr>
                <w:position w:val="-1"/>
              </w:rPr>
              <w:t>GB</w:t>
            </w:r>
            <w:r>
              <w:rPr>
                <w:spacing w:val="15"/>
                <w:position w:val="-1"/>
              </w:rPr>
              <w:t>/T17626</w:t>
            </w:r>
            <w:r>
              <w:rPr>
                <w:spacing w:val="15"/>
                <w:position w:val="-2"/>
              </w:rPr>
              <w:t>.</w:t>
            </w:r>
            <w:r>
              <w:rPr>
                <w:spacing w:val="-24"/>
                <w:position w:val="-2"/>
              </w:rPr>
              <w:t xml:space="preserve"> </w:t>
            </w:r>
            <w:r>
              <w:rPr>
                <w:spacing w:val="15"/>
                <w:position w:val="-2"/>
              </w:rPr>
              <w:t>8</w:t>
            </w:r>
          </w:p>
        </w:tc>
        <w:tc>
          <w:tcPr>
            <w:tcW w:w="1011" w:type="dxa"/>
            <w:vAlign w:val="top"/>
          </w:tcPr>
          <w:p>
            <w:pPr>
              <w:pStyle w:val="TableText"/>
              <w:spacing w:before="73" w:line="176" w:lineRule="exact"/>
              <w:ind w:left="97"/>
            </w:pPr>
            <w:r>
              <w:rPr>
                <w:spacing w:val="10"/>
                <w:position w:val="-1"/>
              </w:rPr>
              <w:t>电磁兼容</w:t>
            </w:r>
          </w:p>
        </w:tc>
        <w:tc>
          <w:tcPr>
            <w:tcW w:w="1678" w:type="dxa"/>
            <w:vAlign w:val="top"/>
          </w:tcPr>
          <w:p>
            <w:pPr>
              <w:pStyle w:val="TableText"/>
              <w:spacing w:before="74" w:line="175" w:lineRule="exact"/>
              <w:ind w:left="114"/>
            </w:pPr>
            <w:r>
              <w:rPr>
                <w:spacing w:val="17"/>
                <w:position w:val="-1"/>
              </w:rPr>
              <w:t>试验和测量技术</w:t>
            </w:r>
          </w:p>
        </w:tc>
        <w:tc>
          <w:tcPr>
            <w:tcW w:w="2820" w:type="dxa"/>
            <w:vAlign w:val="top"/>
          </w:tcPr>
          <w:p>
            <w:pPr>
              <w:pStyle w:val="TableText"/>
              <w:spacing w:before="74" w:line="175" w:lineRule="exact"/>
              <w:ind w:left="115"/>
            </w:pPr>
            <w:r>
              <w:rPr>
                <w:spacing w:val="17"/>
                <w:position w:val="-1"/>
              </w:rPr>
              <w:t>工频磁场抗扰度试验</w:t>
            </w:r>
          </w:p>
        </w:tc>
      </w:tr>
    </w:tbl>
    <w:p>
      <w:pPr>
        <w:spacing w:before="146" w:line="178"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1"/>
          <w:position w:val="-1"/>
          <w:sz w:val="19"/>
          <w:szCs w:val="19"/>
        </w:rPr>
        <w:t>/T17626</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11"/>
          <w:position w:val="-2"/>
          <w:sz w:val="19"/>
          <w:szCs w:val="19"/>
        </w:rPr>
        <w:t xml:space="preserve">11   </w:t>
      </w:r>
      <w:r>
        <w:rPr>
          <w:rFonts w:ascii="Microsoft YaHei" w:eastAsia="Microsoft YaHei" w:hAnsi="Microsoft YaHei" w:cs="Microsoft YaHei"/>
          <w:spacing w:val="11"/>
          <w:sz w:val="19"/>
          <w:szCs w:val="19"/>
        </w:rPr>
        <w:t>电磁兼容    试验和测量技术    电压暂降</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、短时中断和</w:t>
      </w:r>
      <w:r>
        <w:rPr>
          <w:rFonts w:ascii="Microsoft YaHei" w:eastAsia="Microsoft YaHei" w:hAnsi="Microsoft YaHei" w:cs="Microsoft YaHei"/>
          <w:spacing w:val="10"/>
          <w:sz w:val="19"/>
          <w:szCs w:val="19"/>
        </w:rPr>
        <w:t>电压变化的抗扰度试验</w:t>
      </w:r>
    </w:p>
    <w:p>
      <w:pPr>
        <w:spacing w:before="64"/>
        <w:ind w:left="424"/>
        <w:rPr>
          <w:rFonts w:ascii="Microsoft YaHei" w:eastAsia="Microsoft YaHei" w:hAnsi="Microsoft YaHei" w:cs="Microsoft YaHei"/>
          <w:sz w:val="19"/>
          <w:szCs w:val="19"/>
        </w:rPr>
        <w:sectPr>
          <w:footerReference w:type="default" r:id="rId6"/>
          <w:pgSz w:w="11906" w:h="16838"/>
          <w:pgMar w:top="1255" w:right="1301" w:bottom="1448" w:left="1349" w:header="0" w:footer="1260" w:gutter="0"/>
          <w:pgNumType w:start="7"/>
          <w:cols w:space="708"/>
        </w:sect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8"/>
          <w:position w:val="-1"/>
          <w:sz w:val="19"/>
          <w:szCs w:val="19"/>
        </w:rPr>
        <w:t>18218</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8"/>
          <w:sz w:val="19"/>
          <w:szCs w:val="19"/>
        </w:rPr>
        <w:t>危险化学品重大危险源辨识</w:t>
      </w:r>
    </w:p>
    <w:p>
      <w:pPr>
        <w:spacing w:line="213"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9"/>
          <w:position w:val="-1"/>
          <w:sz w:val="19"/>
          <w:szCs w:val="19"/>
        </w:rPr>
        <w:t>25034</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9"/>
          <w:position w:val="-1"/>
          <w:sz w:val="19"/>
          <w:szCs w:val="19"/>
        </w:rPr>
        <w:t>2010</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9"/>
          <w:position w:val="1"/>
          <w:sz w:val="19"/>
          <w:szCs w:val="19"/>
        </w:rPr>
        <w:t>燃气采暖热水炉</w:t>
      </w:r>
    </w:p>
    <w:p>
      <w:pPr>
        <w:spacing w:before="34" w:line="183"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8"/>
          <w:position w:val="-1"/>
          <w:sz w:val="19"/>
          <w:szCs w:val="19"/>
        </w:rPr>
        <w:t>50019</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8"/>
          <w:sz w:val="19"/>
          <w:szCs w:val="19"/>
        </w:rPr>
        <w:t>采暖通风与空气调节设计规范</w:t>
      </w:r>
    </w:p>
    <w:p>
      <w:pPr>
        <w:spacing w:line="75" w:lineRule="exact"/>
      </w:pPr>
    </w:p>
    <w:tbl>
      <w:tblPr>
        <w:tblStyle w:val="TableNormal1"/>
        <w:tblW w:w="5467" w:type="dxa"/>
        <w:tblInd w:w="424" w:type="dxa"/>
        <w:tblBorders>
          <w:top w:val="nil"/>
          <w:left w:val="nil"/>
          <w:bottom w:val="nil"/>
          <w:right w:val="nil"/>
          <w:insideH w:val="nil"/>
          <w:insideV w:val="nil"/>
        </w:tblBorders>
        <w:tblLayout w:type="fixed"/>
      </w:tblPr>
      <w:tblGrid>
        <w:gridCol w:w="996"/>
        <w:gridCol w:w="4471"/>
      </w:tblGrid>
      <w:tr>
        <w:tblPrEx>
          <w:tblW w:w="5467" w:type="dxa"/>
          <w:tblInd w:w="424" w:type="dxa"/>
          <w:tblBorders>
            <w:top w:val="nil"/>
            <w:left w:val="nil"/>
            <w:bottom w:val="nil"/>
            <w:right w:val="nil"/>
            <w:insideH w:val="nil"/>
            <w:insideV w:val="nil"/>
          </w:tblBorders>
          <w:tblLayout w:type="fixed"/>
        </w:tblPrEx>
        <w:trPr>
          <w:trHeight w:val="260"/>
        </w:trPr>
        <w:tc>
          <w:tcPr>
            <w:tcW w:w="996" w:type="dxa"/>
            <w:vAlign w:val="top"/>
          </w:tcPr>
          <w:p>
            <w:pPr>
              <w:pStyle w:val="TableText"/>
              <w:spacing w:before="22" w:line="167" w:lineRule="auto"/>
            </w:pPr>
            <w:r>
              <w:rPr>
                <w:position w:val="-1"/>
              </w:rPr>
              <w:t>GB</w:t>
            </w:r>
            <w:r>
              <w:rPr>
                <w:spacing w:val="19"/>
                <w:position w:val="-1"/>
              </w:rPr>
              <w:t>50028</w:t>
            </w:r>
          </w:p>
        </w:tc>
        <w:tc>
          <w:tcPr>
            <w:tcW w:w="4471" w:type="dxa"/>
            <w:vAlign w:val="top"/>
          </w:tcPr>
          <w:p>
            <w:pPr>
              <w:pStyle w:val="TableText"/>
              <w:spacing w:before="1" w:line="182" w:lineRule="auto"/>
              <w:ind w:left="90"/>
            </w:pPr>
            <w:r>
              <w:rPr>
                <w:spacing w:val="17"/>
              </w:rPr>
              <w:t>城镇燃气设计规范</w:t>
            </w:r>
          </w:p>
        </w:tc>
      </w:tr>
      <w:tr>
        <w:tblPrEx>
          <w:tblW w:w="5467" w:type="dxa"/>
          <w:tblInd w:w="424" w:type="dxa"/>
          <w:tblLayout w:type="fixed"/>
        </w:tblPrEx>
        <w:trPr>
          <w:trHeight w:val="333"/>
        </w:trPr>
        <w:tc>
          <w:tcPr>
            <w:tcW w:w="996" w:type="dxa"/>
            <w:vAlign w:val="top"/>
          </w:tcPr>
          <w:p>
            <w:pPr>
              <w:pStyle w:val="TableText"/>
              <w:spacing w:before="96" w:line="167" w:lineRule="auto"/>
            </w:pPr>
            <w:r>
              <w:rPr>
                <w:position w:val="-1"/>
              </w:rPr>
              <w:t>GB</w:t>
            </w:r>
            <w:r>
              <w:rPr>
                <w:spacing w:val="19"/>
                <w:position w:val="-1"/>
              </w:rPr>
              <w:t>50058</w:t>
            </w:r>
          </w:p>
        </w:tc>
        <w:tc>
          <w:tcPr>
            <w:tcW w:w="4471" w:type="dxa"/>
            <w:vAlign w:val="top"/>
          </w:tcPr>
          <w:p>
            <w:pPr>
              <w:pStyle w:val="TableText"/>
              <w:spacing w:before="73" w:line="182" w:lineRule="auto"/>
              <w:ind w:left="88"/>
            </w:pPr>
            <w:r>
              <w:rPr>
                <w:spacing w:val="18"/>
              </w:rPr>
              <w:t>爆炸危险环境电力装置设计规范</w:t>
            </w:r>
          </w:p>
        </w:tc>
      </w:tr>
      <w:tr>
        <w:tblPrEx>
          <w:tblW w:w="5467" w:type="dxa"/>
          <w:tblInd w:w="424" w:type="dxa"/>
          <w:tblLayout w:type="fixed"/>
        </w:tblPrEx>
        <w:trPr>
          <w:trHeight w:val="333"/>
        </w:trPr>
        <w:tc>
          <w:tcPr>
            <w:tcW w:w="996" w:type="dxa"/>
            <w:vAlign w:val="top"/>
          </w:tcPr>
          <w:p>
            <w:pPr>
              <w:pStyle w:val="TableText"/>
              <w:spacing w:before="97" w:line="166" w:lineRule="auto"/>
            </w:pPr>
            <w:r>
              <w:rPr>
                <w:position w:val="-1"/>
              </w:rPr>
              <w:t>GB</w:t>
            </w:r>
            <w:r>
              <w:rPr>
                <w:spacing w:val="19"/>
                <w:position w:val="-1"/>
              </w:rPr>
              <w:t>50116</w:t>
            </w:r>
          </w:p>
        </w:tc>
        <w:tc>
          <w:tcPr>
            <w:tcW w:w="4471" w:type="dxa"/>
            <w:vAlign w:val="top"/>
          </w:tcPr>
          <w:p>
            <w:pPr>
              <w:pStyle w:val="TableText"/>
              <w:spacing w:before="74" w:line="182" w:lineRule="auto"/>
              <w:ind w:left="89"/>
            </w:pPr>
            <w:r>
              <w:rPr>
                <w:spacing w:val="17"/>
              </w:rPr>
              <w:t>火灾自动报警系统设计规范</w:t>
            </w:r>
          </w:p>
        </w:tc>
      </w:tr>
      <w:tr>
        <w:tblPrEx>
          <w:tblW w:w="5467" w:type="dxa"/>
          <w:tblInd w:w="424" w:type="dxa"/>
          <w:tblLayout w:type="fixed"/>
        </w:tblPrEx>
        <w:trPr>
          <w:trHeight w:val="335"/>
        </w:trPr>
        <w:tc>
          <w:tcPr>
            <w:tcW w:w="996" w:type="dxa"/>
            <w:vAlign w:val="top"/>
          </w:tcPr>
          <w:p>
            <w:pPr>
              <w:pStyle w:val="TableText"/>
              <w:spacing w:before="97" w:line="167" w:lineRule="auto"/>
            </w:pPr>
            <w:r>
              <w:rPr>
                <w:position w:val="-1"/>
              </w:rPr>
              <w:t>GB</w:t>
            </w:r>
            <w:r>
              <w:rPr>
                <w:spacing w:val="19"/>
                <w:position w:val="-1"/>
              </w:rPr>
              <w:t>50140</w:t>
            </w:r>
          </w:p>
        </w:tc>
        <w:tc>
          <w:tcPr>
            <w:tcW w:w="4471" w:type="dxa"/>
            <w:vAlign w:val="top"/>
          </w:tcPr>
          <w:p>
            <w:pPr>
              <w:pStyle w:val="TableText"/>
              <w:spacing w:before="72" w:line="184" w:lineRule="auto"/>
              <w:ind w:left="89"/>
            </w:pPr>
            <w:r>
              <w:rPr>
                <w:spacing w:val="17"/>
              </w:rPr>
              <w:t>建筑灭火器配置设计规范</w:t>
            </w:r>
          </w:p>
        </w:tc>
      </w:tr>
      <w:tr>
        <w:tblPrEx>
          <w:tblW w:w="5467" w:type="dxa"/>
          <w:tblInd w:w="424" w:type="dxa"/>
          <w:tblLayout w:type="fixed"/>
        </w:tblPrEx>
        <w:trPr>
          <w:trHeight w:val="333"/>
        </w:trPr>
        <w:tc>
          <w:tcPr>
            <w:tcW w:w="996" w:type="dxa"/>
            <w:vAlign w:val="top"/>
          </w:tcPr>
          <w:p>
            <w:pPr>
              <w:pStyle w:val="TableText"/>
              <w:spacing w:before="97" w:line="166" w:lineRule="auto"/>
            </w:pPr>
            <w:r>
              <w:rPr>
                <w:position w:val="-1"/>
              </w:rPr>
              <w:t>GB</w:t>
            </w:r>
            <w:r>
              <w:rPr>
                <w:spacing w:val="19"/>
                <w:position w:val="-1"/>
              </w:rPr>
              <w:t>50184</w:t>
            </w:r>
          </w:p>
        </w:tc>
        <w:tc>
          <w:tcPr>
            <w:tcW w:w="4471" w:type="dxa"/>
            <w:vAlign w:val="top"/>
          </w:tcPr>
          <w:p>
            <w:pPr>
              <w:pStyle w:val="TableText"/>
              <w:spacing w:before="74" w:line="181" w:lineRule="auto"/>
              <w:ind w:left="90"/>
            </w:pPr>
            <w:r>
              <w:rPr>
                <w:spacing w:val="18"/>
              </w:rPr>
              <w:t>工业金属管道工程施工质量验收规范</w:t>
            </w:r>
          </w:p>
        </w:tc>
      </w:tr>
      <w:tr>
        <w:tblPrEx>
          <w:tblW w:w="5467" w:type="dxa"/>
          <w:tblInd w:w="424" w:type="dxa"/>
          <w:tblLayout w:type="fixed"/>
        </w:tblPrEx>
        <w:trPr>
          <w:trHeight w:val="334"/>
        </w:trPr>
        <w:tc>
          <w:tcPr>
            <w:tcW w:w="996" w:type="dxa"/>
            <w:vAlign w:val="top"/>
          </w:tcPr>
          <w:p>
            <w:pPr>
              <w:pStyle w:val="TableText"/>
              <w:spacing w:before="98" w:line="166" w:lineRule="auto"/>
            </w:pPr>
            <w:r>
              <w:rPr>
                <w:position w:val="-1"/>
              </w:rPr>
              <w:t>GB</w:t>
            </w:r>
            <w:r>
              <w:rPr>
                <w:spacing w:val="19"/>
                <w:position w:val="-1"/>
              </w:rPr>
              <w:t>50187</w:t>
            </w:r>
          </w:p>
        </w:tc>
        <w:tc>
          <w:tcPr>
            <w:tcW w:w="4471" w:type="dxa"/>
            <w:vAlign w:val="top"/>
          </w:tcPr>
          <w:p>
            <w:pPr>
              <w:pStyle w:val="TableText"/>
              <w:spacing w:before="75" w:line="182" w:lineRule="auto"/>
              <w:ind w:left="90"/>
            </w:pPr>
            <w:r>
              <w:rPr>
                <w:spacing w:val="17"/>
              </w:rPr>
              <w:t>工业企业总平面设计规范</w:t>
            </w:r>
          </w:p>
        </w:tc>
      </w:tr>
      <w:tr>
        <w:tblPrEx>
          <w:tblW w:w="5467" w:type="dxa"/>
          <w:tblInd w:w="424" w:type="dxa"/>
          <w:tblLayout w:type="fixed"/>
        </w:tblPrEx>
        <w:trPr>
          <w:trHeight w:val="263"/>
        </w:trPr>
        <w:tc>
          <w:tcPr>
            <w:tcW w:w="996" w:type="dxa"/>
            <w:vAlign w:val="top"/>
          </w:tcPr>
          <w:p>
            <w:pPr>
              <w:pStyle w:val="TableText"/>
              <w:spacing w:before="99" w:line="153" w:lineRule="exact"/>
            </w:pPr>
            <w:r>
              <w:rPr>
                <w:position w:val="-3"/>
              </w:rPr>
              <w:t>GB</w:t>
            </w:r>
            <w:r>
              <w:rPr>
                <w:spacing w:val="19"/>
                <w:position w:val="-3"/>
              </w:rPr>
              <w:t>50493</w:t>
            </w:r>
          </w:p>
        </w:tc>
        <w:tc>
          <w:tcPr>
            <w:tcW w:w="4471" w:type="dxa"/>
            <w:vAlign w:val="top"/>
          </w:tcPr>
          <w:p>
            <w:pPr>
              <w:pStyle w:val="TableText"/>
              <w:spacing w:before="74" w:line="178" w:lineRule="exact"/>
              <w:jc w:val="right"/>
            </w:pPr>
            <w:r>
              <w:rPr>
                <w:spacing w:val="18"/>
                <w:position w:val="-1"/>
              </w:rPr>
              <w:t>石油化工可燃气体和有毒气体检测报警设计规范</w:t>
            </w:r>
          </w:p>
        </w:tc>
      </w:tr>
    </w:tbl>
    <w:p>
      <w:pPr>
        <w:spacing w:before="145" w:line="238"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CJ</w:t>
      </w:r>
      <w:r>
        <w:rPr>
          <w:rFonts w:ascii="Microsoft YaHei" w:eastAsia="Microsoft YaHei" w:hAnsi="Microsoft YaHei" w:cs="Microsoft YaHei"/>
          <w:spacing w:val="23"/>
          <w:position w:val="-1"/>
          <w:sz w:val="19"/>
          <w:szCs w:val="19"/>
        </w:rPr>
        <w:t>/T180</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23"/>
          <w:sz w:val="19"/>
          <w:szCs w:val="19"/>
        </w:rPr>
        <w:t>建筑用手动燃气阀门</w:t>
      </w:r>
    </w:p>
    <w:p>
      <w:pPr>
        <w:spacing w:before="1" w:line="183" w:lineRule="auto"/>
        <w:ind w:left="413"/>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JGJ</w:t>
      </w:r>
      <w:r>
        <w:rPr>
          <w:rFonts w:ascii="Microsoft YaHei" w:eastAsia="Microsoft YaHei" w:hAnsi="Microsoft YaHei" w:cs="Microsoft YaHei"/>
          <w:spacing w:val="25"/>
          <w:position w:val="-1"/>
          <w:sz w:val="19"/>
          <w:szCs w:val="19"/>
        </w:rPr>
        <w:t>91</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25"/>
          <w:sz w:val="19"/>
          <w:szCs w:val="19"/>
        </w:rPr>
        <w:t>科学实验建筑设计规范</w:t>
      </w:r>
    </w:p>
    <w:p>
      <w:pPr>
        <w:spacing w:before="75" w:line="179"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 xml:space="preserve">气瓶安全监察规定(国家质量监督检验检疫总局令   </w:t>
      </w:r>
      <w:r>
        <w:rPr>
          <w:rFonts w:ascii="Microsoft YaHei" w:eastAsia="Microsoft YaHei" w:hAnsi="Microsoft YaHei" w:cs="Microsoft YaHei"/>
          <w:spacing w:val="18"/>
          <w:sz w:val="19"/>
          <w:szCs w:val="19"/>
        </w:rPr>
        <w:t>第</w:t>
      </w:r>
      <w:r>
        <w:rPr>
          <w:rFonts w:ascii="Microsoft YaHei" w:eastAsia="Microsoft YaHei" w:hAnsi="Microsoft YaHei" w:cs="Microsoft YaHei"/>
          <w:spacing w:val="16"/>
          <w:w w:val="101"/>
          <w:sz w:val="19"/>
          <w:szCs w:val="19"/>
        </w:rPr>
        <w:t xml:space="preserve"> </w:t>
      </w:r>
      <w:r>
        <w:rPr>
          <w:rFonts w:ascii="Microsoft YaHei" w:eastAsia="Microsoft YaHei" w:hAnsi="Microsoft YaHei" w:cs="Microsoft YaHei"/>
          <w:spacing w:val="18"/>
          <w:sz w:val="19"/>
          <w:szCs w:val="19"/>
        </w:rPr>
        <w:t>46号)</w:t>
      </w:r>
    </w:p>
    <w:p>
      <w:pPr>
        <w:spacing w:line="179" w:lineRule="auto"/>
        <w:rPr>
          <w:rFonts w:ascii="Microsoft YaHei" w:eastAsia="Microsoft YaHei" w:hAnsi="Microsoft YaHei" w:cs="Microsoft YaHei"/>
          <w:sz w:val="19"/>
          <w:szCs w:val="19"/>
        </w:rPr>
        <w:sectPr>
          <w:footerReference w:type="default" r:id="rId7"/>
          <w:type w:val="nextPage"/>
          <w:pgSz w:w="11906" w:h="16838"/>
          <w:pgMar w:top="1255" w:right="1301" w:bottom="1448" w:left="1349" w:header="0" w:footer="1260" w:gutter="0"/>
          <w:pgNumType w:start="8"/>
          <w:cols w:space="708"/>
          <w:titlePg w:val="0"/>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68480"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0" type="#_x0000_t202" style="width:12.45pt;height:18.95pt;margin-top:487.98pt;margin-left:275.53pt;mso-position-horizontal-relative:page;mso-position-vertical-relative:page;mso-wrap-distance-bottom:0;mso-wrap-distance-left:0;mso-wrap-distance-right:0;mso-wrap-distance-top:0;position:absolute;rotation:300;v-text-anchor:top;z-index:251667456"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479</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268" w:lineRule="auto"/>
        <w:rPr>
          <w:sz w:val="21"/>
        </w:rPr>
      </w:pPr>
    </w:p>
    <w:p>
      <w:pPr>
        <w:pStyle w:val="BodyText"/>
        <w:spacing w:line="269" w:lineRule="auto"/>
        <w:rPr>
          <w:sz w:val="21"/>
        </w:rPr>
      </w:pPr>
    </w:p>
    <w:p>
      <w:pPr>
        <w:spacing w:before="82" w:line="193"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3   </w:t>
      </w:r>
      <w:r>
        <w:rPr>
          <w:rFonts w:ascii="SimHei" w:eastAsia="SimHei" w:hAnsi="SimHei" w:cs="SimHei"/>
          <w:spacing w:val="12"/>
          <w:sz w:val="19"/>
          <w:szCs w:val="19"/>
        </w:rPr>
        <w:t>术语和定义</w:t>
      </w:r>
    </w:p>
    <w:p>
      <w:pPr>
        <w:pStyle w:val="BodyText"/>
        <w:spacing w:line="279" w:lineRule="auto"/>
        <w:rPr>
          <w:sz w:val="21"/>
        </w:rPr>
      </w:pPr>
    </w:p>
    <w:p>
      <w:pPr>
        <w:spacing w:before="82" w:line="350"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6"/>
          <w:position w:val="12"/>
          <w:sz w:val="19"/>
          <w:szCs w:val="19"/>
        </w:rPr>
        <w:t>下列术语和定义适用于本文件</w:t>
      </w:r>
      <w:r>
        <w:rPr>
          <w:rFonts w:ascii="Microsoft YaHei" w:eastAsia="Microsoft YaHei" w:hAnsi="Microsoft YaHei" w:cs="Microsoft YaHei"/>
          <w:spacing w:val="-17"/>
          <w:position w:val="12"/>
          <w:sz w:val="19"/>
          <w:szCs w:val="19"/>
        </w:rPr>
        <w:t xml:space="preserve"> </w:t>
      </w:r>
      <w:r>
        <w:rPr>
          <w:rFonts w:ascii="Microsoft YaHei" w:eastAsia="Microsoft YaHei" w:hAnsi="Microsoft YaHei" w:cs="Microsoft YaHei"/>
          <w:spacing w:val="16"/>
          <w:position w:val="12"/>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3.</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4"/>
          <w:sz w:val="19"/>
          <w:szCs w:val="19"/>
        </w:rPr>
        <w:t>1</w:t>
      </w:r>
    </w:p>
    <w:p>
      <w:pPr>
        <w:spacing w:before="63" w:line="197" w:lineRule="auto"/>
        <w:ind w:left="422"/>
        <w:rPr>
          <w:rFonts w:ascii="Microsoft YaHei" w:eastAsia="Microsoft YaHei" w:hAnsi="Microsoft YaHei" w:cs="Microsoft YaHei"/>
          <w:sz w:val="19"/>
          <w:szCs w:val="19"/>
        </w:rPr>
      </w:pPr>
      <w:r>
        <w:rPr>
          <w:rFonts w:ascii="SimHei" w:eastAsia="SimHei" w:hAnsi="SimHei" w:cs="SimHei"/>
          <w:spacing w:val="22"/>
          <w:position w:val="1"/>
          <w:sz w:val="19"/>
          <w:szCs w:val="19"/>
        </w:rPr>
        <w:t>燃气燃烧器具实验室</w:t>
      </w:r>
      <w:r>
        <w:rPr>
          <w:rFonts w:ascii="SimHei" w:eastAsia="SimHei" w:hAnsi="SimHei" w:cs="SimHei"/>
          <w:spacing w:val="22"/>
          <w:position w:val="1"/>
          <w:sz w:val="19"/>
          <w:szCs w:val="19"/>
        </w:rPr>
        <w:t xml:space="preserve">  </w:t>
      </w:r>
      <w:r>
        <w:rPr>
          <w:rFonts w:ascii="Microsoft YaHei" w:eastAsia="Microsoft YaHei" w:hAnsi="Microsoft YaHei" w:cs="Microsoft YaHei"/>
          <w:position w:val="-1"/>
          <w:sz w:val="19"/>
          <w:szCs w:val="19"/>
        </w:rPr>
        <w:t>gasappliancelaboratory</w:t>
      </w:r>
    </w:p>
    <w:p>
      <w:pPr>
        <w:spacing w:before="62" w:line="219" w:lineRule="auto"/>
        <w:ind w:left="1" w:right="747" w:firstLine="42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按规定程序实施技术操作</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7"/>
          <w:sz w:val="19"/>
          <w:szCs w:val="19"/>
        </w:rPr>
        <w:t>,检测燃气燃烧器具产品的一种或多种性能的实验室总称</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3.2</w:t>
      </w:r>
    </w:p>
    <w:p>
      <w:pPr>
        <w:spacing w:before="79" w:line="174" w:lineRule="auto"/>
        <w:ind w:left="422"/>
        <w:rPr>
          <w:rFonts w:ascii="Microsoft YaHei" w:eastAsia="Microsoft YaHei" w:hAnsi="Microsoft YaHei" w:cs="Microsoft YaHei"/>
          <w:sz w:val="19"/>
          <w:szCs w:val="19"/>
        </w:rPr>
      </w:pPr>
      <w:r>
        <w:rPr>
          <w:rFonts w:ascii="SimHei" w:eastAsia="SimHei" w:hAnsi="SimHei" w:cs="SimHei"/>
          <w:spacing w:val="2"/>
          <w:position w:val="1"/>
          <w:sz w:val="19"/>
          <w:szCs w:val="19"/>
        </w:rPr>
        <w:t>燃烧实验室</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combustion</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position w:val="-1"/>
          <w:sz w:val="19"/>
          <w:szCs w:val="19"/>
        </w:rPr>
        <w:t>laboratory</w:t>
      </w:r>
    </w:p>
    <w:p>
      <w:pPr>
        <w:spacing w:before="87" w:line="351"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7"/>
          <w:position w:val="12"/>
          <w:sz w:val="19"/>
          <w:szCs w:val="19"/>
        </w:rPr>
        <w:t>通过燃气燃烧过程测试燃具性能的实验室</w:t>
      </w:r>
      <w:r>
        <w:rPr>
          <w:rFonts w:ascii="Microsoft YaHei" w:eastAsia="Microsoft YaHei" w:hAnsi="Microsoft YaHei" w:cs="Microsoft YaHei"/>
          <w:spacing w:val="-18"/>
          <w:position w:val="12"/>
          <w:sz w:val="19"/>
          <w:szCs w:val="19"/>
        </w:rPr>
        <w:t xml:space="preserve"> </w:t>
      </w:r>
      <w:r>
        <w:rPr>
          <w:rFonts w:ascii="Microsoft YaHei" w:eastAsia="Microsoft YaHei" w:hAnsi="Microsoft YaHei" w:cs="Microsoft YaHei"/>
          <w:spacing w:val="17"/>
          <w:position w:val="12"/>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3.3</w:t>
      </w:r>
    </w:p>
    <w:p>
      <w:pPr>
        <w:spacing w:before="66" w:line="197" w:lineRule="auto"/>
        <w:ind w:left="426"/>
        <w:rPr>
          <w:rFonts w:ascii="Microsoft YaHei" w:eastAsia="Microsoft YaHei" w:hAnsi="Microsoft YaHei" w:cs="Microsoft YaHei"/>
          <w:sz w:val="19"/>
          <w:szCs w:val="19"/>
        </w:rPr>
      </w:pPr>
      <w:r>
        <w:rPr>
          <w:rFonts w:ascii="SimHei" w:eastAsia="SimHei" w:hAnsi="SimHei" w:cs="SimHei"/>
          <w:spacing w:val="20"/>
          <w:position w:val="1"/>
          <w:sz w:val="19"/>
          <w:szCs w:val="19"/>
        </w:rPr>
        <w:t>易燃气体危险当量</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hazard</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position w:val="-1"/>
          <w:sz w:val="19"/>
          <w:szCs w:val="19"/>
        </w:rPr>
        <w:t>installationsequivalent</w:t>
      </w:r>
    </w:p>
    <w:p>
      <w:pPr>
        <w:spacing w:before="69"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 xml:space="preserve">不同种易燃气体实际存在量与其在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18218中规定的临界量比值之和</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8"/>
          <w:sz w:val="19"/>
          <w:szCs w:val="19"/>
        </w:rPr>
        <w:t>。</w:t>
      </w:r>
    </w:p>
    <w:p>
      <w:pPr>
        <w:pStyle w:val="BodyText"/>
        <w:spacing w:line="316" w:lineRule="auto"/>
        <w:rPr>
          <w:sz w:val="21"/>
        </w:rPr>
      </w:pPr>
    </w:p>
    <w:p>
      <w:pPr>
        <w:spacing w:before="83" w:line="197" w:lineRule="auto"/>
        <w:ind w:left="1"/>
        <w:rPr>
          <w:rFonts w:ascii="SimHei" w:eastAsia="SimHei" w:hAnsi="SimHei" w:cs="SimHei"/>
          <w:sz w:val="19"/>
          <w:szCs w:val="19"/>
        </w:rPr>
      </w:pPr>
      <w:r>
        <w:rPr>
          <w:rFonts w:ascii="Microsoft YaHei" w:eastAsia="Microsoft YaHei" w:hAnsi="Microsoft YaHei" w:cs="Microsoft YaHei"/>
          <w:spacing w:val="17"/>
          <w:position w:val="-2"/>
          <w:sz w:val="19"/>
          <w:szCs w:val="19"/>
        </w:rPr>
        <w:t>4</w:t>
      </w:r>
      <w:r>
        <w:rPr>
          <w:rFonts w:ascii="Microsoft YaHei" w:eastAsia="Microsoft YaHei" w:hAnsi="Microsoft YaHei" w:cs="Microsoft YaHei"/>
          <w:spacing w:val="5"/>
          <w:position w:val="-2"/>
          <w:sz w:val="19"/>
          <w:szCs w:val="19"/>
        </w:rPr>
        <w:t xml:space="preserve">   </w:t>
      </w:r>
      <w:r>
        <w:rPr>
          <w:rFonts w:ascii="SimHei" w:eastAsia="SimHei" w:hAnsi="SimHei" w:cs="SimHei"/>
          <w:spacing w:val="17"/>
          <w:sz w:val="19"/>
          <w:szCs w:val="19"/>
        </w:rPr>
        <w:t>试验能力和条件</w:t>
      </w:r>
    </w:p>
    <w:p>
      <w:pPr>
        <w:pStyle w:val="BodyText"/>
        <w:spacing w:line="243" w:lineRule="auto"/>
        <w:rPr>
          <w:sz w:val="21"/>
        </w:rPr>
      </w:pPr>
    </w:p>
    <w:p>
      <w:pPr>
        <w:spacing w:before="82" w:line="187" w:lineRule="auto"/>
        <w:ind w:left="1"/>
        <w:rPr>
          <w:rFonts w:ascii="SimHei" w:eastAsia="SimHei" w:hAnsi="SimHei" w:cs="SimHei"/>
          <w:sz w:val="19"/>
          <w:szCs w:val="19"/>
        </w:rPr>
      </w:pP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试验能力</w:t>
      </w:r>
    </w:p>
    <w:p>
      <w:pPr>
        <w:spacing w:before="227" w:line="203" w:lineRule="auto"/>
        <w:ind w:left="423" w:right="4460" w:hanging="422"/>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9"/>
          <w:szCs w:val="19"/>
        </w:rPr>
        <w:t>4.</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1"/>
          <w:position w:val="-2"/>
          <w:sz w:val="19"/>
          <w:szCs w:val="19"/>
        </w:rPr>
        <w:t>1.</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1"/>
          <w:position w:val="-2"/>
          <w:sz w:val="19"/>
          <w:szCs w:val="19"/>
        </w:rPr>
        <w:t xml:space="preserve">1   </w:t>
      </w:r>
      <w:r>
        <w:rPr>
          <w:rFonts w:ascii="Microsoft YaHei" w:eastAsia="Microsoft YaHei" w:hAnsi="Microsoft YaHei" w:cs="Microsoft YaHei"/>
          <w:spacing w:val="11"/>
          <w:sz w:val="19"/>
          <w:szCs w:val="19"/>
        </w:rPr>
        <w:t>实验室应具备完成以下试验项目的能力</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position w:val="-2"/>
          <w:sz w:val="19"/>
          <w:szCs w:val="19"/>
        </w:rPr>
        <w:t>a</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3"/>
          <w:sz w:val="19"/>
          <w:szCs w:val="19"/>
        </w:rPr>
        <w:t>实验环境基本参数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3"/>
          <w:sz w:val="19"/>
          <w:szCs w:val="19"/>
        </w:rPr>
        <w:t>;</w:t>
      </w:r>
    </w:p>
    <w:p>
      <w:pPr>
        <w:spacing w:line="68" w:lineRule="exact"/>
      </w:pPr>
    </w:p>
    <w:tbl>
      <w:tblPr>
        <w:tblStyle w:val="TableNormal2"/>
        <w:tblW w:w="1756" w:type="dxa"/>
        <w:tblInd w:w="423" w:type="dxa"/>
        <w:tblBorders>
          <w:top w:val="nil"/>
          <w:left w:val="nil"/>
          <w:bottom w:val="nil"/>
          <w:right w:val="nil"/>
          <w:insideH w:val="nil"/>
          <w:insideV w:val="nil"/>
        </w:tblBorders>
        <w:tblLayout w:type="fixed"/>
      </w:tblPr>
      <w:tblGrid>
        <w:gridCol w:w="298"/>
        <w:gridCol w:w="1458"/>
      </w:tblGrid>
      <w:tr>
        <w:tblPrEx>
          <w:tblW w:w="1756" w:type="dxa"/>
          <w:tblInd w:w="423" w:type="dxa"/>
          <w:tblBorders>
            <w:top w:val="nil"/>
            <w:left w:val="nil"/>
            <w:bottom w:val="nil"/>
            <w:right w:val="nil"/>
            <w:insideH w:val="nil"/>
            <w:insideV w:val="nil"/>
          </w:tblBorders>
          <w:tblLayout w:type="fixed"/>
        </w:tblPrEx>
        <w:trPr>
          <w:trHeight w:val="258"/>
        </w:trPr>
        <w:tc>
          <w:tcPr>
            <w:tcW w:w="298" w:type="dxa"/>
            <w:vAlign w:val="top"/>
          </w:tcPr>
          <w:p>
            <w:pPr>
              <w:pStyle w:val="TableText"/>
              <w:spacing w:before="16" w:line="157" w:lineRule="auto"/>
              <w:ind w:left="1"/>
            </w:pPr>
            <w:r>
              <w:rPr>
                <w:spacing w:val="9"/>
              </w:rPr>
              <w:t>b)</w:t>
            </w:r>
          </w:p>
        </w:tc>
        <w:tc>
          <w:tcPr>
            <w:tcW w:w="1458" w:type="dxa"/>
            <w:vAlign w:val="top"/>
          </w:tcPr>
          <w:p>
            <w:pPr>
              <w:pStyle w:val="TableText"/>
              <w:spacing w:line="182" w:lineRule="auto"/>
              <w:ind w:left="108"/>
            </w:pPr>
            <w:r>
              <w:rPr>
                <w:spacing w:val="15"/>
              </w:rPr>
              <w:t>燃气特性</w:t>
            </w:r>
            <w:r>
              <w:rPr>
                <w:spacing w:val="-7"/>
              </w:rPr>
              <w:t xml:space="preserve"> </w:t>
            </w:r>
            <w:r>
              <w:rPr>
                <w:spacing w:val="15"/>
              </w:rPr>
              <w:t>;</w:t>
            </w:r>
          </w:p>
        </w:tc>
      </w:tr>
      <w:tr>
        <w:tblPrEx>
          <w:tblW w:w="1756" w:type="dxa"/>
          <w:tblInd w:w="423" w:type="dxa"/>
          <w:tblLayout w:type="fixed"/>
        </w:tblPrEx>
        <w:trPr>
          <w:trHeight w:val="324"/>
        </w:trPr>
        <w:tc>
          <w:tcPr>
            <w:tcW w:w="298" w:type="dxa"/>
            <w:vAlign w:val="top"/>
          </w:tcPr>
          <w:p>
            <w:pPr>
              <w:pStyle w:val="TableText"/>
              <w:spacing w:before="90" w:line="224" w:lineRule="exact"/>
              <w:ind w:left="2"/>
            </w:pPr>
            <w:r>
              <w:rPr>
                <w:spacing w:val="18"/>
                <w:position w:val="-1"/>
              </w:rPr>
              <w:t>c</w:t>
            </w:r>
            <w:r>
              <w:rPr>
                <w:spacing w:val="18"/>
                <w:position w:val="1"/>
              </w:rPr>
              <w:t>)</w:t>
            </w:r>
          </w:p>
        </w:tc>
        <w:tc>
          <w:tcPr>
            <w:tcW w:w="1458" w:type="dxa"/>
            <w:vAlign w:val="top"/>
          </w:tcPr>
          <w:p>
            <w:pPr>
              <w:pStyle w:val="TableText"/>
              <w:spacing w:before="72" w:line="178" w:lineRule="auto"/>
              <w:ind w:left="109"/>
            </w:pPr>
            <w:r>
              <w:rPr>
                <w:spacing w:val="14"/>
              </w:rPr>
              <w:t>气密性</w:t>
            </w:r>
            <w:r>
              <w:rPr>
                <w:spacing w:val="-9"/>
              </w:rPr>
              <w:t xml:space="preserve"> </w:t>
            </w:r>
            <w:r>
              <w:rPr>
                <w:spacing w:val="14"/>
              </w:rPr>
              <w:t>;</w:t>
            </w:r>
          </w:p>
        </w:tc>
      </w:tr>
      <w:tr>
        <w:tblPrEx>
          <w:tblW w:w="1756" w:type="dxa"/>
          <w:tblInd w:w="423" w:type="dxa"/>
          <w:tblLayout w:type="fixed"/>
        </w:tblPrEx>
        <w:trPr>
          <w:trHeight w:val="350"/>
        </w:trPr>
        <w:tc>
          <w:tcPr>
            <w:tcW w:w="298" w:type="dxa"/>
            <w:vAlign w:val="top"/>
          </w:tcPr>
          <w:p>
            <w:pPr>
              <w:pStyle w:val="TableText"/>
              <w:spacing w:before="94" w:line="211" w:lineRule="exact"/>
              <w:ind w:left="2"/>
            </w:pPr>
            <w:r>
              <w:rPr>
                <w:spacing w:val="10"/>
              </w:rPr>
              <w:t>d)</w:t>
            </w:r>
          </w:p>
        </w:tc>
        <w:tc>
          <w:tcPr>
            <w:tcW w:w="1458" w:type="dxa"/>
            <w:vAlign w:val="top"/>
          </w:tcPr>
          <w:p>
            <w:pPr>
              <w:pStyle w:val="TableText"/>
              <w:spacing w:before="65" w:line="202" w:lineRule="auto"/>
              <w:jc w:val="right"/>
            </w:pPr>
            <w:r>
              <w:rPr>
                <w:spacing w:val="16"/>
              </w:rPr>
              <w:t>热负荷准确度</w:t>
            </w:r>
            <w:r>
              <w:rPr>
                <w:spacing w:val="-10"/>
              </w:rPr>
              <w:t xml:space="preserve"> </w:t>
            </w:r>
            <w:r>
              <w:rPr>
                <w:spacing w:val="16"/>
              </w:rPr>
              <w:t>;</w:t>
            </w:r>
          </w:p>
        </w:tc>
      </w:tr>
      <w:tr>
        <w:tblPrEx>
          <w:tblW w:w="1756" w:type="dxa"/>
          <w:tblInd w:w="423" w:type="dxa"/>
          <w:tblLayout w:type="fixed"/>
        </w:tblPrEx>
        <w:trPr>
          <w:trHeight w:val="313"/>
        </w:trPr>
        <w:tc>
          <w:tcPr>
            <w:tcW w:w="298" w:type="dxa"/>
            <w:vAlign w:val="top"/>
          </w:tcPr>
          <w:p>
            <w:pPr>
              <w:pStyle w:val="TableText"/>
              <w:spacing w:before="74" w:line="228" w:lineRule="exact"/>
              <w:ind w:left="2"/>
            </w:pPr>
            <w:r>
              <w:rPr>
                <w:spacing w:val="13"/>
                <w:position w:val="-1"/>
              </w:rPr>
              <w:t>e</w:t>
            </w:r>
            <w:r>
              <w:rPr>
                <w:spacing w:val="13"/>
                <w:position w:val="1"/>
              </w:rPr>
              <w:t>)</w:t>
            </w:r>
          </w:p>
        </w:tc>
        <w:tc>
          <w:tcPr>
            <w:tcW w:w="1458" w:type="dxa"/>
            <w:vAlign w:val="top"/>
          </w:tcPr>
          <w:p>
            <w:pPr>
              <w:pStyle w:val="TableText"/>
              <w:spacing w:before="57" w:line="181" w:lineRule="auto"/>
              <w:ind w:left="108"/>
            </w:pPr>
            <w:r>
              <w:rPr>
                <w:spacing w:val="15"/>
              </w:rPr>
              <w:t>燃烧工况</w:t>
            </w:r>
            <w:r>
              <w:rPr>
                <w:spacing w:val="-7"/>
              </w:rPr>
              <w:t xml:space="preserve"> </w:t>
            </w:r>
            <w:r>
              <w:rPr>
                <w:spacing w:val="15"/>
              </w:rPr>
              <w:t>;</w:t>
            </w:r>
          </w:p>
        </w:tc>
      </w:tr>
      <w:tr>
        <w:tblPrEx>
          <w:tblW w:w="1756" w:type="dxa"/>
          <w:tblInd w:w="423" w:type="dxa"/>
          <w:tblLayout w:type="fixed"/>
        </w:tblPrEx>
        <w:trPr>
          <w:trHeight w:val="329"/>
        </w:trPr>
        <w:tc>
          <w:tcPr>
            <w:tcW w:w="298" w:type="dxa"/>
            <w:vAlign w:val="top"/>
          </w:tcPr>
          <w:p>
            <w:pPr>
              <w:pStyle w:val="TableText"/>
              <w:spacing w:before="86" w:line="158" w:lineRule="auto"/>
            </w:pPr>
            <w:r>
              <w:rPr>
                <w:spacing w:val="16"/>
                <w:w w:val="122"/>
              </w:rPr>
              <w:t>f)</w:t>
            </w:r>
          </w:p>
        </w:tc>
        <w:tc>
          <w:tcPr>
            <w:tcW w:w="1458" w:type="dxa"/>
            <w:vAlign w:val="top"/>
          </w:tcPr>
          <w:p>
            <w:pPr>
              <w:pStyle w:val="TableText"/>
              <w:spacing w:before="72" w:line="181" w:lineRule="auto"/>
              <w:ind w:left="111"/>
            </w:pPr>
            <w:r>
              <w:rPr>
                <w:spacing w:val="14"/>
              </w:rPr>
              <w:t>表面温升</w:t>
            </w:r>
            <w:r>
              <w:rPr>
                <w:spacing w:val="-6"/>
              </w:rPr>
              <w:t xml:space="preserve"> </w:t>
            </w:r>
            <w:r>
              <w:rPr>
                <w:spacing w:val="14"/>
              </w:rPr>
              <w:t>;</w:t>
            </w:r>
          </w:p>
        </w:tc>
      </w:tr>
      <w:tr>
        <w:tblPrEx>
          <w:tblW w:w="1756" w:type="dxa"/>
          <w:tblInd w:w="423" w:type="dxa"/>
          <w:tblLayout w:type="fixed"/>
        </w:tblPrEx>
        <w:trPr>
          <w:trHeight w:val="334"/>
        </w:trPr>
        <w:tc>
          <w:tcPr>
            <w:tcW w:w="298" w:type="dxa"/>
            <w:vAlign w:val="top"/>
          </w:tcPr>
          <w:p>
            <w:pPr>
              <w:pStyle w:val="TableText"/>
              <w:spacing w:before="89" w:line="161" w:lineRule="auto"/>
            </w:pPr>
            <w:r>
              <w:rPr>
                <w:spacing w:val="9"/>
              </w:rPr>
              <w:t>g)</w:t>
            </w:r>
          </w:p>
        </w:tc>
        <w:tc>
          <w:tcPr>
            <w:tcW w:w="1458" w:type="dxa"/>
            <w:vAlign w:val="top"/>
          </w:tcPr>
          <w:p>
            <w:pPr>
              <w:pStyle w:val="TableText"/>
              <w:spacing w:before="72" w:line="182" w:lineRule="auto"/>
              <w:jc w:val="right"/>
            </w:pPr>
            <w:r>
              <w:rPr>
                <w:spacing w:val="16"/>
              </w:rPr>
              <w:t>安全装置性能</w:t>
            </w:r>
            <w:r>
              <w:rPr>
                <w:spacing w:val="-8"/>
              </w:rPr>
              <w:t xml:space="preserve"> </w:t>
            </w:r>
            <w:r>
              <w:rPr>
                <w:spacing w:val="16"/>
              </w:rPr>
              <w:t>;</w:t>
            </w:r>
          </w:p>
        </w:tc>
      </w:tr>
      <w:tr>
        <w:tblPrEx>
          <w:tblW w:w="1756" w:type="dxa"/>
          <w:tblInd w:w="423" w:type="dxa"/>
          <w:tblLayout w:type="fixed"/>
        </w:tblPrEx>
        <w:trPr>
          <w:trHeight w:val="252"/>
        </w:trPr>
        <w:tc>
          <w:tcPr>
            <w:tcW w:w="298" w:type="dxa"/>
            <w:vAlign w:val="top"/>
          </w:tcPr>
          <w:p>
            <w:pPr>
              <w:pStyle w:val="TableText"/>
              <w:spacing w:before="81" w:line="161" w:lineRule="exact"/>
            </w:pPr>
            <w:r>
              <w:rPr>
                <w:spacing w:val="14"/>
                <w:position w:val="-1"/>
              </w:rPr>
              <w:t>h)</w:t>
            </w:r>
          </w:p>
        </w:tc>
        <w:tc>
          <w:tcPr>
            <w:tcW w:w="1458" w:type="dxa"/>
            <w:vAlign w:val="top"/>
          </w:tcPr>
          <w:p>
            <w:pPr>
              <w:pStyle w:val="TableText"/>
              <w:spacing w:before="65" w:line="177" w:lineRule="exact"/>
              <w:ind w:left="128"/>
            </w:pPr>
            <w:r>
              <w:rPr>
                <w:spacing w:val="8"/>
                <w:position w:val="-1"/>
              </w:rPr>
              <w:t>电气性能</w:t>
            </w:r>
            <w:r>
              <w:rPr>
                <w:spacing w:val="-27"/>
                <w:position w:val="-1"/>
              </w:rPr>
              <w:t xml:space="preserve"> </w:t>
            </w:r>
            <w:r>
              <w:rPr>
                <w:spacing w:val="8"/>
                <w:position w:val="-1"/>
              </w:rPr>
              <w:t>。</w:t>
            </w:r>
          </w:p>
        </w:tc>
      </w:tr>
    </w:tbl>
    <w:p>
      <w:pPr>
        <w:spacing w:before="142" w:line="22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4.</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3"/>
          <w:position w:val="-2"/>
          <w:sz w:val="19"/>
          <w:szCs w:val="19"/>
        </w:rPr>
        <w:t xml:space="preserve">1.2   </w:t>
      </w:r>
      <w:r>
        <w:rPr>
          <w:rFonts w:ascii="Microsoft YaHei" w:eastAsia="Microsoft YaHei" w:hAnsi="Microsoft YaHei" w:cs="Microsoft YaHei"/>
          <w:spacing w:val="13"/>
          <w:sz w:val="19"/>
          <w:szCs w:val="19"/>
        </w:rPr>
        <w:t>实验室宜具备完成以下试验项目的能力</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3"/>
          <w:sz w:val="19"/>
          <w:szCs w:val="19"/>
        </w:rPr>
        <w:t>:</w:t>
      </w:r>
    </w:p>
    <w:p>
      <w:pPr>
        <w:spacing w:line="208"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a</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2"/>
          <w:sz w:val="19"/>
          <w:szCs w:val="19"/>
        </w:rPr>
        <w:t>结构和材料</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2"/>
          <w:sz w:val="19"/>
          <w:szCs w:val="19"/>
        </w:rPr>
        <w:t>;</w:t>
      </w:r>
    </w:p>
    <w:p>
      <w:pPr>
        <w:spacing w:before="33" w:line="179" w:lineRule="auto"/>
        <w:ind w:left="424"/>
        <w:rPr>
          <w:rFonts w:ascii="Microsoft YaHei" w:eastAsia="Microsoft YaHei" w:hAnsi="Microsoft YaHei" w:cs="Microsoft YaHei"/>
          <w:sz w:val="19"/>
          <w:szCs w:val="19"/>
        </w:rPr>
        <w:sectPr>
          <w:footerReference w:type="default" r:id="rId8"/>
          <w:pgSz w:w="11906" w:h="16838"/>
          <w:pgMar w:top="1255" w:right="1785" w:bottom="1448" w:left="1350" w:header="0" w:footer="1260" w:gutter="0"/>
          <w:pgNumType w:start="9"/>
          <w:cols w:space="708"/>
        </w:sectPr>
      </w:pPr>
      <w:r>
        <w:rPr>
          <w:rFonts w:ascii="Microsoft YaHei" w:eastAsia="Microsoft YaHei" w:hAnsi="Microsoft YaHei" w:cs="Microsoft YaHei"/>
          <w:spacing w:val="13"/>
          <w:sz w:val="19"/>
          <w:szCs w:val="19"/>
        </w:rPr>
        <w:t>b)</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3"/>
          <w:sz w:val="19"/>
          <w:szCs w:val="19"/>
        </w:rPr>
        <w:t>密封结构漏气量</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3"/>
          <w:sz w:val="19"/>
          <w:szCs w:val="19"/>
        </w:rPr>
        <w:t>;</w:t>
      </w:r>
    </w:p>
    <w:p>
      <w:pPr>
        <w:spacing w:before="88" w:line="220"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c</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水路系统密封性和耐压性</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5"/>
          <w:sz w:val="19"/>
          <w:szCs w:val="19"/>
        </w:rPr>
        <w:t>;</w:t>
      </w:r>
    </w:p>
    <w:p>
      <w:pPr>
        <w:spacing w:line="208"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d)</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热水性能</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0"/>
          <w:sz w:val="19"/>
          <w:szCs w:val="19"/>
        </w:rPr>
        <w:t>;</w:t>
      </w:r>
    </w:p>
    <w:p>
      <w:pPr>
        <w:spacing w:before="57" w:line="178"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9"/>
          <w:position w:val="-2"/>
          <w:sz w:val="19"/>
          <w:szCs w:val="19"/>
        </w:rPr>
        <w:t>e</w:t>
      </w:r>
      <w:r>
        <w:rPr>
          <w:rFonts w:ascii="Microsoft YaHei" w:eastAsia="Microsoft YaHei" w:hAnsi="Microsoft YaHei" w:cs="Microsoft YaHei"/>
          <w:spacing w:val="9"/>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9"/>
          <w:sz w:val="19"/>
          <w:szCs w:val="19"/>
        </w:rPr>
        <w:t>环保指标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9"/>
          <w:sz w:val="19"/>
          <w:szCs w:val="19"/>
        </w:rPr>
        <w:t>;</w:t>
      </w:r>
    </w:p>
    <w:p>
      <w:pPr>
        <w:spacing w:before="69" w:line="177"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f)</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3"/>
          <w:sz w:val="19"/>
          <w:szCs w:val="19"/>
        </w:rPr>
        <w:t>安全装置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3"/>
          <w:sz w:val="19"/>
          <w:szCs w:val="19"/>
        </w:rPr>
        <w:t>;</w:t>
      </w:r>
    </w:p>
    <w:p>
      <w:pPr>
        <w:spacing w:before="89" w:line="173"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g)</w:t>
      </w:r>
      <w:r>
        <w:rPr>
          <w:rFonts w:ascii="Microsoft YaHei" w:eastAsia="Microsoft YaHei" w:hAnsi="Microsoft YaHei" w:cs="Microsoft YaHei"/>
          <w:spacing w:val="19"/>
          <w:w w:val="101"/>
          <w:sz w:val="19"/>
          <w:szCs w:val="19"/>
        </w:rPr>
        <w:t xml:space="preserve">   </w:t>
      </w:r>
      <w:r>
        <w:rPr>
          <w:rFonts w:ascii="Microsoft YaHei" w:eastAsia="Microsoft YaHei" w:hAnsi="Microsoft YaHei" w:cs="Microsoft YaHei"/>
          <w:spacing w:val="10"/>
          <w:sz w:val="19"/>
          <w:szCs w:val="19"/>
        </w:rPr>
        <w:t>抗风试验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0"/>
          <w:sz w:val="19"/>
          <w:szCs w:val="19"/>
        </w:rPr>
        <w:t>;</w:t>
      </w:r>
    </w:p>
    <w:p>
      <w:pPr>
        <w:spacing w:before="94" w:line="177"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h)</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2"/>
          <w:sz w:val="19"/>
          <w:szCs w:val="19"/>
        </w:rPr>
        <w:t>采暖性能</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2"/>
          <w:sz w:val="19"/>
          <w:szCs w:val="19"/>
        </w:rPr>
        <w:t>;</w:t>
      </w:r>
    </w:p>
    <w:p>
      <w:pPr>
        <w:spacing w:before="89" w:line="330"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4"/>
          <w:position w:val="11"/>
          <w:sz w:val="19"/>
          <w:szCs w:val="19"/>
        </w:rPr>
        <w:t>i)</w:t>
      </w:r>
      <w:r>
        <w:rPr>
          <w:rFonts w:ascii="Microsoft YaHei" w:eastAsia="Microsoft YaHei" w:hAnsi="Microsoft YaHei" w:cs="Microsoft YaHei"/>
          <w:spacing w:val="13"/>
          <w:position w:val="11"/>
          <w:sz w:val="19"/>
          <w:szCs w:val="19"/>
        </w:rPr>
        <w:t xml:space="preserve">    </w:t>
      </w:r>
      <w:r>
        <w:rPr>
          <w:rFonts w:ascii="Microsoft YaHei" w:eastAsia="Microsoft YaHei" w:hAnsi="Microsoft YaHei" w:cs="Microsoft YaHei"/>
          <w:spacing w:val="14"/>
          <w:position w:val="11"/>
          <w:sz w:val="19"/>
          <w:szCs w:val="19"/>
        </w:rPr>
        <w:t>耐用性试验</w:t>
      </w:r>
      <w:r>
        <w:rPr>
          <w:rFonts w:ascii="Microsoft YaHei" w:eastAsia="Microsoft YaHei" w:hAnsi="Microsoft YaHei" w:cs="Microsoft YaHei"/>
          <w:spacing w:val="-9"/>
          <w:position w:val="11"/>
          <w:sz w:val="19"/>
          <w:szCs w:val="19"/>
        </w:rPr>
        <w:t xml:space="preserve"> </w:t>
      </w:r>
      <w:r>
        <w:rPr>
          <w:rFonts w:ascii="Microsoft YaHei" w:eastAsia="Microsoft YaHei" w:hAnsi="Microsoft YaHei" w:cs="Microsoft YaHei"/>
          <w:spacing w:val="14"/>
          <w:position w:val="11"/>
          <w:sz w:val="19"/>
          <w:szCs w:val="19"/>
        </w:rPr>
        <w:t>;</w:t>
      </w:r>
    </w:p>
    <w:p>
      <w:pPr>
        <w:spacing w:before="1" w:line="157" w:lineRule="auto"/>
        <w:ind w:left="410"/>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j)</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5"/>
          <w:sz w:val="19"/>
          <w:szCs w:val="19"/>
        </w:rPr>
        <w:t>耐久试验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5"/>
          <w:position w:val="1"/>
          <w:sz w:val="19"/>
          <w:szCs w:val="19"/>
        </w:rPr>
        <w:t>;</w:t>
      </w:r>
    </w:p>
    <w:p>
      <w:pPr>
        <w:spacing w:before="94" w:line="177"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k)</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4"/>
          <w:sz w:val="19"/>
          <w:szCs w:val="19"/>
        </w:rPr>
        <w:t>耐振动试验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4"/>
          <w:sz w:val="19"/>
          <w:szCs w:val="19"/>
        </w:rPr>
        <w:t>;</w:t>
      </w:r>
    </w:p>
    <w:p>
      <w:pPr>
        <w:spacing w:before="86" w:line="178"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l)</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4"/>
          <w:sz w:val="19"/>
          <w:szCs w:val="19"/>
        </w:rPr>
        <w:t>操作特性</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4"/>
          <w:sz w:val="19"/>
          <w:szCs w:val="19"/>
        </w:rPr>
        <w:t>;</w:t>
      </w:r>
    </w:p>
    <w:p>
      <w:pPr>
        <w:spacing w:before="90" w:line="226"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m</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3"/>
          <w:sz w:val="19"/>
          <w:szCs w:val="19"/>
        </w:rPr>
        <w:t>控制装置性能</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3"/>
          <w:sz w:val="19"/>
          <w:szCs w:val="19"/>
        </w:rPr>
        <w:t>;</w:t>
      </w:r>
    </w:p>
    <w:p>
      <w:pPr>
        <w:spacing w:line="176"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2"/>
          <w:sz w:val="19"/>
          <w:szCs w:val="19"/>
        </w:rPr>
        <w:t>n</w:t>
      </w:r>
      <w:r>
        <w:rPr>
          <w:rFonts w:ascii="Microsoft YaHei" w:eastAsia="Microsoft YaHei" w:hAnsi="Microsoft YaHei" w:cs="Microsoft YaHei"/>
          <w:spacing w:val="9"/>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9"/>
          <w:sz w:val="19"/>
          <w:szCs w:val="19"/>
        </w:rPr>
        <w:t>电磁兼容性能</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9"/>
          <w:sz w:val="19"/>
          <w:szCs w:val="19"/>
        </w:rPr>
        <w:t>。</w:t>
      </w:r>
    </w:p>
    <w:p>
      <w:pPr>
        <w:spacing w:line="176" w:lineRule="auto"/>
        <w:rPr>
          <w:rFonts w:ascii="Microsoft YaHei" w:eastAsia="Microsoft YaHei" w:hAnsi="Microsoft YaHei" w:cs="Microsoft YaHei"/>
          <w:sz w:val="19"/>
          <w:szCs w:val="19"/>
        </w:rPr>
        <w:sectPr>
          <w:footerReference w:type="default" r:id="rId9"/>
          <w:type w:val="nextPage"/>
          <w:pgSz w:w="11906" w:h="16838"/>
          <w:pgMar w:top="1255" w:right="1785" w:bottom="1448" w:left="1350" w:header="0" w:footer="1260" w:gutter="0"/>
          <w:pgNumType w:start="10"/>
          <w:cols w:space="708"/>
          <w:titlePg w:val="0"/>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70528"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1" type="#_x0000_t202" style="width:12.45pt;height:18.95pt;margin-top:487.98pt;margin-left:275.53pt;mso-position-horizontal-relative:page;mso-position-vertical-relative:page;mso-wrap-distance-bottom:0;mso-wrap-distance-left:0;mso-wrap-distance-right:0;mso-wrap-distance-top:0;position:absolute;rotation:300;v-text-anchor:top;z-index:251669504"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479</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80" w:lineRule="auto"/>
        <w:rPr>
          <w:sz w:val="21"/>
        </w:rPr>
      </w:pPr>
    </w:p>
    <w:p>
      <w:pPr>
        <w:spacing w:before="82" w:line="190" w:lineRule="auto"/>
        <w:ind w:left="1"/>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4.2   </w:t>
      </w:r>
      <w:r>
        <w:rPr>
          <w:rFonts w:ascii="SimHei" w:eastAsia="SimHei" w:hAnsi="SimHei" w:cs="SimHei"/>
          <w:spacing w:val="10"/>
          <w:sz w:val="19"/>
          <w:szCs w:val="19"/>
        </w:rPr>
        <w:t>功能要求</w:t>
      </w:r>
    </w:p>
    <w:p>
      <w:pPr>
        <w:spacing w:before="222"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5"/>
          <w:position w:val="-2"/>
          <w:sz w:val="19"/>
          <w:szCs w:val="19"/>
        </w:rPr>
        <w:t>4.2.</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 xml:space="preserve">1   </w:t>
      </w:r>
      <w:r>
        <w:rPr>
          <w:rFonts w:ascii="Microsoft YaHei" w:eastAsia="Microsoft YaHei" w:hAnsi="Microsoft YaHei" w:cs="Microsoft YaHei"/>
          <w:spacing w:val="5"/>
          <w:sz w:val="19"/>
          <w:szCs w:val="19"/>
        </w:rPr>
        <w:t>实验室包括燃烧实验室</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、通用实验室</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、辅助设施</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、燃气供应系统等设施</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w:t>
      </w:r>
    </w:p>
    <w:p>
      <w:pPr>
        <w:spacing w:before="91" w:line="21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9"/>
          <w:szCs w:val="19"/>
        </w:rPr>
        <w:t xml:space="preserve">4.2.2   </w:t>
      </w:r>
      <w:r>
        <w:rPr>
          <w:rFonts w:ascii="Microsoft YaHei" w:eastAsia="Microsoft YaHei" w:hAnsi="Microsoft YaHei" w:cs="Microsoft YaHei"/>
          <w:spacing w:val="11"/>
          <w:sz w:val="19"/>
          <w:szCs w:val="19"/>
        </w:rPr>
        <w:t>燃烧实验室应具备完成燃具的</w:t>
      </w:r>
      <w:r>
        <w:rPr>
          <w:rFonts w:ascii="Microsoft YaHei" w:eastAsia="Microsoft YaHei" w:hAnsi="Microsoft YaHei" w:cs="Microsoft YaHei"/>
          <w:spacing w:val="10"/>
          <w:sz w:val="19"/>
          <w:szCs w:val="19"/>
        </w:rPr>
        <w:t>热工性能</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0"/>
          <w:sz w:val="19"/>
          <w:szCs w:val="19"/>
        </w:rPr>
        <w:t>、耐久性能</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0"/>
          <w:sz w:val="19"/>
          <w:szCs w:val="19"/>
        </w:rPr>
        <w:t>、抗风性能等试验项目的功能</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w:t>
      </w:r>
    </w:p>
    <w:p>
      <w:pPr>
        <w:spacing w:before="53" w:line="21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9"/>
          <w:szCs w:val="19"/>
        </w:rPr>
        <w:t xml:space="preserve">4.2.3   </w:t>
      </w:r>
      <w:r>
        <w:rPr>
          <w:rFonts w:ascii="Microsoft YaHei" w:eastAsia="Microsoft YaHei" w:hAnsi="Microsoft YaHei" w:cs="Microsoft YaHei"/>
          <w:spacing w:val="11"/>
          <w:sz w:val="19"/>
          <w:szCs w:val="19"/>
        </w:rPr>
        <w:t>通用实验室应具备完成燃气特性</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、材料结构强度</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、燃具零部件性能等试验项</w:t>
      </w:r>
      <w:r>
        <w:rPr>
          <w:rFonts w:ascii="Microsoft YaHei" w:eastAsia="Microsoft YaHei" w:hAnsi="Microsoft YaHei" w:cs="Microsoft YaHei"/>
          <w:spacing w:val="10"/>
          <w:sz w:val="19"/>
          <w:szCs w:val="19"/>
        </w:rPr>
        <w:t>目的功能</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w:t>
      </w:r>
    </w:p>
    <w:p>
      <w:pPr>
        <w:spacing w:before="58"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4.2.4</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7"/>
          <w:sz w:val="19"/>
          <w:szCs w:val="19"/>
        </w:rPr>
        <w:t>辅助设施应具备保证燃烧实验室和通用实验室安全运行</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,并达到实验目标要求的条件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92" w:line="184"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4.2.5</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7"/>
          <w:sz w:val="19"/>
          <w:szCs w:val="19"/>
        </w:rPr>
        <w:t>燃气供应系统应具备为燃烧实验室提供符合本标准规定的气质和气量要求条件</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7"/>
          <w:sz w:val="19"/>
          <w:szCs w:val="19"/>
        </w:rPr>
        <w:t>。</w:t>
      </w:r>
    </w:p>
    <w:p>
      <w:pPr>
        <w:spacing w:before="265" w:line="187" w:lineRule="auto"/>
        <w:ind w:left="1"/>
        <w:rPr>
          <w:rFonts w:ascii="SimHei" w:eastAsia="SimHei" w:hAnsi="SimHei" w:cs="SimHei"/>
          <w:sz w:val="19"/>
          <w:szCs w:val="19"/>
        </w:rPr>
      </w:pPr>
      <w:r>
        <w:rPr>
          <w:rFonts w:ascii="Microsoft YaHei" w:eastAsia="Microsoft YaHei" w:hAnsi="Microsoft YaHei" w:cs="Microsoft YaHei"/>
          <w:spacing w:val="13"/>
          <w:position w:val="-1"/>
          <w:sz w:val="19"/>
          <w:szCs w:val="19"/>
        </w:rPr>
        <w:t>4.3</w:t>
      </w:r>
      <w:r>
        <w:rPr>
          <w:rFonts w:ascii="Microsoft YaHei" w:eastAsia="Microsoft YaHei" w:hAnsi="Microsoft YaHei" w:cs="Microsoft YaHei"/>
          <w:spacing w:val="4"/>
          <w:position w:val="-1"/>
          <w:sz w:val="19"/>
          <w:szCs w:val="19"/>
        </w:rPr>
        <w:t xml:space="preserve">   </w:t>
      </w:r>
      <w:r>
        <w:rPr>
          <w:rFonts w:ascii="SimHei" w:eastAsia="SimHei" w:hAnsi="SimHei" w:cs="SimHei"/>
          <w:spacing w:val="13"/>
          <w:sz w:val="19"/>
          <w:szCs w:val="19"/>
        </w:rPr>
        <w:t>试验环境</w:t>
      </w:r>
    </w:p>
    <w:p>
      <w:pPr>
        <w:spacing w:before="248" w:line="215" w:lineRule="auto"/>
        <w:ind w:left="19" w:right="47" w:hanging="18"/>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9"/>
          <w:szCs w:val="19"/>
        </w:rPr>
        <w:t>4.3. 1</w:t>
      </w:r>
      <w:r>
        <w:rPr>
          <w:rFonts w:ascii="Microsoft YaHei" w:eastAsia="Microsoft YaHei" w:hAnsi="Microsoft YaHei" w:cs="Microsoft YaHei"/>
          <w:spacing w:val="14"/>
          <w:w w:val="101"/>
          <w:position w:val="-2"/>
          <w:sz w:val="19"/>
          <w:szCs w:val="19"/>
        </w:rPr>
        <w:t xml:space="preserve">   </w:t>
      </w:r>
      <w:r>
        <w:rPr>
          <w:rFonts w:ascii="Microsoft YaHei" w:eastAsia="Microsoft YaHei" w:hAnsi="Microsoft YaHei" w:cs="Microsoft YaHei"/>
          <w:spacing w:val="-1"/>
          <w:sz w:val="19"/>
          <w:szCs w:val="19"/>
        </w:rPr>
        <w:t>实</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验</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
          <w:sz w:val="19"/>
          <w:szCs w:val="19"/>
        </w:rPr>
        <w:t>室</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
          <w:sz w:val="19"/>
          <w:szCs w:val="19"/>
        </w:rPr>
        <w:t>应</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
          <w:sz w:val="19"/>
          <w:szCs w:val="19"/>
        </w:rPr>
        <w:t>设</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置</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
          <w:sz w:val="19"/>
          <w:szCs w:val="19"/>
        </w:rPr>
        <w:t>室</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温</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
          <w:sz w:val="19"/>
          <w:szCs w:val="19"/>
        </w:rPr>
        <w:t>调</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节</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
          <w:sz w:val="19"/>
          <w:szCs w:val="19"/>
        </w:rPr>
        <w:t>系</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统 ,</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
          <w:sz w:val="19"/>
          <w:szCs w:val="19"/>
        </w:rPr>
        <w:t>室</w:t>
      </w:r>
      <w:r>
        <w:rPr>
          <w:rFonts w:ascii="Microsoft YaHei" w:eastAsia="Microsoft YaHei" w:hAnsi="Microsoft YaHei" w:cs="Microsoft YaHei"/>
          <w:spacing w:val="-2"/>
          <w:sz w:val="19"/>
          <w:szCs w:val="19"/>
        </w:rPr>
        <w:t xml:space="preserve"> 内</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环</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境</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
          <w:sz w:val="19"/>
          <w:szCs w:val="19"/>
        </w:rPr>
        <w:t>温</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
          <w:sz w:val="19"/>
          <w:szCs w:val="19"/>
        </w:rPr>
        <w:t>度</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不</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应</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
          <w:sz w:val="19"/>
          <w:szCs w:val="19"/>
        </w:rPr>
        <w:t>于</w:t>
      </w:r>
      <w:r>
        <w:rPr>
          <w:rFonts w:ascii="Microsoft YaHei" w:eastAsia="Microsoft YaHei" w:hAnsi="Microsoft YaHei" w:cs="Microsoft YaHei"/>
          <w:spacing w:val="37"/>
          <w:w w:val="101"/>
          <w:sz w:val="19"/>
          <w:szCs w:val="19"/>
        </w:rPr>
        <w:t xml:space="preserve"> </w:t>
      </w:r>
      <w:r>
        <w:rPr>
          <w:rFonts w:ascii="Microsoft YaHei" w:eastAsia="Microsoft YaHei" w:hAnsi="Microsoft YaHei" w:cs="Microsoft YaHei"/>
          <w:spacing w:val="-2"/>
          <w:sz w:val="19"/>
          <w:szCs w:val="19"/>
        </w:rPr>
        <w:t>16 ℃ ,</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pacing w:val="-2"/>
          <w:sz w:val="19"/>
          <w:szCs w:val="19"/>
        </w:rPr>
        <w:t>试</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验</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期</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2"/>
          <w:sz w:val="19"/>
          <w:szCs w:val="19"/>
        </w:rPr>
        <w:t>间 的</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
          <w:sz w:val="19"/>
          <w:szCs w:val="19"/>
        </w:rPr>
        <w:t>温</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度</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
          <w:sz w:val="19"/>
          <w:szCs w:val="19"/>
        </w:rPr>
        <w:t>波</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
          <w:sz w:val="19"/>
          <w:szCs w:val="19"/>
        </w:rPr>
        <w:t>动</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
          <w:sz w:val="19"/>
          <w:szCs w:val="19"/>
        </w:rPr>
        <w:t>不</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应</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
          <w:sz w:val="19"/>
          <w:szCs w:val="19"/>
        </w:rPr>
        <w:t>超</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
          <w:sz w:val="19"/>
          <w:szCs w:val="19"/>
        </w:rPr>
        <w:t>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position w:val="-1"/>
          <w:sz w:val="19"/>
          <w:szCs w:val="19"/>
        </w:rPr>
        <w:t>±5</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相对湿度不应超过 80%</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15"/>
          <w:position w:val="1"/>
          <w:sz w:val="19"/>
          <w:szCs w:val="19"/>
        </w:rPr>
        <w:t>。</w:t>
      </w:r>
    </w:p>
    <w:p>
      <w:pPr>
        <w:spacing w:before="102" w:line="217" w:lineRule="auto"/>
        <w:ind w:left="2" w:right="47" w:hanging="1"/>
        <w:rPr>
          <w:rFonts w:ascii="Microsoft YaHei" w:eastAsia="Microsoft YaHei" w:hAnsi="Microsoft YaHei" w:cs="Microsoft YaHei"/>
          <w:sz w:val="19"/>
          <w:szCs w:val="19"/>
        </w:rPr>
      </w:pPr>
      <w:r>
        <w:rPr>
          <w:rFonts w:ascii="Microsoft YaHei" w:eastAsia="Microsoft YaHei" w:hAnsi="Microsoft YaHei" w:cs="Microsoft YaHei"/>
          <w:spacing w:val="19"/>
          <w:position w:val="-2"/>
          <w:sz w:val="19"/>
          <w:szCs w:val="19"/>
        </w:rPr>
        <w:t>4.3.2</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9"/>
          <w:sz w:val="19"/>
          <w:szCs w:val="19"/>
        </w:rPr>
        <w:t>燃烧实验室应设置易燃气体和有毒气体监</w:t>
      </w:r>
      <w:r>
        <w:rPr>
          <w:rFonts w:ascii="Microsoft YaHei" w:eastAsia="Microsoft YaHei" w:hAnsi="Microsoft YaHei" w:cs="Microsoft YaHei"/>
          <w:spacing w:val="18"/>
          <w:sz w:val="19"/>
          <w:szCs w:val="19"/>
        </w:rPr>
        <w:t>测系统</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8"/>
          <w:sz w:val="19"/>
          <w:szCs w:val="19"/>
        </w:rPr>
        <w:t xml:space="preserve">,并应符合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50493的规定</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8"/>
          <w:sz w:val="19"/>
          <w:szCs w:val="19"/>
        </w:rPr>
        <w:t>;监测浓度限值应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符合国家现行相关标准的规定</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11" w:line="216" w:lineRule="auto"/>
        <w:ind w:left="3" w:right="47" w:hanging="2"/>
        <w:rPr>
          <w:rFonts w:ascii="Microsoft YaHei" w:eastAsia="Microsoft YaHei" w:hAnsi="Microsoft YaHei" w:cs="Microsoft YaHei"/>
          <w:sz w:val="19"/>
          <w:szCs w:val="19"/>
        </w:rPr>
      </w:pPr>
      <w:r>
        <w:rPr>
          <w:rFonts w:ascii="Microsoft YaHei" w:eastAsia="Microsoft YaHei" w:hAnsi="Microsoft YaHei" w:cs="Microsoft YaHei"/>
          <w:spacing w:val="20"/>
          <w:position w:val="-2"/>
          <w:sz w:val="19"/>
          <w:szCs w:val="19"/>
        </w:rPr>
        <w:t>4.3.3</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0"/>
          <w:sz w:val="19"/>
          <w:szCs w:val="19"/>
        </w:rPr>
        <w:t>值班室应设置易燃气体和有毒气体监测控制器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0"/>
          <w:sz w:val="19"/>
          <w:szCs w:val="19"/>
        </w:rPr>
        <w:t>,无人值守</w:t>
      </w:r>
      <w:r>
        <w:rPr>
          <w:rFonts w:ascii="Microsoft YaHei" w:eastAsia="Microsoft YaHei" w:hAnsi="Microsoft YaHei" w:cs="Microsoft YaHei"/>
          <w:spacing w:val="19"/>
          <w:sz w:val="19"/>
          <w:szCs w:val="19"/>
        </w:rPr>
        <w:t>时应切换至与燃气管道自动切断阀及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事故排风系统联锁模式</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sz w:val="19"/>
          <w:szCs w:val="19"/>
        </w:rPr>
        <w:t>。</w:t>
      </w:r>
    </w:p>
    <w:p>
      <w:pPr>
        <w:spacing w:before="115" w:line="175" w:lineRule="auto"/>
        <w:jc w:val="right"/>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4.3.4</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7"/>
          <w:sz w:val="19"/>
          <w:szCs w:val="19"/>
        </w:rPr>
        <w:t>燃烧实验室应设置强制通风系统</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事故换气次数不</w:t>
      </w:r>
      <w:r>
        <w:rPr>
          <w:rFonts w:ascii="Microsoft YaHei" w:eastAsia="Microsoft YaHei" w:hAnsi="Microsoft YaHei" w:cs="Microsoft YaHei"/>
          <w:spacing w:val="16"/>
          <w:sz w:val="19"/>
          <w:szCs w:val="19"/>
        </w:rPr>
        <w:t>应低于</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6"/>
          <w:sz w:val="19"/>
          <w:szCs w:val="19"/>
        </w:rPr>
        <w:t>12次/h</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 xml:space="preserve">并应符合 </w:t>
      </w:r>
      <w:r>
        <w:rPr>
          <w:rFonts w:ascii="Microsoft YaHei" w:eastAsia="Microsoft YaHei" w:hAnsi="Microsoft YaHei" w:cs="Microsoft YaHei"/>
          <w:sz w:val="19"/>
          <w:szCs w:val="19"/>
        </w:rPr>
        <w:t>GB</w:t>
      </w:r>
      <w:r>
        <w:rPr>
          <w:rFonts w:ascii="Microsoft YaHei" w:eastAsia="Microsoft YaHei" w:hAnsi="Microsoft YaHei" w:cs="Microsoft YaHei"/>
          <w:spacing w:val="16"/>
          <w:sz w:val="19"/>
          <w:szCs w:val="19"/>
        </w:rPr>
        <w:t>50019的规定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position w:val="1"/>
          <w:sz w:val="19"/>
          <w:szCs w:val="19"/>
        </w:rPr>
        <w:t>。</w:t>
      </w:r>
    </w:p>
    <w:p>
      <w:pPr>
        <w:spacing w:before="93" w:line="18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4.3.5</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6"/>
          <w:sz w:val="19"/>
          <w:szCs w:val="19"/>
        </w:rPr>
        <w:t>燃烧实验室应设置独立的燃烧废气排放系统</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6"/>
          <w:sz w:val="19"/>
          <w:szCs w:val="19"/>
        </w:rPr>
        <w:t>。</w:t>
      </w:r>
    </w:p>
    <w:p>
      <w:pPr>
        <w:spacing w:before="88" w:line="184"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4.3.6</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7"/>
          <w:sz w:val="19"/>
          <w:szCs w:val="19"/>
        </w:rPr>
        <w:t>实验室建筑内消防用水可共用实验室给水管道</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,给水管末端压力应大于 0</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7"/>
          <w:position w:val="-2"/>
          <w:sz w:val="19"/>
          <w:szCs w:val="19"/>
        </w:rPr>
        <w:t>25</w:t>
      </w:r>
      <w:r>
        <w:rPr>
          <w:rFonts w:ascii="Microsoft YaHei" w:eastAsia="Microsoft YaHei" w:hAnsi="Microsoft YaHei" w:cs="Microsoft YaHei"/>
          <w:position w:val="-2"/>
          <w:sz w:val="19"/>
          <w:szCs w:val="19"/>
        </w:rPr>
        <w:t>MPa</w:t>
      </w:r>
      <w:r>
        <w:rPr>
          <w:rFonts w:ascii="Microsoft YaHei" w:eastAsia="Microsoft YaHei" w:hAnsi="Microsoft YaHei" w:cs="Microsoft YaHei"/>
          <w:spacing w:val="17"/>
          <w:sz w:val="19"/>
          <w:szCs w:val="19"/>
        </w:rPr>
        <w:t>。</w:t>
      </w:r>
    </w:p>
    <w:p>
      <w:pPr>
        <w:spacing w:before="94" w:line="181"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4.3.7</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排入室外排水管道系统的实验废水温</w:t>
      </w:r>
      <w:r>
        <w:rPr>
          <w:rFonts w:ascii="Microsoft YaHei" w:eastAsia="Microsoft YaHei" w:hAnsi="Microsoft YaHei" w:cs="Microsoft YaHei"/>
          <w:spacing w:val="14"/>
          <w:sz w:val="19"/>
          <w:szCs w:val="19"/>
        </w:rPr>
        <w:t>度应低于 40</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before="84" w:line="21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4.3.</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2"/>
          <w:sz w:val="19"/>
          <w:szCs w:val="19"/>
        </w:rPr>
        <w:t>8</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5"/>
          <w:sz w:val="19"/>
          <w:szCs w:val="19"/>
        </w:rPr>
        <w:t>燃气采暖热水炉测试用水宜采用独立循环供水系统</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5"/>
          <w:sz w:val="19"/>
          <w:szCs w:val="19"/>
        </w:rPr>
        <w:t>。</w:t>
      </w:r>
    </w:p>
    <w:p>
      <w:pPr>
        <w:spacing w:before="61" w:line="17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4.3.9</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7"/>
          <w:sz w:val="19"/>
          <w:szCs w:val="19"/>
        </w:rPr>
        <w:t>储存有可燃物的房间宜设置火灾自动报警系统</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 xml:space="preserve">并应符合 </w:t>
      </w:r>
      <w:r>
        <w:rPr>
          <w:rFonts w:ascii="Microsoft YaHei" w:eastAsia="Microsoft YaHei" w:hAnsi="Microsoft YaHei" w:cs="Microsoft YaHei"/>
          <w:sz w:val="19"/>
          <w:szCs w:val="19"/>
        </w:rPr>
        <w:t>GB</w:t>
      </w:r>
      <w:r>
        <w:rPr>
          <w:rFonts w:ascii="Microsoft YaHei" w:eastAsia="Microsoft YaHei" w:hAnsi="Microsoft YaHei" w:cs="Microsoft YaHei"/>
          <w:spacing w:val="17"/>
          <w:sz w:val="19"/>
          <w:szCs w:val="19"/>
        </w:rPr>
        <w:t>50116的</w:t>
      </w:r>
      <w:r>
        <w:rPr>
          <w:rFonts w:ascii="Microsoft YaHei" w:eastAsia="Microsoft YaHei" w:hAnsi="Microsoft YaHei" w:cs="Microsoft YaHei"/>
          <w:spacing w:val="16"/>
          <w:sz w:val="19"/>
          <w:szCs w:val="19"/>
        </w:rPr>
        <w:t>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position w:val="1"/>
          <w:sz w:val="19"/>
          <w:szCs w:val="19"/>
        </w:rPr>
        <w:t>。</w:t>
      </w:r>
    </w:p>
    <w:p>
      <w:pPr>
        <w:spacing w:before="91" w:line="17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9"/>
          <w:szCs w:val="19"/>
        </w:rPr>
        <w:t>4.3.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3"/>
          <w:position w:val="-1"/>
          <w:sz w:val="19"/>
          <w:szCs w:val="19"/>
        </w:rPr>
        <w:t>10</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3"/>
          <w:sz w:val="19"/>
          <w:szCs w:val="19"/>
        </w:rPr>
        <w:t>实验室应配置灭火器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sz w:val="19"/>
          <w:szCs w:val="19"/>
        </w:rPr>
        <w:t xml:space="preserve">并应符合 </w:t>
      </w:r>
      <w:r>
        <w:rPr>
          <w:rFonts w:ascii="Microsoft YaHei" w:eastAsia="Microsoft YaHei" w:hAnsi="Microsoft YaHei" w:cs="Microsoft YaHei"/>
          <w:sz w:val="19"/>
          <w:szCs w:val="19"/>
        </w:rPr>
        <w:t>GB</w:t>
      </w:r>
      <w:r>
        <w:rPr>
          <w:rFonts w:ascii="Microsoft YaHei" w:eastAsia="Microsoft YaHei" w:hAnsi="Microsoft YaHei" w:cs="Microsoft YaHei"/>
          <w:spacing w:val="13"/>
          <w:sz w:val="19"/>
          <w:szCs w:val="19"/>
        </w:rPr>
        <w:t>50140的规定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position w:val="1"/>
          <w:sz w:val="19"/>
          <w:szCs w:val="19"/>
        </w:rPr>
        <w:t>。</w:t>
      </w:r>
    </w:p>
    <w:p>
      <w:pPr>
        <w:spacing w:before="260" w:line="225" w:lineRule="auto"/>
        <w:ind w:left="1"/>
        <w:rPr>
          <w:rFonts w:ascii="SimHei" w:eastAsia="SimHei" w:hAnsi="SimHei" w:cs="SimHei"/>
          <w:sz w:val="19"/>
          <w:szCs w:val="19"/>
        </w:rPr>
      </w:pPr>
      <w:r>
        <w:rPr>
          <w:rFonts w:ascii="Microsoft YaHei" w:eastAsia="Microsoft YaHei" w:hAnsi="Microsoft YaHei" w:cs="Microsoft YaHei"/>
          <w:spacing w:val="13"/>
          <w:position w:val="-1"/>
          <w:sz w:val="19"/>
          <w:szCs w:val="19"/>
        </w:rPr>
        <w:t>4.4</w:t>
      </w:r>
      <w:r>
        <w:rPr>
          <w:rFonts w:ascii="Microsoft YaHei" w:eastAsia="Microsoft YaHei" w:hAnsi="Microsoft YaHei" w:cs="Microsoft YaHei"/>
          <w:spacing w:val="4"/>
          <w:position w:val="-1"/>
          <w:sz w:val="19"/>
          <w:szCs w:val="19"/>
        </w:rPr>
        <w:t xml:space="preserve">   </w:t>
      </w:r>
      <w:r>
        <w:rPr>
          <w:rFonts w:ascii="SimHei" w:eastAsia="SimHei" w:hAnsi="SimHei" w:cs="SimHei"/>
          <w:spacing w:val="13"/>
          <w:sz w:val="19"/>
          <w:szCs w:val="19"/>
        </w:rPr>
        <w:t>供气质量</w:t>
      </w:r>
    </w:p>
    <w:p>
      <w:pPr>
        <w:spacing w:before="210"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4.4.</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3"/>
          <w:position w:val="-2"/>
          <w:sz w:val="19"/>
          <w:szCs w:val="19"/>
        </w:rPr>
        <w:t>1</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3"/>
          <w:sz w:val="19"/>
          <w:szCs w:val="19"/>
        </w:rPr>
        <w:t>试验用燃气质量应符合以下规定</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3"/>
          <w:sz w:val="19"/>
          <w:szCs w:val="19"/>
        </w:rPr>
        <w:t>:</w:t>
      </w:r>
    </w:p>
    <w:p>
      <w:pPr>
        <w:spacing w:before="102" w:line="179"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9"/>
          <w:position w:val="-2"/>
          <w:sz w:val="19"/>
          <w:szCs w:val="19"/>
        </w:rPr>
        <w:t>a</w:t>
      </w:r>
      <w:r>
        <w:rPr>
          <w:rFonts w:ascii="Microsoft YaHei" w:eastAsia="Microsoft YaHei" w:hAnsi="Microsoft YaHei" w:cs="Microsoft YaHei"/>
          <w:spacing w:val="19"/>
          <w:sz w:val="19"/>
          <w:szCs w:val="19"/>
        </w:rPr>
        <w:t>)   燃气配气系统应向实验室提供符合</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9"/>
          <w:sz w:val="19"/>
          <w:szCs w:val="19"/>
        </w:rPr>
        <w:t>/T13611</w:t>
      </w:r>
      <w:r>
        <w:rPr>
          <w:rFonts w:ascii="Microsoft YaHei" w:eastAsia="Microsoft YaHei" w:hAnsi="Microsoft YaHei" w:cs="Microsoft YaHei"/>
          <w:spacing w:val="18"/>
          <w:sz w:val="19"/>
          <w:szCs w:val="19"/>
        </w:rPr>
        <w:t>规定的试验用燃气</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8"/>
          <w:sz w:val="19"/>
          <w:szCs w:val="19"/>
        </w:rPr>
        <w:t>;</w:t>
      </w:r>
    </w:p>
    <w:p>
      <w:pPr>
        <w:spacing w:before="95" w:line="362"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8"/>
          <w:position w:val="13"/>
          <w:sz w:val="19"/>
          <w:szCs w:val="19"/>
        </w:rPr>
        <w:t>b)   全性能试验的试验气华白数偏差范围为</w:t>
      </w:r>
      <w:r>
        <w:rPr>
          <w:rFonts w:ascii="Microsoft YaHei" w:eastAsia="Microsoft YaHei" w:hAnsi="Microsoft YaHei" w:cs="Microsoft YaHei"/>
          <w:spacing w:val="-12"/>
          <w:position w:val="13"/>
          <w:sz w:val="19"/>
          <w:szCs w:val="19"/>
        </w:rPr>
        <w:t xml:space="preserve"> </w:t>
      </w:r>
      <w:r>
        <w:rPr>
          <w:rFonts w:ascii="Microsoft YaHei" w:eastAsia="Microsoft YaHei" w:hAnsi="Microsoft YaHei" w:cs="Microsoft YaHei"/>
          <w:spacing w:val="18"/>
          <w:position w:val="13"/>
          <w:sz w:val="19"/>
          <w:szCs w:val="19"/>
        </w:rPr>
        <w:t>±2%</w:t>
      </w:r>
      <w:r>
        <w:rPr>
          <w:rFonts w:ascii="Microsoft YaHei" w:eastAsia="Microsoft YaHei" w:hAnsi="Microsoft YaHei" w:cs="Microsoft YaHei"/>
          <w:spacing w:val="-15"/>
          <w:position w:val="13"/>
          <w:sz w:val="19"/>
          <w:szCs w:val="19"/>
        </w:rPr>
        <w:t xml:space="preserve"> </w:t>
      </w:r>
      <w:r>
        <w:rPr>
          <w:rFonts w:ascii="Microsoft YaHei" w:eastAsia="Microsoft YaHei" w:hAnsi="Microsoft YaHei" w:cs="Microsoft YaHei"/>
          <w:spacing w:val="18"/>
          <w:position w:val="13"/>
          <w:sz w:val="19"/>
          <w:szCs w:val="19"/>
        </w:rPr>
        <w:t>;常规试验的试验气华白数偏差范围为</w:t>
      </w:r>
      <w:r>
        <w:rPr>
          <w:rFonts w:ascii="Microsoft YaHei" w:eastAsia="Microsoft YaHei" w:hAnsi="Microsoft YaHei" w:cs="Microsoft YaHei"/>
          <w:spacing w:val="-20"/>
          <w:position w:val="13"/>
          <w:sz w:val="19"/>
          <w:szCs w:val="19"/>
        </w:rPr>
        <w:t xml:space="preserve"> </w:t>
      </w:r>
      <w:r>
        <w:rPr>
          <w:rFonts w:ascii="Microsoft YaHei" w:eastAsia="Microsoft YaHei" w:hAnsi="Microsoft YaHei" w:cs="Microsoft YaHei"/>
          <w:spacing w:val="18"/>
          <w:position w:val="13"/>
          <w:sz w:val="19"/>
          <w:szCs w:val="19"/>
        </w:rPr>
        <w:t>±5%</w:t>
      </w:r>
      <w:r>
        <w:rPr>
          <w:rFonts w:ascii="Microsoft YaHei" w:eastAsia="Microsoft YaHei" w:hAnsi="Microsoft YaHei" w:cs="Microsoft YaHei"/>
          <w:spacing w:val="-32"/>
          <w:position w:val="13"/>
          <w:sz w:val="19"/>
          <w:szCs w:val="19"/>
        </w:rPr>
        <w:t xml:space="preserve"> </w:t>
      </w:r>
      <w:r>
        <w:rPr>
          <w:rFonts w:ascii="Microsoft YaHei" w:eastAsia="Microsoft YaHei" w:hAnsi="Microsoft YaHei" w:cs="Microsoft YaHei"/>
          <w:spacing w:val="18"/>
          <w:position w:val="13"/>
          <w:sz w:val="19"/>
          <w:szCs w:val="19"/>
        </w:rPr>
        <w:t>。</w:t>
      </w:r>
    </w:p>
    <w:p>
      <w:pPr>
        <w:spacing w:before="2" w:line="18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 xml:space="preserve">4.4.2   </w:t>
      </w:r>
      <w:r>
        <w:rPr>
          <w:rFonts w:ascii="Microsoft YaHei" w:eastAsia="Microsoft YaHei" w:hAnsi="Microsoft YaHei" w:cs="Microsoft YaHei"/>
          <w:spacing w:val="14"/>
          <w:sz w:val="19"/>
          <w:szCs w:val="19"/>
        </w:rPr>
        <w:t>配气用原料气质量应符合以下规定</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4"/>
          <w:sz w:val="19"/>
          <w:szCs w:val="19"/>
        </w:rPr>
        <w:t>:</w:t>
      </w:r>
    </w:p>
    <w:p>
      <w:pPr>
        <w:spacing w:before="90" w:line="179"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2"/>
          <w:sz w:val="19"/>
          <w:szCs w:val="19"/>
        </w:rPr>
        <w:t>a</w:t>
      </w:r>
      <w:r>
        <w:rPr>
          <w:rFonts w:ascii="Microsoft YaHei" w:eastAsia="Microsoft YaHei" w:hAnsi="Microsoft YaHei" w:cs="Microsoft YaHei"/>
          <w:spacing w:val="-2"/>
          <w:sz w:val="19"/>
          <w:szCs w:val="19"/>
        </w:rPr>
        <w:t>)    气瓶间应配备甲烷</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
          <w:sz w:val="19"/>
          <w:szCs w:val="19"/>
        </w:rPr>
        <w:t>、丙烷</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
          <w:sz w:val="19"/>
          <w:szCs w:val="19"/>
        </w:rPr>
        <w:t>、丁烷</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
          <w:sz w:val="19"/>
          <w:szCs w:val="19"/>
        </w:rPr>
        <w:t>、氢气</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
          <w:sz w:val="19"/>
          <w:szCs w:val="19"/>
        </w:rPr>
        <w:t>、氮气</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
          <w:sz w:val="19"/>
          <w:szCs w:val="19"/>
        </w:rPr>
        <w:t>、液化石油气等气瓶组 ;</w:t>
      </w:r>
    </w:p>
    <w:p>
      <w:pPr>
        <w:spacing w:before="98" w:line="179"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b)   配气用原料气选用城市管道燃气时</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7"/>
          <w:sz w:val="19"/>
          <w:szCs w:val="19"/>
        </w:rPr>
        <w:t xml:space="preserve">,燃气质量应符合 </w:t>
      </w:r>
      <w:r>
        <w:rPr>
          <w:rFonts w:ascii="Microsoft YaHei" w:eastAsia="Microsoft YaHei" w:hAnsi="Microsoft YaHei" w:cs="Microsoft YaHei"/>
          <w:sz w:val="19"/>
          <w:szCs w:val="19"/>
        </w:rPr>
        <w:t>GB</w:t>
      </w:r>
      <w:r>
        <w:rPr>
          <w:rFonts w:ascii="Microsoft YaHei" w:eastAsia="Microsoft YaHei" w:hAnsi="Microsoft YaHei" w:cs="Microsoft YaHei"/>
          <w:spacing w:val="17"/>
          <w:sz w:val="19"/>
          <w:szCs w:val="19"/>
        </w:rPr>
        <w:t>50028的规定</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w:t>
      </w:r>
    </w:p>
    <w:p>
      <w:pPr>
        <w:spacing w:before="116" w:line="179"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c</w:t>
      </w:r>
      <w:r>
        <w:rPr>
          <w:rFonts w:ascii="Microsoft YaHei" w:eastAsia="Microsoft YaHei" w:hAnsi="Microsoft YaHei" w:cs="Microsoft YaHei"/>
          <w:spacing w:val="12"/>
          <w:sz w:val="19"/>
          <w:szCs w:val="19"/>
        </w:rPr>
        <w:t>)    配气用空气应无油</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2"/>
          <w:sz w:val="19"/>
          <w:szCs w:val="19"/>
        </w:rPr>
        <w:t>、水和其他杂质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2"/>
          <w:sz w:val="19"/>
          <w:szCs w:val="19"/>
        </w:rPr>
        <w:t>,应从配</w:t>
      </w:r>
      <w:r>
        <w:rPr>
          <w:rFonts w:ascii="Microsoft YaHei" w:eastAsia="Microsoft YaHei" w:hAnsi="Microsoft YaHei" w:cs="Microsoft YaHei"/>
          <w:spacing w:val="11"/>
          <w:sz w:val="19"/>
          <w:szCs w:val="19"/>
        </w:rPr>
        <w:t>气站外管道接入</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1"/>
          <w:sz w:val="19"/>
          <w:szCs w:val="19"/>
        </w:rPr>
        <w:t>;</w:t>
      </w:r>
    </w:p>
    <w:p>
      <w:pPr>
        <w:spacing w:before="95" w:line="179"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d)   原料气实瓶数量按当地原料气保障能力确定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9"/>
          <w:sz w:val="19"/>
          <w:szCs w:val="19"/>
        </w:rPr>
        <w:t>,宜</w:t>
      </w:r>
      <w:r>
        <w:rPr>
          <w:rFonts w:ascii="Microsoft YaHei" w:eastAsia="Microsoft YaHei" w:hAnsi="Microsoft YaHei" w:cs="Microsoft YaHei"/>
          <w:spacing w:val="18"/>
          <w:sz w:val="19"/>
          <w:szCs w:val="19"/>
        </w:rPr>
        <w:t>按 2d的测试气用气量配置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8"/>
          <w:sz w:val="19"/>
          <w:szCs w:val="19"/>
        </w:rPr>
        <w:t>;</w:t>
      </w:r>
    </w:p>
    <w:p>
      <w:pPr>
        <w:spacing w:before="118" w:line="179" w:lineRule="auto"/>
        <w:ind w:left="426"/>
        <w:rPr>
          <w:rFonts w:ascii="Microsoft YaHei" w:eastAsia="Microsoft YaHei" w:hAnsi="Microsoft YaHei" w:cs="Microsoft YaHei"/>
          <w:sz w:val="19"/>
          <w:szCs w:val="19"/>
        </w:rPr>
        <w:sectPr>
          <w:footerReference w:type="default" r:id="rId10"/>
          <w:pgSz w:w="11906" w:h="16838"/>
          <w:pgMar w:top="1255" w:right="1301" w:bottom="1444" w:left="1349" w:header="0" w:footer="1259" w:gutter="0"/>
          <w:pgNumType w:start="11"/>
          <w:cols w:space="708"/>
        </w:sectPr>
      </w:pPr>
      <w:r>
        <w:rPr>
          <w:rFonts w:ascii="Microsoft YaHei" w:eastAsia="Microsoft YaHei" w:hAnsi="Microsoft YaHei" w:cs="Microsoft YaHei"/>
          <w:spacing w:val="16"/>
          <w:position w:val="-2"/>
          <w:sz w:val="19"/>
          <w:szCs w:val="19"/>
        </w:rPr>
        <w:t>e</w:t>
      </w:r>
      <w:r>
        <w:rPr>
          <w:rFonts w:ascii="Microsoft YaHei" w:eastAsia="Microsoft YaHei" w:hAnsi="Microsoft YaHei" w:cs="Microsoft YaHei"/>
          <w:spacing w:val="16"/>
          <w:sz w:val="19"/>
          <w:szCs w:val="19"/>
        </w:rPr>
        <w:t>)    当选用其他原料气瓶和供气模式时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6"/>
          <w:sz w:val="19"/>
          <w:szCs w:val="19"/>
        </w:rPr>
        <w:t>,运行压力和气质应符合国家现行相关标准的规定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pStyle w:val="BodyText"/>
        <w:spacing w:line="341" w:lineRule="auto"/>
        <w:rPr>
          <w:sz w:val="21"/>
        </w:rPr>
      </w:pPr>
    </w:p>
    <w:p>
      <w:pPr>
        <w:spacing w:before="82" w:line="195" w:lineRule="auto"/>
        <w:rPr>
          <w:rFonts w:ascii="SimHei" w:eastAsia="SimHei" w:hAnsi="SimHei" w:cs="SimHei"/>
          <w:sz w:val="19"/>
          <w:szCs w:val="19"/>
        </w:rPr>
      </w:pPr>
      <w:r>
        <w:rPr>
          <w:rFonts w:ascii="Microsoft YaHei" w:eastAsia="Microsoft YaHei" w:hAnsi="Microsoft YaHei" w:cs="Microsoft YaHei"/>
          <w:spacing w:val="17"/>
          <w:position w:val="-2"/>
          <w:sz w:val="19"/>
          <w:szCs w:val="19"/>
        </w:rPr>
        <w:t>5</w:t>
      </w:r>
      <w:r>
        <w:rPr>
          <w:rFonts w:ascii="Microsoft YaHei" w:eastAsia="Microsoft YaHei" w:hAnsi="Microsoft YaHei" w:cs="Microsoft YaHei"/>
          <w:spacing w:val="5"/>
          <w:position w:val="-2"/>
          <w:sz w:val="19"/>
          <w:szCs w:val="19"/>
        </w:rPr>
        <w:t xml:space="preserve">   </w:t>
      </w:r>
      <w:r>
        <w:rPr>
          <w:rFonts w:ascii="SimHei" w:eastAsia="SimHei" w:hAnsi="SimHei" w:cs="SimHei"/>
          <w:spacing w:val="17"/>
          <w:sz w:val="19"/>
          <w:szCs w:val="19"/>
        </w:rPr>
        <w:t>试验仪器设备</w:t>
      </w:r>
    </w:p>
    <w:p>
      <w:pPr>
        <w:pStyle w:val="BodyText"/>
        <w:spacing w:line="284" w:lineRule="auto"/>
        <w:rPr>
          <w:sz w:val="21"/>
        </w:rPr>
      </w:pPr>
    </w:p>
    <w:p>
      <w:pPr>
        <w:spacing w:before="82" w:line="195" w:lineRule="auto"/>
        <w:rPr>
          <w:rFonts w:ascii="SimHei" w:eastAsia="SimHei" w:hAnsi="SimHei" w:cs="SimHei"/>
          <w:sz w:val="19"/>
          <w:szCs w:val="19"/>
        </w:rPr>
      </w:pPr>
      <w:r>
        <w:rPr>
          <w:rFonts w:ascii="Microsoft YaHei" w:eastAsia="Microsoft YaHei" w:hAnsi="Microsoft YaHei" w:cs="Microsoft YaHei"/>
          <w:spacing w:val="11"/>
          <w:position w:val="-2"/>
          <w:sz w:val="19"/>
          <w:szCs w:val="19"/>
        </w:rPr>
        <w:t>5.</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1"/>
          <w:position w:val="-2"/>
          <w:sz w:val="19"/>
          <w:szCs w:val="19"/>
        </w:rPr>
        <w:t xml:space="preserve">1   </w:t>
      </w:r>
      <w:r>
        <w:rPr>
          <w:rFonts w:ascii="SimHei" w:eastAsia="SimHei" w:hAnsi="SimHei" w:cs="SimHei"/>
          <w:spacing w:val="11"/>
          <w:sz w:val="19"/>
          <w:szCs w:val="19"/>
        </w:rPr>
        <w:t>实验室应配置仪器设备</w:t>
      </w:r>
    </w:p>
    <w:p>
      <w:pPr>
        <w:spacing w:before="239" w:line="183"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实验室应具备完成 4</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15"/>
          <w:position w:val="-2"/>
          <w:sz w:val="19"/>
          <w:szCs w:val="19"/>
        </w:rPr>
        <w:t>1.</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15"/>
          <w:sz w:val="19"/>
          <w:szCs w:val="19"/>
        </w:rPr>
        <w:t>1规定试验项目的仪器设备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sz w:val="19"/>
          <w:szCs w:val="19"/>
        </w:rPr>
        <w:t>,并应符合表</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5"/>
          <w:sz w:val="19"/>
          <w:szCs w:val="19"/>
        </w:rPr>
        <w:t>1</w:t>
      </w:r>
      <w:r>
        <w:rPr>
          <w:rFonts w:ascii="Microsoft YaHei" w:eastAsia="Microsoft YaHei" w:hAnsi="Microsoft YaHei" w:cs="Microsoft YaHei"/>
          <w:spacing w:val="14"/>
          <w:sz w:val="19"/>
          <w:szCs w:val="19"/>
        </w:rPr>
        <w:t>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line="183" w:lineRule="auto"/>
        <w:rPr>
          <w:rFonts w:ascii="Microsoft YaHei" w:eastAsia="Microsoft YaHei" w:hAnsi="Microsoft YaHei" w:cs="Microsoft YaHei"/>
          <w:sz w:val="19"/>
          <w:szCs w:val="19"/>
        </w:rPr>
      </w:pP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 w:history="1">
        <w:r>
          <w:rPr>
            <w:rFonts w:ascii="SimSun" w:eastAsia="SimSun" w:hAnsi="SimSun" w:cs="SimSun"/>
            <w:b/>
            <w:bCs/>
            <w:noProof w:val="0"/>
            <w:snapToGrid/>
            <w:color w:val="0000EE"/>
            <w:kern w:val="0"/>
            <w:sz w:val="30"/>
            <w:szCs w:val="30"/>
            <w:u w:val="single" w:color="0000EE"/>
          </w:rPr>
          <w:t>https://d.book118.com/228040062034006040</w:t>
        </w:r>
      </w:hyperlink>
    </w:p>
    <w:p>
      <w:pPr>
        <w:spacing w:line="183" w:lineRule="auto"/>
        <w:rPr>
          <w:rFonts w:ascii="Microsoft YaHei" w:eastAsia="Microsoft YaHei" w:hAnsi="Microsoft YaHei" w:cs="Microsoft YaHei"/>
          <w:sz w:val="19"/>
          <w:szCs w:val="19"/>
        </w:rPr>
      </w:pPr>
    </w:p>
    <w:sectPr>
      <w:footerReference w:type="default" r:id="rId12"/>
      <w:type w:val="nextPage"/>
      <w:pgSz w:w="11906" w:h="16838"/>
      <w:pgMar w:top="1255" w:right="1301" w:bottom="1444" w:left="1349" w:header="0" w:footer="1259"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8868"/>
      <w:rPr>
        <w:rFonts w:ascii="Microsoft YaHei" w:eastAsia="Microsoft YaHei" w:hAnsi="Microsoft YaHei" w:cs="Microsoft YaHei"/>
        <w:sz w:val="14"/>
        <w:szCs w:val="14"/>
      </w:rPr>
    </w:pPr>
    <w:r>
      <w:rPr>
        <w:rFonts w:ascii="Microsoft YaHei" w:eastAsia="Microsoft YaHei" w:hAnsi="Microsoft YaHei" w:cs="Microsoft YaHei"/>
        <w:sz w:val="14"/>
        <w:szCs w:val="14"/>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6"/>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6"/>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61"/>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61"/>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19"/>
      <w:szCs w:val="19"/>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22804006203400604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2024-02-25T14:41:46Z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2024-02-25T15:07:24Z</vt:filetime>
  </property>
  <property fmtid="{D5CDD505-2E9C-101B-9397-08002B2CF9AE}" pid="3" name="CRO">
    <vt:lpwstr>wqlLaW5nc29mdCBQREYgdG8gV1BTIDkw</vt:lpwstr>
  </property>
</Properties>
</file>