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华文仿宋" w:eastAsia="华文仿宋" w:hAnsi="华文仿宋"/>
        </w:rPr>
      </w:pPr>
    </w:p>
    <w:p>
      <w:pPr>
        <w:keepNext w:val="0"/>
        <w:keepLines w:val="0"/>
        <w:widowControl/>
        <w:suppressLineNumbers w:val="0"/>
        <w:snapToGrid/>
        <w:spacing w:beforeAutospacing="0" w:afterAutospacing="0" w:line="360" w:lineRule="auto"/>
        <w:ind w:left="0" w:right="0" w:firstLine="0" w:leftChars="0" w:rightChars="0" w:firstLineChars="0"/>
        <w:jc w:val="both"/>
        <w:rPr>
          <w:rFonts w:hint="eastAsia"/>
        </w:rPr>
      </w:pPr>
      <w:r>
        <w:rPr>
          <w:rFonts w:ascii="华文仿宋" w:eastAsia="华文仿宋" w:hAnsi="华文仿宋"/>
          <w:szCs w:val="24"/>
        </w:rPr>
        <w:t xml:space="preserve">         </w:t>
      </w:r>
      <w:r>
        <w:rPr>
          <w:rFonts w:ascii="华文仿宋" w:eastAsia="华文仿宋" w:hAnsi="华文仿宋"/>
          <w:color w:val="0000FF"/>
          <w:sz w:val="28"/>
          <w:szCs w:val="28"/>
        </w:rPr>
        <w:t xml:space="preserve">           </w:t>
      </w:r>
      <w:r>
        <w:rPr>
          <w:rFonts w:ascii="华文中宋" w:eastAsia="华文中宋" w:hAnsi="华文中宋" w:cs="华文中宋" w:hint="eastAsia"/>
          <w:sz w:val="44"/>
          <w:szCs w:val="44"/>
          <w:lang w:val="en-US" w:eastAsia="zh-CN"/>
        </w:rPr>
        <w:t>摘要</w:t>
      </w:r>
    </w:p>
    <w:p>
      <w:pPr>
        <w:keepNext w:val="0"/>
        <w:keepLines w:val="0"/>
        <w:widowControl/>
        <w:suppressLineNumbers w:val="0"/>
        <w:snapToGrid/>
        <w:spacing w:beforeAutospacing="0" w:afterAutospacing="0" w:line="360" w:lineRule="auto"/>
        <w:ind w:left="0" w:right="0" w:firstLine="0" w:leftChars="0" w:rightChars="0" w:firstLineChars="0"/>
        <w:jc w:val="both"/>
        <w:rPr>
          <w:rFonts w:ascii="华文中宋" w:eastAsia="华文中宋" w:hAnsi="华文中宋" w:cs="华文中宋" w:hint="eastAsia"/>
          <w:b w:val="0"/>
          <w:bCs/>
          <w:kern w:val="0"/>
          <w:lang w:bidi="ar"/>
        </w:rPr>
      </w:pPr>
      <w:r>
        <w:rPr>
          <w:rFonts w:ascii="华文中宋" w:eastAsia="华文中宋" w:hAnsi="华文中宋" w:cs="华文中宋" w:hint="eastAsia"/>
          <w:b w:val="0"/>
          <w:bCs/>
          <w:i w:val="0"/>
          <w:kern w:val="0"/>
          <w:sz w:val="24"/>
          <w:szCs w:val="24"/>
          <w:lang w:val="en-US" w:eastAsia="zh-CN" w:bidi="ar"/>
        </w:rPr>
        <w:t>有效市场假说是传统金融理论的基石。但是随着金融市场日趋完善，有效市场假说无法解释越来越多的市场异象。节日效应作为市场异象的一部分，近年来受到越来越多专家学者的关注。本文利用arma-garch和garch-m模型，加入节前节后以及假期长短等4个虚拟变量，采用事件分析法，选取解日前一个交易周，节日后三个交易周作为窗口进行分析。结果表明:  春节的节前节后效应非常明显，劳动节的节前效应和节后效应都存在，且节后效应比节前效应要强。元旦节节前节后效应都比较弱。国庆节仅有节前效应而无节后效应。元宵节仅有节后效应而无节前效应。端午节节前效应弱节后效应强。中秋节节前效应弱，且基本没有节后效应。清明节节前效应弱，节后效应强。</w:t>
      </w:r>
    </w:p>
    <w:p>
      <w:pPr>
        <w:keepNext w:val="0"/>
        <w:keepLines w:val="0"/>
        <w:widowControl/>
        <w:suppressLineNumbers w:val="0"/>
        <w:snapToGrid/>
        <w:spacing w:beforeAutospacing="0" w:afterAutospacing="0" w:line="360" w:lineRule="auto"/>
        <w:ind w:left="0" w:right="0" w:firstLine="0" w:leftChars="0" w:rightChars="0" w:firstLineChars="0"/>
        <w:jc w:val="both"/>
        <w:rPr>
          <w:rFonts w:ascii="华文中宋" w:eastAsia="华文中宋" w:hAnsi="华文中宋" w:cs="华文中宋" w:hint="eastAsia"/>
          <w:b w:val="0"/>
          <w:bCs/>
          <w:kern w:val="0"/>
          <w:lang w:bidi="ar"/>
        </w:rPr>
      </w:pPr>
      <w:r>
        <w:rPr>
          <w:rFonts w:ascii="华文中宋" w:eastAsia="华文中宋" w:hAnsi="华文中宋" w:cs="华文中宋" w:hint="eastAsia"/>
          <w:b w:val="0"/>
          <w:bCs/>
          <w:i w:val="0"/>
          <w:kern w:val="0"/>
          <w:sz w:val="24"/>
          <w:szCs w:val="24"/>
          <w:lang w:val="en-US" w:eastAsia="zh-CN" w:bidi="ar"/>
        </w:rPr>
        <w:t>关键词： 节日效应；事件分析法；GARCH模型</w:t>
      </w:r>
    </w:p>
    <w:p>
      <w:pPr>
        <w:rPr>
          <w:rFonts w:hint="eastAsia"/>
        </w:rPr>
      </w:pPr>
    </w:p>
    <w:p>
      <w:pPr>
        <w:keepNext w:val="0"/>
        <w:keepLines w:val="0"/>
        <w:widowControl/>
        <w:suppressLineNumbers w:val="0"/>
        <w:snapToGrid/>
        <w:spacing w:beforeAutospacing="0" w:afterAutospacing="0" w:line="360" w:lineRule="auto"/>
        <w:ind w:left="0" w:right="0" w:firstLine="0" w:leftChars="0" w:rightChars="0" w:firstLineChars="0"/>
        <w:jc w:val="both"/>
        <w:rPr>
          <w:rFonts w:ascii="Times New Roman Uni" w:eastAsia="Times New Roman Uni" w:hAnsi="Times New Roman Uni" w:cs="Times New Roman Uni" w:hint="eastAsia"/>
          <w:sz w:val="44"/>
          <w:szCs w:val="44"/>
        </w:rPr>
      </w:pPr>
      <w:r>
        <w:rPr>
          <w:rFonts w:ascii="Times New Roman Uni" w:eastAsia="Times New Roman Uni" w:hAnsi="Times New Roman Uni" w:cs="Times New Roman Uni" w:hint="eastAsia"/>
          <w:sz w:val="44"/>
          <w:szCs w:val="44"/>
          <w:lang w:val="en-US" w:eastAsia="zh-CN"/>
        </w:rPr>
        <w:t>Abstract</w:t>
      </w:r>
    </w:p>
    <w:p>
      <w:pPr>
        <w:keepNext w:val="0"/>
        <w:keepLines w:val="0"/>
        <w:widowControl/>
        <w:suppressLineNumbers w:val="0"/>
        <w:snapToGrid/>
        <w:spacing w:beforeAutospacing="0" w:afterAutospacing="0" w:line="360" w:lineRule="auto"/>
        <w:ind w:left="0" w:right="0" w:firstLine="0" w:leftChars="0" w:rightChars="0" w:firstLineChars="0"/>
        <w:jc w:val="both"/>
        <w:rPr>
          <w:rFonts w:ascii="Times New Roman Uni" w:eastAsia="Times New Roman Uni" w:hAnsi="Times New Roman Uni" w:cs="Times New Roman Uni" w:hint="eastAsia"/>
          <w:b w:val="0"/>
          <w:bCs/>
          <w:kern w:val="0"/>
          <w:lang w:bidi="ar"/>
        </w:rPr>
        <w:sectPr>
          <w:footerReference w:type="default" r:id="rId5"/>
          <w:pgSz w:w="11906" w:h="16838"/>
          <w:pgMar w:top="1440" w:right="1800" w:bottom="1440" w:left="1800" w:header="851" w:footer="992" w:gutter="0"/>
          <w:pgNumType w:fmt="decimal" w:start="1"/>
          <w:cols w:num="1" w:space="425"/>
          <w:docGrid w:type="lines" w:linePitch="312" w:charSpace="0"/>
        </w:sectPr>
      </w:pPr>
    </w:p>
    <w:p>
      <w:pPr>
        <w:keepNext w:val="0"/>
        <w:keepLines w:val="0"/>
        <w:widowControl/>
        <w:suppressLineNumbers w:val="0"/>
        <w:snapToGrid/>
        <w:spacing w:beforeAutospacing="0" w:afterAutospacing="0" w:line="360" w:lineRule="auto"/>
        <w:ind w:left="0" w:right="0" w:firstLine="0" w:leftChars="0" w:rightChars="0" w:firstLineChars="0"/>
        <w:jc w:val="both"/>
        <w:rPr>
          <w:rFonts w:ascii="Times New Roman Uni" w:eastAsia="Times New Roman Uni" w:hAnsi="Times New Roman Uni" w:cs="Times New Roman Uni" w:hint="eastAsia"/>
          <w:b w:val="0"/>
          <w:bCs/>
          <w:kern w:val="0"/>
          <w:lang w:bidi="ar"/>
        </w:rPr>
      </w:pPr>
      <w:r>
        <w:rPr>
          <w:rFonts w:ascii="Times New Roman Uni" w:eastAsia="Times New Roman Uni" w:hAnsi="Times New Roman Uni" w:cs="Times New Roman Uni" w:hint="eastAsia"/>
          <w:b w:val="0"/>
          <w:bCs/>
          <w:i w:val="0"/>
          <w:kern w:val="0"/>
          <w:sz w:val="24"/>
          <w:szCs w:val="24"/>
          <w:lang w:val="en-US" w:eastAsia="zh-CN" w:bidi="ar"/>
        </w:rPr>
        <w:t>The efficient market hypothesis is the cornerstone of traditional financial theory. However, with the development of financial markets, the efficient market hypothesis cannot explain a large nurber of market anomalies. As part of the market anmalies, the holiday effect has attracted more and more attention from experts and scholars in recent years. In this paper, the usage of arma-garch and garch-m models, four dummy variables such as pre-holiday and post-holiday and holiday length are added. The event analysis method is used to select one trading week before the holiday and three trading weeks after the holiday as windows for analysis. The results show that . The pre-holiday and post-holiday effects of the Spring Festival are very obvious. Both the pre-holiday effects and the post-holiday effects of Labor Day exist, and the post-holiday effects are stronger than the pre-holiday effects. The effects before and after New Year's Day are relatively weak. National Day has only pre-holiday effects and no post-holiday effects. The Lantern Festival has only the post-holiday effect and no pre-holiday effect. The effect of the Dragon Boat Festival before the festival is weak and the effect after the festival is strong. The effect before the Mid-Autumn Festival is weak, and there is almost no post-holiday effect. The effect of Qingming Festival is weak before and after the festival.</w:t>
      </w: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val="0"/>
          <w:bCs/>
          <w:i w:val="0"/>
          <w:kern w:val="0"/>
          <w:lang w:bidi="ar"/>
        </w:rPr>
      </w:pPr>
      <w:r>
        <w:rPr>
          <w:rFonts w:ascii="Times New Roman Uni" w:eastAsia="Times New Roman Uni" w:hAnsi="Times New Roman Uni" w:cs="Times New Roman Uni" w:hint="eastAsia"/>
          <w:b w:val="0"/>
          <w:bCs/>
          <w:i w:val="0"/>
          <w:kern w:val="0"/>
          <w:sz w:val="24"/>
          <w:szCs w:val="24"/>
          <w:lang w:val="en-US" w:eastAsia="zh-CN" w:bidi="ar"/>
        </w:rPr>
        <w:t>KEY WORDS：holiday-effect; The Events Study Methods; GARCH model</w:t>
      </w: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r>
        <w:rPr>
          <w:rFonts w:ascii="Times New Roman Uni" w:eastAsia="Times New Roman Uni" w:hAnsi="Times New Roman Uni" w:cs="Times New Roman Uni" w:hint="eastAsia"/>
          <w:b/>
          <w:bCs w:val="0"/>
          <w:i w:val="0"/>
          <w:kern w:val="0"/>
          <w:lang w:bidi="ar"/>
        </w:rPr>
        <w:br/>
      </w:r>
      <w:r>
        <w:rPr>
          <w:rFonts w:ascii="Times New Roman Uni" w:eastAsia="Times New Roman Uni" w:hAnsi="Times New Roman Uni" w:cs="Times New Roman Uni" w:hint="eastAsia"/>
          <w:b/>
          <w:bCs w:val="0"/>
          <w:i w:val="0"/>
          <w:kern w:val="0"/>
          <w:lang w:bidi="ar"/>
        </w:rP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https://d.book118.com/228045007037006030</w:t>
        </w:r>
      </w:hyperlink>
    </w:p>
    <w:p>
      <w:pPr>
        <w:keepNext w:val="0"/>
        <w:keepLines w:val="0"/>
        <w:widowControl/>
        <w:suppressLineNumbers w:val="0"/>
        <w:snapToGrid/>
        <w:spacing w:beforeAutospacing="0" w:after="120" w:afterAutospacing="0" w:line="360" w:lineRule="auto"/>
        <w:ind w:left="1430" w:right="0" w:hanging="1430" w:leftChars="0" w:rightChars="0" w:hangingChars="596"/>
        <w:jc w:val="both"/>
        <w:rPr>
          <w:rFonts w:ascii="Times New Roman Uni" w:eastAsia="Times New Roman Uni" w:hAnsi="Times New Roman Uni" w:cs="Times New Roman Uni" w:hint="eastAsia"/>
          <w:b/>
          <w:bCs w:val="0"/>
          <w:i w:val="0"/>
          <w:kern w:val="0"/>
          <w:lang w:bidi="ar"/>
        </w:rPr>
      </w:pPr>
    </w:p>
    <w:sectPr>
      <w:footerReference w:type="default" r:id="rId7"/>
      <w:type w:val="nextPage"/>
      <w:pgSz w:w="11906" w:h="16838"/>
      <w:pgMar w:top="1440" w:right="1800" w:bottom="1440" w:left="1800" w:header="851" w:footer="992" w:gutter="0"/>
      <w:pgNumType w:fmt="decimal"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MingLiU">
    <w:altName w:val="PMingLiU-ExtB"/>
    <w:panose1 w:val="02010609000101010101"/>
    <w:charset w:val="88"/>
    <w:family w:val="modern"/>
    <w:pitch w:val="default"/>
    <w:sig w:usb0="00000000" w:usb1="00000000" w:usb2="00000016" w:usb3="00000000" w:csb0="00100001" w:csb1="00000000"/>
  </w:font>
  <w:font w:name="华文新魏">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PMingLiU">
    <w:altName w:val="PMingLiU-ExtB"/>
    <w:panose1 w:val="02020500000000000000"/>
    <w:charset w:val="88"/>
    <w:family w:val="roman"/>
    <w:pitch w:val="default"/>
    <w:sig w:usb0="00000000" w:usb1="00000000" w:usb2="00000016" w:usb3="00000000" w:csb0="00100001" w:csb1="00000000"/>
  </w:font>
  <w:font w:name="Beijing">
    <w:altName w:val="黑体"/>
    <w:panose1 w:val="00000000000000000000"/>
    <w:charset w:val="86"/>
    <w:family w:val="auto"/>
    <w:pitch w:val="default"/>
    <w:sig w:usb0="00000000" w:usb1="00000000" w:usb2="10000000" w:usb3="00000000" w:csb0="00040000" w:csb1="00000000"/>
  </w:font>
  <w:font w:name="Times New Roman Uni">
    <w:panose1 w:val="02020603050405020304"/>
    <w:charset w:val="86"/>
    <w:family w:val="auto"/>
    <w:pitch w:val="default"/>
    <w:sig w:usb0="B334AAFF" w:usb1="F9FFFFFF" w:usb2="0000003E" w:usb3="00000000" w:csb0="601F01FF" w:csb1="FFFF0000"/>
  </w:font>
  <w:font w:name="+中文正文">
    <w:altName w:val="Segoe Print"/>
    <w:panose1 w:val="00000000000000000000"/>
    <w:charset w:val="00"/>
    <w:family w:val="auto"/>
    <w:pitch w:val="default"/>
    <w:sig w:usb0="00000000" w:usb1="00000000" w:usb2="00000000" w:usb3="00000000" w:csb0="00000001" w:csb1="00000000"/>
  </w:font>
  <w:font w:name="Cambria Math">
    <w:panose1 w:val="02040503050406030204"/>
    <w:charset w:val="00"/>
    <w:family w:val="roman"/>
    <w:pitch w:val="default"/>
    <w:sig w:usb0="E00006FF" w:usb1="420024FF" w:usb2="02000000" w:usb3="00000000" w:csb0="2000019F" w:csb1="00000000"/>
  </w:font>
  <w:font w:name="DLF-3-0-937521430">
    <w:altName w:val="Segoe Print"/>
    <w:panose1 w:val="00000000000000000000"/>
    <w:charset w:val="00"/>
    <w:family w:val="auto"/>
    <w:pitch w:val="default"/>
    <w:sig w:usb0="00000000" w:usb1="00000000" w:usb2="00000000" w:usb3="00000000" w:csb0="00000001"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545347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9B8D98"/>
    <w:multiLevelType w:val="multilevel"/>
    <w:tmpl w:val="029B8D98"/>
    <w:lvl w:ilvl="0">
      <w:start w:val="1"/>
      <w:numFmt w:val="decimal"/>
      <w:lvlText w:val="%1."/>
      <w:lvlJc w:val="left"/>
      <w:pPr>
        <w:tabs>
          <w:tab w:val="left" w:pos="312"/>
        </w:tabs>
      </w:pPr>
    </w:lvl>
    <w:lvl w:ilvl="1">
      <w:start w:val="1"/>
      <w:numFmt w:val="decimal"/>
      <w:suff w:val="space"/>
      <w:lvlText w:val="%1.%2"/>
      <w:lvlJc w:val="left"/>
      <w:pPr>
        <w:ind w:left="0" w:firstLine="0" w:leftChars="0" w:firstLineChars="0"/>
      </w:pPr>
      <w:rPr>
        <w:rFonts w:hint="default"/>
      </w:rPr>
    </w:lvl>
    <w:lvl w:ilvl="2">
      <w:start w:val="1"/>
      <w:numFmt w:val="decimal"/>
      <w:suff w:val="space"/>
      <w:lvlText w:val="%1.%2.%3"/>
      <w:lvlJc w:val="left"/>
      <w:pPr>
        <w:ind w:left="0" w:firstLine="0" w:leftChars="0" w:firstLineChars="0"/>
      </w:pPr>
      <w:rPr>
        <w:rFonts w:hint="default"/>
      </w:rPr>
    </w:lvl>
    <w:lvl w:ilvl="3">
      <w:start w:val="1"/>
      <w:numFmt w:val="decimal"/>
      <w:suff w:val="space"/>
      <w:lvlText w:val="%1.%2.%3.%4"/>
      <w:lvlJc w:val="left"/>
      <w:pPr>
        <w:ind w:left="0" w:firstLine="0" w:leftChars="0" w:firstLineChars="0"/>
      </w:pPr>
      <w:rPr>
        <w:rFonts w:hint="default"/>
      </w:rPr>
    </w:lvl>
    <w:lvl w:ilvl="4">
      <w:start w:val="1"/>
      <w:numFmt w:val="decimal"/>
      <w:suff w:val="space"/>
      <w:lvlText w:val="%1.%2.%3.%4.%5"/>
      <w:lvlJc w:val="left"/>
      <w:pPr>
        <w:ind w:left="0" w:firstLine="0" w:leftChars="0" w:firstLineChars="0"/>
      </w:pPr>
      <w:rPr>
        <w:rFonts w:hint="default"/>
      </w:rPr>
    </w:lvl>
    <w:lvl w:ilvl="5">
      <w:start w:val="1"/>
      <w:numFmt w:val="decimal"/>
      <w:suff w:val="space"/>
      <w:lvlText w:val="%1.%2.%3.%4.%5.%6"/>
      <w:lvlJc w:val="left"/>
      <w:pPr>
        <w:ind w:left="0" w:firstLine="0" w:leftChars="0" w:firstLineChars="0"/>
      </w:pPr>
      <w:rPr>
        <w:rFonts w:hint="default"/>
      </w:rPr>
    </w:lvl>
    <w:lvl w:ilvl="6">
      <w:start w:val="1"/>
      <w:numFmt w:val="decimal"/>
      <w:suff w:val="space"/>
      <w:lvlText w:val="%1.%2.%3.%4.%5.%6.%7"/>
      <w:lvlJc w:val="left"/>
      <w:pPr>
        <w:ind w:left="0" w:firstLine="0" w:leftChars="0" w:firstLineChars="0"/>
      </w:pPr>
      <w:rPr>
        <w:rFonts w:hint="default"/>
      </w:rPr>
    </w:lvl>
    <w:lvl w:ilvl="7">
      <w:start w:val="1"/>
      <w:numFmt w:val="decimal"/>
      <w:suff w:val="space"/>
      <w:lvlText w:val="%1.%2.%3.%4.%5.%6.%7.%8"/>
      <w:lvlJc w:val="left"/>
      <w:pPr>
        <w:ind w:left="0" w:firstLine="0" w:leftChars="0" w:firstLineChars="0"/>
      </w:pPr>
      <w:rPr>
        <w:rFonts w:hint="default"/>
      </w:rPr>
    </w:lvl>
    <w:lvl w:ilvl="8">
      <w:start w:val="1"/>
      <w:numFmt w:val="decimal"/>
      <w:suff w:val="space"/>
      <w:lvlText w:val="%1.%2.%3.%4.%5.%6.%7.%8.%9"/>
      <w:lvlJc w:val="left"/>
      <w:pPr>
        <w:ind w:left="0" w:firstLine="0" w:leftChars="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F68"/>
    <w:rsid w:val="00017F68"/>
    <w:rsid w:val="000246E2"/>
    <w:rsid w:val="000925AD"/>
    <w:rsid w:val="001B1804"/>
    <w:rsid w:val="001D440A"/>
    <w:rsid w:val="001E5101"/>
    <w:rsid w:val="00202400"/>
    <w:rsid w:val="002F2A34"/>
    <w:rsid w:val="00316C8D"/>
    <w:rsid w:val="00320655"/>
    <w:rsid w:val="003260A4"/>
    <w:rsid w:val="00360197"/>
    <w:rsid w:val="003F5D5A"/>
    <w:rsid w:val="004D74DA"/>
    <w:rsid w:val="005C2379"/>
    <w:rsid w:val="005C7A12"/>
    <w:rsid w:val="005D0067"/>
    <w:rsid w:val="005F29B3"/>
    <w:rsid w:val="006C1622"/>
    <w:rsid w:val="006F3AE6"/>
    <w:rsid w:val="006F3D28"/>
    <w:rsid w:val="007A5AC5"/>
    <w:rsid w:val="008043F4"/>
    <w:rsid w:val="008104FD"/>
    <w:rsid w:val="008A57A2"/>
    <w:rsid w:val="00946061"/>
    <w:rsid w:val="00987A88"/>
    <w:rsid w:val="009C0603"/>
    <w:rsid w:val="009D4EA9"/>
    <w:rsid w:val="009F0E22"/>
    <w:rsid w:val="00A20C05"/>
    <w:rsid w:val="00A45D14"/>
    <w:rsid w:val="00A903EF"/>
    <w:rsid w:val="00AB22DC"/>
    <w:rsid w:val="00C94673"/>
    <w:rsid w:val="00D43693"/>
    <w:rsid w:val="00D44213"/>
    <w:rsid w:val="00D57E6D"/>
    <w:rsid w:val="00D968A5"/>
    <w:rsid w:val="00DE4875"/>
    <w:rsid w:val="00E23BA6"/>
    <w:rsid w:val="00E51BC1"/>
    <w:rsid w:val="00FA29F2"/>
    <w:rsid w:val="01AE106A"/>
    <w:rsid w:val="02391170"/>
    <w:rsid w:val="06A045D4"/>
    <w:rsid w:val="07775C37"/>
    <w:rsid w:val="09A22F8F"/>
    <w:rsid w:val="0A942839"/>
    <w:rsid w:val="10472393"/>
    <w:rsid w:val="11446F53"/>
    <w:rsid w:val="12820FD0"/>
    <w:rsid w:val="153663DA"/>
    <w:rsid w:val="15A705CE"/>
    <w:rsid w:val="19374C5E"/>
    <w:rsid w:val="1F9C0D18"/>
    <w:rsid w:val="242A143A"/>
    <w:rsid w:val="24BA2567"/>
    <w:rsid w:val="25EE0610"/>
    <w:rsid w:val="270F2E85"/>
    <w:rsid w:val="2C7B4EB7"/>
    <w:rsid w:val="2E9A33E2"/>
    <w:rsid w:val="2ED430DE"/>
    <w:rsid w:val="2ED773D4"/>
    <w:rsid w:val="30EA4ABA"/>
    <w:rsid w:val="318B68DB"/>
    <w:rsid w:val="3839706F"/>
    <w:rsid w:val="3AB070F3"/>
    <w:rsid w:val="3C194AC6"/>
    <w:rsid w:val="3DD84F7C"/>
    <w:rsid w:val="40156385"/>
    <w:rsid w:val="413B25A7"/>
    <w:rsid w:val="49D87642"/>
    <w:rsid w:val="4ABE5A7C"/>
    <w:rsid w:val="4B0060CB"/>
    <w:rsid w:val="4C216AC8"/>
    <w:rsid w:val="501C1A6B"/>
    <w:rsid w:val="51795A4D"/>
    <w:rsid w:val="51ED2160"/>
    <w:rsid w:val="53C714ED"/>
    <w:rsid w:val="5A614BDE"/>
    <w:rsid w:val="5B9A4C10"/>
    <w:rsid w:val="6C723AD1"/>
    <w:rsid w:val="724966B4"/>
    <w:rsid w:val="726F5A3C"/>
    <w:rsid w:val="75A616A0"/>
    <w:rsid w:val="798847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ind w:firstLine="880" w:firstLineChars="200"/>
      <w:jc w:val="both"/>
    </w:pPr>
    <w:rPr>
      <w:rFonts w:eastAsia="宋体" w:asciiTheme="minorAscii" w:hAnsiTheme="minorAscii" w:cstheme="minorBidi"/>
      <w:kern w:val="2"/>
      <w:sz w:val="24"/>
      <w:szCs w:val="24"/>
      <w:lang w:val="en-US" w:eastAsia="zh-CN" w:bidi="ar-SA"/>
    </w:rPr>
  </w:style>
  <w:style w:type="paragraph" w:styleId="Heading1">
    <w:name w:val="heading 1"/>
    <w:basedOn w:val="Normal"/>
    <w:next w:val="Normal"/>
    <w:qFormat/>
    <w:pPr>
      <w:keepNext/>
      <w:keepLines/>
      <w:spacing w:before="340" w:after="330" w:line="576" w:lineRule="auto"/>
      <w:jc w:val="center"/>
      <w:outlineLvl w:val="0"/>
    </w:pPr>
    <w:rPr>
      <w:rFonts w:eastAsia="华文中宋" w:asciiTheme="minorAscii" w:hAnsiTheme="minorAscii"/>
      <w:b/>
      <w:kern w:val="44"/>
      <w:sz w:val="44"/>
    </w:rPr>
  </w:style>
  <w:style w:type="paragraph" w:styleId="Heading2">
    <w:name w:val="heading 2"/>
    <w:basedOn w:val="Normal"/>
    <w:next w:val="Normal"/>
    <w:link w:val="2Char"/>
    <w:unhideWhenUsed/>
    <w:qFormat/>
    <w:pPr>
      <w:keepNext/>
      <w:keepLines/>
      <w:spacing w:before="260" w:after="260" w:line="360" w:lineRule="auto"/>
      <w:outlineLvl w:val="1"/>
    </w:pPr>
    <w:rPr>
      <w:rFonts w:ascii="Arial" w:eastAsia="黑体" w:hAnsi="Arial"/>
      <w:sz w:val="30"/>
    </w:rPr>
  </w:style>
  <w:style w:type="paragraph" w:styleId="Heading3">
    <w:name w:val="heading 3"/>
    <w:basedOn w:val="Normal"/>
    <w:next w:val="Normal"/>
    <w:unhideWhenUsed/>
    <w:qFormat/>
    <w:pPr>
      <w:keepNext/>
      <w:keepLines/>
      <w:spacing w:before="260" w:after="260" w:line="413" w:lineRule="auto"/>
      <w:outlineLvl w:val="2"/>
    </w:pPr>
    <w:rPr>
      <w:rFonts w:eastAsia="黑体"/>
      <w:sz w:val="24"/>
    </w:rPr>
  </w:style>
  <w:style w:type="paragraph" w:styleId="Heading4">
    <w:name w:val="heading 4"/>
    <w:basedOn w:val="Normal"/>
    <w:next w:val="Normal"/>
    <w:unhideWhenUsed/>
    <w:qFormat/>
    <w:pPr>
      <w:keepNext/>
      <w:keepLines/>
      <w:spacing w:before="280" w:after="290" w:line="372" w:lineRule="auto"/>
      <w:outlineLvl w:val="3"/>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qFormat/>
    <w:pPr>
      <w:tabs>
        <w:tab w:val="center" w:pos="4153"/>
        <w:tab w:val="right" w:pos="8306"/>
      </w:tabs>
      <w:snapToGrid w:val="0"/>
      <w:jc w:val="left"/>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pPr>
      <w:ind w:firstLine="420" w:firstLineChars="200"/>
    </w:pPr>
  </w:style>
  <w:style w:type="character" w:styleId="PlaceholderText">
    <w:name w:val="Placeholder Text"/>
    <w:basedOn w:val="DefaultParagraphFont"/>
    <w:uiPriority w:val="99"/>
    <w:semiHidden/>
    <w:qFormat/>
    <w:rPr>
      <w:color w:val="808080"/>
    </w:rPr>
  </w:style>
  <w:style w:type="character" w:customStyle="1" w:styleId="a">
    <w:name w:val="页眉 字符"/>
    <w:basedOn w:val="DefaultParagraphFont"/>
    <w:link w:val="Header"/>
    <w:qFormat/>
    <w:rPr>
      <w:rFonts w:asciiTheme="minorHAnsi" w:eastAsiaTheme="minorEastAsia" w:hAnsiTheme="minorHAnsi" w:cstheme="minorBidi"/>
      <w:kern w:val="2"/>
      <w:sz w:val="18"/>
      <w:szCs w:val="18"/>
    </w:rPr>
  </w:style>
  <w:style w:type="character" w:customStyle="1" w:styleId="a0">
    <w:name w:val="页脚 字符"/>
    <w:basedOn w:val="DefaultParagraphFont"/>
    <w:link w:val="Footer"/>
    <w:qFormat/>
    <w:rPr>
      <w:rFonts w:asciiTheme="minorHAnsi" w:eastAsiaTheme="minorEastAsia" w:hAnsiTheme="minorHAnsi" w:cstheme="minorBidi"/>
      <w:kern w:val="2"/>
      <w:sz w:val="18"/>
      <w:szCs w:val="18"/>
    </w:rPr>
  </w:style>
  <w:style w:type="paragraph" w:customStyle="1" w:styleId="1">
    <w:name w:val="正文文本1"/>
    <w:basedOn w:val="Normal"/>
    <w:qFormat/>
    <w:pPr>
      <w:shd w:val="clear" w:color="auto" w:fill="FFFFFF"/>
      <w:spacing w:line="377" w:lineRule="auto"/>
      <w:ind w:firstLine="400"/>
    </w:pPr>
    <w:rPr>
      <w:rFonts w:ascii="MingLiU" w:eastAsia="MingLiU" w:hAnsi="MingLiU" w:cs="MingLiU"/>
      <w:sz w:val="20"/>
      <w:szCs w:val="20"/>
      <w:lang w:val="zh-CN" w:eastAsia="zh-CN" w:bidi="zh-CN"/>
    </w:rPr>
  </w:style>
  <w:style w:type="paragraph" w:customStyle="1" w:styleId="3">
    <w:name w:val="标题 #3"/>
    <w:basedOn w:val="Normal"/>
    <w:pPr>
      <w:shd w:val="clear" w:color="auto" w:fill="FFFFFF"/>
      <w:spacing w:after="120"/>
      <w:outlineLvl w:val="2"/>
    </w:pPr>
    <w:rPr>
      <w:rFonts w:ascii="MingLiU" w:eastAsia="MingLiU" w:hAnsi="MingLiU" w:cs="MingLiU"/>
      <w:sz w:val="26"/>
      <w:szCs w:val="26"/>
      <w:lang w:val="zh-CN" w:eastAsia="zh-CN" w:bidi="zh-CN"/>
    </w:rPr>
  </w:style>
  <w:style w:type="paragraph" w:customStyle="1" w:styleId="2">
    <w:name w:val="页眉或页脚 (2)"/>
    <w:basedOn w:val="Normal"/>
    <w:qFormat/>
    <w:pPr>
      <w:shd w:val="clear" w:color="auto" w:fill="FFFFFF"/>
    </w:pPr>
    <w:rPr>
      <w:rFonts w:ascii="Times New Roman" w:eastAsia="Times New Roman" w:hAnsi="Times New Roman" w:cs="Times New Roman"/>
      <w:sz w:val="20"/>
      <w:szCs w:val="20"/>
    </w:rPr>
  </w:style>
  <w:style w:type="character" w:customStyle="1" w:styleId="2Char">
    <w:name w:val="标题 2 Char"/>
    <w:link w:val="Heading2"/>
    <w:qFormat/>
    <w:rPr>
      <w:rFonts w:ascii="Arial" w:eastAsia="黑体" w:hAnsi="Arial"/>
      <w:sz w:val="30"/>
    </w:rPr>
  </w:style>
  <w:style w:type="paragraph" w:customStyle="1" w:styleId="a1">
    <w:name w:val="目录"/>
    <w:basedOn w:val="Normal"/>
    <w:qFormat/>
    <w:pPr>
      <w:shd w:val="clear" w:color="auto" w:fill="FFFFFF"/>
      <w:spacing w:after="40"/>
      <w:ind w:firstLine="480"/>
    </w:pPr>
    <w:rPr>
      <w:rFonts w:ascii="Times New Roman" w:eastAsia="Times New Roman" w:hAnsi="Times New Roman" w:cs="Times New Roman"/>
      <w:sz w:val="20"/>
      <w:szCs w:val="20"/>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228045007037006030"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3263</Words>
  <Characters>18603</Characters>
  <Application>Microsoft Office Word</Application>
  <DocSecurity>0</DocSecurity>
  <Lines>155</Lines>
  <Paragraphs>43</Paragraphs>
  <ScaleCrop>false</ScaleCrop>
  <Company/>
  <LinksUpToDate>false</LinksUpToDate>
  <CharactersWithSpaces>21823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hunk</dc:creator>
  <cp:lastModifiedBy>Bin</cp:lastModifiedBy>
  <cp:revision>2</cp:revision>
  <dcterms:created xsi:type="dcterms:W3CDTF">2020-01-04T09:08:00Z</dcterms:created>
  <dcterms:modified xsi:type="dcterms:W3CDTF">2020-04-01T16:31:42Z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