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9"/>
        <w:ind w:left="0" w:firstLine="0"/>
        <w:rPr>
          <w:rFonts w:ascii="Times New Roman"/>
          <w:sz w:val="22"/>
        </w:rPr>
      </w:pPr>
    </w:p>
    <w:p>
      <w:pPr>
        <w:pStyle w:val="Heading1"/>
        <w:spacing w:before="32"/>
        <w:ind w:left="3892" w:firstLine="0"/>
      </w:pPr>
      <w:r>
        <w:t>XXX 代建项目设计管理方案</w:t>
      </w:r>
    </w:p>
    <w:p>
      <w:pPr>
        <w:pStyle w:val="BodyText"/>
        <w:spacing w:before="317" w:line="364" w:lineRule="auto"/>
        <w:ind w:left="133" w:right="646" w:firstLine="961"/>
      </w:pPr>
      <w:r>
        <w:t>xxx·xxx 建设工程项目（一期）设计管理包含规划设计、方案设计、初步设计和施工图设计。设计阶段的管理一方面是设计质量和进度的管理，但实际上设计阶段更应当做好造价控制工作，力争达到限额设计。设计阶段着手对工程造价进行控制，较之在施工阶段控制更为重要，也更为有效。应通过设计管理为业主提供功能合理、经济美观的产品。</w:t>
      </w:r>
    </w:p>
    <w:p>
      <w:pPr>
        <w:pStyle w:val="Heading1"/>
        <w:spacing w:line="609" w:lineRule="exact"/>
        <w:ind w:left="133" w:firstLine="0"/>
      </w:pPr>
      <w:r>
        <w:t>1、设计工作构想</w:t>
      </w:r>
    </w:p>
    <w:p>
      <w:pPr>
        <w:pStyle w:val="ListParagraph"/>
        <w:numPr>
          <w:ilvl w:val="0"/>
          <w:numId w:val="10"/>
        </w:numPr>
        <w:tabs>
          <w:tab w:val="left" w:pos="2023"/>
        </w:tabs>
        <w:spacing w:before="321" w:after="0" w:line="240" w:lineRule="auto"/>
        <w:ind w:left="2023" w:right="0" w:hanging="1260"/>
        <w:jc w:val="left"/>
        <w:rPr>
          <w:b/>
          <w:sz w:val="48"/>
        </w:rPr>
      </w:pPr>
      <w:r>
        <w:rPr>
          <w:b/>
          <w:sz w:val="48"/>
        </w:rPr>
        <w:t>编制设计总控计划</w:t>
      </w:r>
    </w:p>
    <w:p>
      <w:pPr>
        <w:pStyle w:val="BodyText"/>
        <w:spacing w:before="318" w:line="364" w:lineRule="auto"/>
        <w:ind w:left="133" w:right="693" w:firstLine="849"/>
      </w:pPr>
      <w:r>
        <w:rPr>
          <w:spacing w:val="-8"/>
          <w:w w:val="95"/>
        </w:rPr>
        <w:t xml:space="preserve">编制设计总控计划是本次咨询工作的首要工作，并应将需求 </w:t>
      </w:r>
      <w:r>
        <w:t>管理、可研编制均纳入计划体系，同时，总控计划应考虑所有外部条件限制，特别是报批报建、设计施工一体化招标等，通过编制总控计划，理清设计工作与其他工作的时间关系与技术关联，同时对设计本身的阶段控制、工作交叉、专业协调做好整体部署，使设计工作在科学合理的总体控制下有序开展。</w:t>
      </w:r>
    </w:p>
    <w:p>
      <w:pPr>
        <w:pStyle w:val="Heading1"/>
        <w:numPr>
          <w:ilvl w:val="0"/>
          <w:numId w:val="10"/>
        </w:numPr>
        <w:tabs>
          <w:tab w:val="left" w:pos="2023"/>
        </w:tabs>
        <w:spacing w:before="0" w:after="0" w:line="608" w:lineRule="exact"/>
        <w:ind w:left="2023" w:right="0" w:hanging="1260"/>
        <w:jc w:val="left"/>
      </w:pPr>
      <w:r>
        <w:t>确定设计标准和总图纸目录</w:t>
      </w:r>
    </w:p>
    <w:p>
      <w:pPr>
        <w:pStyle w:val="BodyText"/>
        <w:spacing w:before="322" w:line="364" w:lineRule="auto"/>
        <w:ind w:left="133" w:right="695" w:firstLine="849"/>
      </w:pPr>
      <w:r>
        <w:rPr>
          <w:spacing w:val="-13"/>
          <w:w w:val="95"/>
        </w:rPr>
        <w:t xml:space="preserve">本项目为涉外项目，在设计工作开展前，确定各方认可的设 </w:t>
      </w:r>
      <w:r>
        <w:t>计标准尤为重要，同时，审查设计院各专业的设计分工和总图纸目录以免漏项，包括各阶段及各专业的设计图纸、各施工合同所涉及的招标图设计文件和施工图设计文件、各专业系统和设备选型、材料选择方案等，以此作为设计过程跟进与设计审查的工作依据。</w:t>
      </w:r>
    </w:p>
    <w:p>
      <w:pPr>
        <w:spacing w:after="0" w:line="364" w:lineRule="auto"/>
        <w:sectPr>
          <w:headerReference w:type="default" r:id="rId4"/>
          <w:footerReference w:type="default" r:id="rId5"/>
          <w:type w:val="continuous"/>
          <w:pgSz w:w="17860" w:h="25260"/>
          <w:pgMar w:top="1160" w:right="1440" w:bottom="1540" w:left="2420" w:header="791" w:footer="1358"/>
          <w:cols w:space="708"/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4"/>
        <w:ind w:left="0" w:firstLine="0"/>
        <w:rPr>
          <w:sz w:val="14"/>
        </w:rPr>
      </w:pPr>
    </w:p>
    <w:p>
      <w:pPr>
        <w:pStyle w:val="Heading1"/>
        <w:numPr>
          <w:ilvl w:val="0"/>
          <w:numId w:val="10"/>
        </w:numPr>
        <w:tabs>
          <w:tab w:val="left" w:pos="2023"/>
        </w:tabs>
        <w:spacing w:before="32" w:after="0" w:line="240" w:lineRule="auto"/>
        <w:ind w:left="2023" w:right="0" w:hanging="1260"/>
        <w:jc w:val="left"/>
      </w:pPr>
      <w:r>
        <w:t>建立图纸会审制度，强调中间审查</w:t>
      </w:r>
    </w:p>
    <w:p>
      <w:pPr>
        <w:pStyle w:val="BodyText"/>
        <w:spacing w:before="317" w:line="364" w:lineRule="auto"/>
        <w:ind w:left="133" w:right="566" w:firstLine="849"/>
      </w:pPr>
      <w:r>
        <w:rPr>
          <w:spacing w:val="-1"/>
          <w:w w:val="95"/>
        </w:rPr>
        <w:t xml:space="preserve">建立清晰的图纸会审制度，对会审时间、参加专业、会审形 </w:t>
      </w:r>
      <w:r>
        <w:t>式、会审结果表现方式、意见确认、意见反馈等进行规定，提供会审效率与质量。</w:t>
      </w:r>
    </w:p>
    <w:p>
      <w:pPr>
        <w:pStyle w:val="BodyText"/>
        <w:spacing w:before="0" w:line="364" w:lineRule="auto"/>
        <w:ind w:left="133" w:right="936" w:firstLine="849"/>
        <w:jc w:val="both"/>
      </w:pPr>
      <w:r>
        <w:t>本项目的图纸会审应以需求管理确定的内容和要求在设计</w:t>
      </w:r>
      <w:r>
        <w:rPr>
          <w:spacing w:val="-1"/>
          <w:w w:val="95"/>
        </w:rPr>
        <w:t xml:space="preserve">中的落实情况作为审查重点。同时，应结合设计例会等制度， </w:t>
      </w:r>
      <w:r>
        <w:t>强调中间审查，使问题能够得到有效规避或提前发现。</w:t>
      </w:r>
    </w:p>
    <w:p>
      <w:pPr>
        <w:pStyle w:val="Heading1"/>
        <w:numPr>
          <w:ilvl w:val="0"/>
          <w:numId w:val="10"/>
        </w:numPr>
        <w:tabs>
          <w:tab w:val="left" w:pos="2023"/>
        </w:tabs>
        <w:spacing w:before="0" w:after="0" w:line="612" w:lineRule="exact"/>
        <w:ind w:left="2023" w:right="0" w:hanging="1260"/>
        <w:jc w:val="left"/>
      </w:pPr>
      <w:r>
        <w:t>建立顺畅的信息反馈与沟通机制</w:t>
      </w:r>
    </w:p>
    <w:p>
      <w:pPr>
        <w:pStyle w:val="BodyText"/>
        <w:spacing w:before="318" w:line="364" w:lineRule="auto"/>
        <w:ind w:left="133" w:right="566" w:firstLine="849"/>
      </w:pPr>
      <w:r>
        <w:rPr>
          <w:spacing w:val="-1"/>
          <w:w w:val="95"/>
        </w:rPr>
        <w:t xml:space="preserve">建立规范的信息沟通与反馈机制，与业主、项目使用单位、 </w:t>
      </w:r>
      <w:r>
        <w:t>设计单位达成一致，大家共同遵守，提高沟通的准确性、及时性和可追溯性。</w:t>
      </w:r>
    </w:p>
    <w:p>
      <w:pPr>
        <w:pStyle w:val="BodyText"/>
        <w:spacing w:before="0" w:line="364" w:lineRule="auto"/>
        <w:ind w:left="133" w:right="566" w:firstLine="849"/>
      </w:pPr>
      <w:r>
        <w:rPr>
          <w:spacing w:val="-1"/>
          <w:w w:val="95"/>
        </w:rPr>
        <w:t xml:space="preserve">各方反馈意见必须清晰、直接，避免含糊不清的意见如“再 </w:t>
      </w:r>
      <w:r>
        <w:t>研究考虑”等，并采用电子文件和书面签章文件传递，但最终以书面签章文件为准。</w:t>
      </w:r>
    </w:p>
    <w:p>
      <w:pPr>
        <w:pStyle w:val="Heading1"/>
        <w:numPr>
          <w:ilvl w:val="0"/>
          <w:numId w:val="10"/>
        </w:numPr>
        <w:tabs>
          <w:tab w:val="left" w:pos="2023"/>
        </w:tabs>
        <w:spacing w:before="0" w:after="0" w:line="611" w:lineRule="exact"/>
        <w:ind w:left="2023" w:right="0" w:hanging="1260"/>
        <w:jc w:val="left"/>
      </w:pPr>
      <w:r>
        <w:t>合理借助外部专家实现技术支持</w:t>
      </w:r>
    </w:p>
    <w:p>
      <w:pPr>
        <w:pStyle w:val="BodyText"/>
        <w:spacing w:before="314" w:line="364" w:lineRule="auto"/>
        <w:ind w:left="133" w:right="566" w:firstLine="849"/>
      </w:pPr>
      <w:r>
        <w:rPr>
          <w:spacing w:val="-1"/>
          <w:w w:val="95"/>
        </w:rPr>
        <w:t xml:space="preserve">本项目要求高质量、高标准、高水平建设，并对俄罗斯元素 </w:t>
      </w:r>
      <w:r>
        <w:t>的体现提出较高要求，因此必须合理借助外部专家，在规划建筑风格、系统设计、特殊专业等方面实现技术支持。</w:t>
      </w:r>
    </w:p>
    <w:p>
      <w:pPr>
        <w:pStyle w:val="Heading1"/>
        <w:numPr>
          <w:ilvl w:val="0"/>
          <w:numId w:val="10"/>
        </w:numPr>
        <w:tabs>
          <w:tab w:val="left" w:pos="2023"/>
        </w:tabs>
        <w:spacing w:before="1" w:after="0" w:line="240" w:lineRule="auto"/>
        <w:ind w:left="2023" w:right="0" w:hanging="1260"/>
        <w:jc w:val="left"/>
      </w:pPr>
      <w:r>
        <w:t>建立设计图纸确认制度</w:t>
      </w:r>
    </w:p>
    <w:p>
      <w:pPr>
        <w:pStyle w:val="BodyText"/>
        <w:spacing w:before="317" w:line="364" w:lineRule="auto"/>
        <w:ind w:left="133" w:right="690" w:firstLine="849"/>
      </w:pPr>
      <w:r>
        <w:rPr>
          <w:spacing w:val="-12"/>
          <w:w w:val="95"/>
        </w:rPr>
        <w:t xml:space="preserve">在设计过程中，图纸确认是非常重要的环节，是设计工作有 </w:t>
      </w:r>
      <w:r>
        <w:t>序开展的前提条件，也是设计进度控制、避免设计无效投入的关键步骤。因此，必须建议一套项目使用单位共同认可执行的</w:t>
      </w:r>
    </w:p>
    <w:p>
      <w:pPr>
        <w:spacing w:after="0" w:line="364" w:lineRule="auto"/>
        <w:sectPr>
          <w:headerReference w:type="default" r:id="rId6"/>
          <w:footerReference w:type="default" r:id="rId7"/>
          <w:pgSz w:w="17860" w:h="25260"/>
          <w:pgMar w:top="1160" w:right="1440" w:bottom="1540" w:left="2420" w:header="791" w:footer="1358"/>
          <w:pgNumType w:start="2"/>
          <w:cols w:space="708"/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4"/>
        <w:ind w:left="0" w:firstLine="0"/>
        <w:rPr>
          <w:sz w:val="14"/>
        </w:rPr>
      </w:pPr>
    </w:p>
    <w:p>
      <w:pPr>
        <w:pStyle w:val="BodyText"/>
        <w:spacing w:before="32"/>
        <w:ind w:left="133" w:firstLine="0"/>
      </w:pPr>
      <w:r>
        <w:t>图纸确认制度。</w:t>
      </w:r>
    </w:p>
    <w:p>
      <w:pPr>
        <w:pStyle w:val="BodyText"/>
        <w:spacing w:before="317" w:line="364" w:lineRule="auto"/>
        <w:ind w:left="133" w:right="693" w:firstLine="849"/>
      </w:pPr>
      <w:r>
        <w:rPr>
          <w:spacing w:val="-13"/>
          <w:w w:val="95"/>
        </w:rPr>
        <w:t xml:space="preserve">作为设计管理方，在制度建立的基础上，更为重要的是通过 </w:t>
      </w:r>
      <w:r>
        <w:t>细致的技术准备、充分地告知与解释，使项目使用方了解决策的依据、准确理解设计的所有内容，保证图纸确认的效力。</w:t>
      </w:r>
    </w:p>
    <w:p>
      <w:pPr>
        <w:pStyle w:val="Heading1"/>
        <w:numPr>
          <w:ilvl w:val="0"/>
          <w:numId w:val="10"/>
        </w:numPr>
        <w:tabs>
          <w:tab w:val="left" w:pos="2023"/>
        </w:tabs>
        <w:spacing w:before="0" w:after="0" w:line="611" w:lineRule="exact"/>
        <w:ind w:left="2023" w:right="0" w:hanging="1260"/>
        <w:jc w:val="left"/>
      </w:pPr>
      <w:r>
        <w:t>建立会议制度</w:t>
      </w:r>
    </w:p>
    <w:p>
      <w:pPr>
        <w:pStyle w:val="BodyText"/>
        <w:spacing w:before="322" w:line="364" w:lineRule="auto"/>
        <w:ind w:left="133" w:right="933" w:firstLine="961"/>
        <w:jc w:val="both"/>
      </w:pPr>
      <w:r>
        <w:rPr>
          <w:spacing w:val="-1"/>
          <w:w w:val="95"/>
        </w:rPr>
        <w:t xml:space="preserve">通过建立会议制度，组织召开有关设计协调会、有关设计 审查会、有关专题研讨会等，做好过程管理，及时发现问题， </w:t>
      </w:r>
      <w:r>
        <w:t>反馈问题、解决问题。</w:t>
      </w:r>
    </w:p>
    <w:p>
      <w:pPr>
        <w:pStyle w:val="Heading1"/>
        <w:numPr>
          <w:ilvl w:val="0"/>
          <w:numId w:val="10"/>
        </w:numPr>
        <w:tabs>
          <w:tab w:val="left" w:pos="2023"/>
        </w:tabs>
        <w:spacing w:before="0" w:after="0" w:line="611" w:lineRule="exact"/>
        <w:ind w:left="2023" w:right="0" w:hanging="1260"/>
        <w:jc w:val="both"/>
      </w:pPr>
      <w:r>
        <w:rPr>
          <w:spacing w:val="-39"/>
        </w:rPr>
        <w:t xml:space="preserve">应用 </w:t>
      </w:r>
      <w:r>
        <w:t>BIM</w:t>
      </w:r>
      <w:r>
        <w:rPr>
          <w:spacing w:val="-39"/>
        </w:rPr>
        <w:t xml:space="preserve"> 技术</w:t>
      </w:r>
    </w:p>
    <w:p>
      <w:pPr>
        <w:pStyle w:val="BodyText"/>
        <w:spacing w:before="317" w:line="364" w:lineRule="auto"/>
        <w:ind w:left="133" w:right="686" w:firstLine="961"/>
        <w:jc w:val="both"/>
      </w:pPr>
      <w:r>
        <w:rPr>
          <w:spacing w:val="-13"/>
        </w:rPr>
        <w:t xml:space="preserve">通过规范 </w:t>
      </w:r>
      <w:r>
        <w:t>BIM</w:t>
      </w:r>
      <w:r>
        <w:rPr>
          <w:spacing w:val="-13"/>
        </w:rPr>
        <w:t xml:space="preserve"> 实施的软硬件环境、项目的 </w:t>
      </w:r>
      <w:r>
        <w:t>BIM</w:t>
      </w:r>
      <w:r>
        <w:rPr>
          <w:spacing w:val="-16"/>
        </w:rPr>
        <w:t xml:space="preserve"> 实施管理细</w:t>
      </w:r>
      <w:r>
        <w:rPr>
          <w:spacing w:val="-13"/>
        </w:rPr>
        <w:t xml:space="preserve">则、各项 </w:t>
      </w:r>
      <w:r>
        <w:t>BIM</w:t>
      </w:r>
      <w:r>
        <w:rPr>
          <w:spacing w:val="-14"/>
        </w:rPr>
        <w:t xml:space="preserve"> 实施标准和规范，以及 </w:t>
      </w:r>
      <w:r>
        <w:t>BIM</w:t>
      </w:r>
      <w:r>
        <w:rPr>
          <w:spacing w:val="-11"/>
        </w:rPr>
        <w:t xml:space="preserve"> 应用，实现项目设计</w:t>
      </w:r>
      <w:r>
        <w:t>管理，提高设计审查的精确度和优化效果。</w:t>
      </w:r>
    </w:p>
    <w:p>
      <w:pPr>
        <w:pStyle w:val="Heading1"/>
        <w:spacing w:line="612" w:lineRule="exact"/>
        <w:ind w:left="133" w:firstLine="0"/>
        <w:jc w:val="both"/>
      </w:pPr>
      <w:r>
        <w:t>2</w:t>
      </w:r>
      <w:r>
        <w:rPr>
          <w:spacing w:val="3"/>
        </w:rPr>
        <w:t>、</w:t>
      </w:r>
      <w:r>
        <w:t>BIM</w:t>
      </w:r>
      <w:r>
        <w:rPr>
          <w:spacing w:val="-14"/>
        </w:rPr>
        <w:t xml:space="preserve"> 在本项目实施的初步设想和技术措施</w:t>
      </w:r>
    </w:p>
    <w:p>
      <w:pPr>
        <w:pStyle w:val="ListParagraph"/>
        <w:numPr>
          <w:ilvl w:val="1"/>
          <w:numId w:val="10"/>
        </w:numPr>
        <w:tabs>
          <w:tab w:val="left" w:pos="2302"/>
        </w:tabs>
        <w:spacing w:before="321" w:after="0" w:line="240" w:lineRule="auto"/>
        <w:ind w:left="2301" w:right="0" w:hanging="1205"/>
        <w:jc w:val="both"/>
        <w:rPr>
          <w:b/>
          <w:sz w:val="48"/>
        </w:rPr>
      </w:pPr>
      <w:r>
        <w:rPr>
          <w:b/>
          <w:spacing w:val="-22"/>
          <w:sz w:val="48"/>
        </w:rPr>
        <w:t xml:space="preserve">配置专属 </w:t>
      </w:r>
      <w:r>
        <w:rPr>
          <w:b/>
          <w:sz w:val="48"/>
        </w:rPr>
        <w:t>BIM</w:t>
      </w:r>
      <w:r>
        <w:rPr>
          <w:b/>
          <w:spacing w:val="-39"/>
          <w:sz w:val="48"/>
        </w:rPr>
        <w:t xml:space="preserve"> 团队</w:t>
      </w:r>
    </w:p>
    <w:p>
      <w:pPr>
        <w:pStyle w:val="BodyText"/>
        <w:spacing w:before="318" w:line="364" w:lineRule="auto"/>
        <w:ind w:left="133" w:right="462" w:firstLine="961"/>
        <w:jc w:val="both"/>
      </w:pPr>
      <w:r>
        <w:rPr>
          <w:spacing w:val="-1"/>
        </w:rPr>
        <w:t xml:space="preserve">我们将配置经验丰富的 </w:t>
      </w:r>
      <w:r>
        <w:t>BIM</w:t>
      </w:r>
      <w:r>
        <w:rPr>
          <w:spacing w:val="-4"/>
        </w:rPr>
        <w:t xml:space="preserve"> 团队专属为本项目服务，团队</w:t>
      </w:r>
      <w:r>
        <w:rPr>
          <w:spacing w:val="-12"/>
        </w:rPr>
        <w:t xml:space="preserve">具备制定与优化 </w:t>
      </w:r>
      <w:r>
        <w:t>BIM</w:t>
      </w:r>
      <w:r>
        <w:rPr>
          <w:spacing w:val="-14"/>
        </w:rPr>
        <w:t xml:space="preserve"> 实施标准和规范、审核 </w:t>
      </w:r>
      <w:r>
        <w:t>BIM</w:t>
      </w:r>
      <w:r>
        <w:rPr>
          <w:spacing w:val="-12"/>
        </w:rPr>
        <w:t xml:space="preserve"> 总体实施方案</w:t>
      </w:r>
      <w:r>
        <w:rPr>
          <w:spacing w:val="-1"/>
        </w:rPr>
        <w:t>和各专项实施方案、应用</w:t>
      </w:r>
      <w:r>
        <w:t>BIM</w:t>
      </w:r>
      <w:r>
        <w:rPr>
          <w:spacing w:val="-15"/>
        </w:rPr>
        <w:t xml:space="preserve"> 技术开展设计管理的能力与经验。</w:t>
      </w:r>
    </w:p>
    <w:p>
      <w:pPr>
        <w:pStyle w:val="Heading1"/>
        <w:numPr>
          <w:ilvl w:val="1"/>
          <w:numId w:val="10"/>
        </w:numPr>
        <w:tabs>
          <w:tab w:val="left" w:pos="2302"/>
        </w:tabs>
        <w:spacing w:before="0" w:after="0" w:line="612" w:lineRule="exact"/>
        <w:ind w:left="2301" w:right="0" w:hanging="1205"/>
        <w:jc w:val="both"/>
      </w:pPr>
      <w:r>
        <w:rPr>
          <w:spacing w:val="-38"/>
        </w:rPr>
        <w:t xml:space="preserve">统一 </w:t>
      </w:r>
      <w:r>
        <w:t>BIM</w:t>
      </w:r>
      <w:r>
        <w:rPr>
          <w:spacing w:val="-20"/>
        </w:rPr>
        <w:t xml:space="preserve"> 软硬件环境</w:t>
      </w:r>
    </w:p>
    <w:p>
      <w:pPr>
        <w:pStyle w:val="BodyText"/>
        <w:spacing w:line="364" w:lineRule="auto"/>
        <w:ind w:left="133" w:right="646" w:firstLine="961"/>
      </w:pPr>
      <w:r>
        <w:t>统一 BIM 各实施单位的软硬件环境，方便后续专业综合和应用实施。具体将根据业主和实施单位情况制定相应的《软硬件平台列表》。</w:t>
      </w:r>
    </w:p>
    <w:p>
      <w:pPr>
        <w:pStyle w:val="Heading1"/>
        <w:numPr>
          <w:ilvl w:val="1"/>
          <w:numId w:val="10"/>
        </w:numPr>
        <w:tabs>
          <w:tab w:val="left" w:pos="2302"/>
        </w:tabs>
        <w:spacing w:before="0" w:after="0" w:line="611" w:lineRule="exact"/>
        <w:ind w:left="2301" w:right="0" w:hanging="1205"/>
        <w:jc w:val="left"/>
      </w:pPr>
      <w:r>
        <w:t>强化模型管理</w:t>
      </w:r>
    </w:p>
    <w:p>
      <w:pPr>
        <w:spacing w:after="0" w:line="611" w:lineRule="exact"/>
        <w:jc w:val="left"/>
        <w:sectPr>
          <w:headerReference w:type="default" r:id="rId8"/>
          <w:footerReference w:type="default" r:id="rId9"/>
          <w:pgSz w:w="17860" w:h="25260"/>
          <w:pgMar w:top="1160" w:right="1440" w:bottom="1540" w:left="2420" w:header="791" w:footer="1358"/>
          <w:pgNumType w:start="3"/>
          <w:cols w:space="708"/>
        </w:sectPr>
      </w:pPr>
    </w:p>
    <w:p>
      <w:pPr>
        <w:pStyle w:val="BodyText"/>
        <w:spacing w:before="0"/>
        <w:ind w:left="0" w:firstLine="0"/>
        <w:rPr>
          <w:b/>
          <w:sz w:val="20"/>
        </w:rPr>
      </w:pPr>
    </w:p>
    <w:p>
      <w:pPr>
        <w:pStyle w:val="BodyText"/>
        <w:spacing w:before="0"/>
        <w:ind w:left="0" w:firstLine="0"/>
        <w:rPr>
          <w:b/>
          <w:sz w:val="20"/>
        </w:rPr>
      </w:pPr>
    </w:p>
    <w:p>
      <w:pPr>
        <w:pStyle w:val="BodyText"/>
        <w:spacing w:before="0"/>
        <w:ind w:left="0" w:firstLine="0"/>
        <w:rPr>
          <w:b/>
          <w:sz w:val="20"/>
        </w:rPr>
      </w:pPr>
    </w:p>
    <w:p>
      <w:pPr>
        <w:pStyle w:val="BodyText"/>
        <w:spacing w:before="4"/>
        <w:ind w:left="0" w:firstLine="0"/>
        <w:rPr>
          <w:b/>
          <w:sz w:val="14"/>
        </w:rPr>
      </w:pPr>
    </w:p>
    <w:p>
      <w:pPr>
        <w:pStyle w:val="BodyText"/>
        <w:spacing w:before="32" w:line="364" w:lineRule="auto"/>
        <w:ind w:left="133" w:right="686" w:firstLine="961"/>
      </w:pPr>
      <w:r>
        <w:t>统一数据交换格式和模型颗粒度标准，根据实施单位提供</w:t>
      </w:r>
      <w:r>
        <w:rPr>
          <w:spacing w:val="-14"/>
          <w:w w:val="95"/>
        </w:rPr>
        <w:t xml:space="preserve">方案，确定统一的《模型深度等级标准》。标准主要依据美国建 </w:t>
      </w:r>
      <w:r>
        <w:t>筑师协会（</w:t>
      </w:r>
      <w:r>
        <w:rPr>
          <w:spacing w:val="-42"/>
        </w:rPr>
        <w:t xml:space="preserve">简称 </w:t>
      </w:r>
      <w:r>
        <w:t>AIA）</w:t>
      </w:r>
      <w:r>
        <w:rPr>
          <w:spacing w:val="57"/>
        </w:rPr>
        <w:t>定义</w:t>
      </w:r>
      <w:r>
        <w:t>BIM</w:t>
      </w:r>
      <w:r>
        <w:rPr>
          <w:spacing w:val="-17"/>
        </w:rPr>
        <w:t xml:space="preserve"> 模型细致程度。</w:t>
      </w:r>
      <w:r>
        <w:t>BIM</w:t>
      </w:r>
      <w:r>
        <w:rPr>
          <w:spacing w:val="-26"/>
        </w:rPr>
        <w:t xml:space="preserve"> 实施单位须</w:t>
      </w:r>
      <w:r>
        <w:rPr>
          <w:spacing w:val="-12"/>
        </w:rPr>
        <w:t xml:space="preserve">于 </w:t>
      </w:r>
      <w:r>
        <w:t>BIM</w:t>
      </w:r>
      <w:r>
        <w:rPr>
          <w:spacing w:val="-5"/>
        </w:rPr>
        <w:t xml:space="preserve"> 执行计划书中说明各阶段模型及组件细致度，经业主及管理团队审查后执行。</w:t>
      </w:r>
    </w:p>
    <w:p>
      <w:pPr>
        <w:pStyle w:val="Heading1"/>
        <w:numPr>
          <w:ilvl w:val="1"/>
          <w:numId w:val="11"/>
        </w:numPr>
        <w:tabs>
          <w:tab w:val="left" w:pos="2302"/>
        </w:tabs>
        <w:spacing w:before="0" w:after="0" w:line="611" w:lineRule="exact"/>
        <w:ind w:left="2301" w:right="0" w:hanging="1205"/>
        <w:jc w:val="left"/>
      </w:pPr>
      <w:r>
        <w:rPr>
          <w:spacing w:val="-39"/>
        </w:rPr>
        <w:t xml:space="preserve">统一 </w:t>
      </w:r>
      <w:r>
        <w:t>BIM</w:t>
      </w:r>
      <w:r>
        <w:rPr>
          <w:spacing w:val="-12"/>
        </w:rPr>
        <w:t xml:space="preserve"> 资料管理模式、统一文件命名规范</w:t>
      </w:r>
    </w:p>
    <w:p>
      <w:pPr>
        <w:pStyle w:val="BodyText"/>
        <w:spacing w:before="317" w:line="364" w:lineRule="auto"/>
        <w:ind w:left="133" w:right="933" w:firstLine="961"/>
      </w:pPr>
      <w:r>
        <w:rPr>
          <w:spacing w:val="-1"/>
          <w:w w:val="95"/>
        </w:rPr>
        <w:t xml:space="preserve">主要包括模型版本要求、模型单位及精度要求、模型档案 </w:t>
      </w:r>
      <w:r>
        <w:t>拆分和连结要求、档案命名、族群组建等相关要求。</w:t>
      </w:r>
    </w:p>
    <w:p>
      <w:pPr>
        <w:pStyle w:val="Heading1"/>
        <w:numPr>
          <w:ilvl w:val="1"/>
          <w:numId w:val="11"/>
        </w:numPr>
        <w:tabs>
          <w:tab w:val="left" w:pos="2302"/>
        </w:tabs>
        <w:spacing w:before="0" w:after="0" w:line="614" w:lineRule="exact"/>
        <w:ind w:left="2301" w:right="0" w:hanging="1205"/>
        <w:jc w:val="left"/>
      </w:pPr>
      <w:r>
        <w:rPr>
          <w:spacing w:val="-38"/>
        </w:rPr>
        <w:t xml:space="preserve">统一 </w:t>
      </w:r>
      <w:r>
        <w:t>BIM</w:t>
      </w:r>
      <w:r>
        <w:rPr>
          <w:spacing w:val="-18"/>
        </w:rPr>
        <w:t xml:space="preserve"> 实施工作流程</w:t>
      </w:r>
    </w:p>
    <w:p>
      <w:pPr>
        <w:pStyle w:val="BodyText"/>
        <w:spacing w:before="318" w:line="364" w:lineRule="auto"/>
        <w:ind w:left="133" w:right="634" w:firstLine="961"/>
      </w:pPr>
      <w:r>
        <w:t>根据实施单位的实施方案，统一各实施单位的 BIM 实施工作流程，提高各实施单位在 BIM 方面协同作业的效率和质量。</w:t>
      </w:r>
    </w:p>
    <w:p>
      <w:pPr>
        <w:pStyle w:val="Heading1"/>
        <w:numPr>
          <w:ilvl w:val="1"/>
          <w:numId w:val="11"/>
        </w:numPr>
        <w:tabs>
          <w:tab w:val="left" w:pos="2302"/>
        </w:tabs>
        <w:spacing w:before="0" w:after="0" w:line="614" w:lineRule="exact"/>
        <w:ind w:left="2301" w:right="0" w:hanging="1205"/>
        <w:jc w:val="left"/>
      </w:pPr>
      <w:r>
        <w:rPr>
          <w:spacing w:val="-22"/>
        </w:rPr>
        <w:t xml:space="preserve">充分发挥 </w:t>
      </w:r>
      <w:r>
        <w:t>BIM</w:t>
      </w:r>
      <w:r>
        <w:rPr>
          <w:spacing w:val="-14"/>
        </w:rPr>
        <w:t xml:space="preserve"> 在设计管理中的作用</w:t>
      </w:r>
    </w:p>
    <w:p>
      <w:pPr>
        <w:pStyle w:val="BodyText"/>
        <w:spacing w:before="317" w:line="364" w:lineRule="auto"/>
        <w:ind w:left="133" w:right="636" w:firstLine="961"/>
      </w:pPr>
      <w:r>
        <w:t>设计管理工作内容包括设计资料审查、单专业模型审查、专业综合审查、多专业模型综合应用，多专业 BIM 设计协调组织，并提供相应的审查报告。</w:t>
      </w:r>
    </w:p>
    <w:p>
      <w:pPr>
        <w:pStyle w:val="Heading1"/>
        <w:spacing w:line="611" w:lineRule="exact"/>
        <w:ind w:left="133" w:firstLine="0"/>
      </w:pPr>
      <w:r>
        <w:t>3、设计管理工作模式</w:t>
      </w:r>
    </w:p>
    <w:p>
      <w:pPr>
        <w:spacing w:before="322"/>
        <w:ind w:left="133" w:right="0" w:firstLine="0"/>
        <w:jc w:val="left"/>
        <w:rPr>
          <w:b/>
          <w:sz w:val="48"/>
        </w:rPr>
      </w:pPr>
      <w:r>
        <w:rPr>
          <w:b/>
          <w:sz w:val="48"/>
        </w:rPr>
        <w:t>3.1. 与业主、设计院的工作模式</w:t>
      </w:r>
    </w:p>
    <w:p>
      <w:pPr>
        <w:pStyle w:val="Heading1"/>
        <w:spacing w:before="298" w:line="372" w:lineRule="auto"/>
        <w:ind w:left="1411" w:right="701" w:firstLine="0"/>
        <w:rPr>
          <w:b w:val="0"/>
        </w:rPr>
      </w:pPr>
      <w:r>
        <w:rPr>
          <w:spacing w:val="-6"/>
          <w:w w:val="95"/>
        </w:rPr>
        <w:t xml:space="preserve">各阶段设计咨询工作的主要流程及与业主、设计单位的关 </w:t>
      </w:r>
      <w:r>
        <w:rPr>
          <w:spacing w:val="3"/>
        </w:rPr>
        <w:t>系如下表</w:t>
      </w:r>
      <w:r>
        <w:rPr>
          <w:b w:val="0"/>
        </w:rPr>
        <w:t>所示：</w:t>
      </w:r>
    </w:p>
    <w:p>
      <w:pPr>
        <w:pStyle w:val="BodyText"/>
        <w:spacing w:before="0" w:line="525" w:lineRule="exact"/>
        <w:ind w:left="143" w:firstLine="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46799</wp:posOffset>
            </wp:positionV>
            <wp:extent cx="8172450" cy="121831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1218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设计阶</w:t>
      </w:r>
    </w:p>
    <w:p>
      <w:pPr>
        <w:pStyle w:val="BodyText"/>
        <w:tabs>
          <w:tab w:val="left" w:pos="5605"/>
          <w:tab w:val="left" w:pos="9969"/>
        </w:tabs>
        <w:spacing w:before="0" w:line="472" w:lineRule="exact"/>
        <w:ind w:left="2897" w:firstLine="0"/>
      </w:pPr>
      <w:r>
        <w:t>业主</w:t>
        <w:tab/>
        <w:t>项目管理单位</w:t>
        <w:tab/>
        <w:t>设计单位</w:t>
      </w:r>
    </w:p>
    <w:p>
      <w:pPr>
        <w:pStyle w:val="BodyText"/>
        <w:spacing w:before="0" w:line="540" w:lineRule="exact"/>
        <w:ind w:left="626" w:firstLine="0"/>
      </w:pPr>
      <w:r>
        <w:rPr>
          <w:w w:val="99"/>
        </w:rPr>
        <w:t>段</w:t>
      </w:r>
    </w:p>
    <w:p>
      <w:pPr>
        <w:spacing w:after="0" w:line="540" w:lineRule="exact"/>
        <w:sectPr>
          <w:headerReference w:type="default" r:id="rId11"/>
          <w:footerReference w:type="default" r:id="rId12"/>
          <w:pgSz w:w="17860" w:h="25260"/>
          <w:pgMar w:top="1160" w:right="1440" w:bottom="1540" w:left="2420" w:header="791" w:footer="1358"/>
          <w:pgNumType w:start="4"/>
          <w:cols w:space="708"/>
        </w:sectPr>
      </w:pPr>
    </w:p>
    <w:p>
      <w:pPr>
        <w:pStyle w:val="BodyText"/>
        <w:spacing w:before="7"/>
        <w:ind w:left="0" w:firstLine="0"/>
        <w:rPr>
          <w:sz w:val="1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5613400</wp:posOffset>
            </wp:positionH>
            <wp:positionV relativeFrom="page">
              <wp:posOffset>15849600</wp:posOffset>
            </wp:positionV>
            <wp:extent cx="1739900" cy="127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9753600</wp:posOffset>
            </wp:positionH>
            <wp:positionV relativeFrom="page">
              <wp:posOffset>15849600</wp:posOffset>
            </wp:positionV>
            <wp:extent cx="1587245" cy="127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245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643.5pt;height:760.45pt;margin-top:111pt;margin-left:118.25pt;mso-position-horizontal-relative:page;mso-position-vertical-relative:page;position:absolute;z-index:251661312" coordorigin="2365,2220" coordsize="12870,1520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70;height:15189;left:2365;position:absolute;top:2240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57;height:479;left:2564;position:absolute;top:221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设计阶</w:t>
                    </w:r>
                  </w:p>
                </w:txbxContent>
              </v:textbox>
            </v:shape>
            <v:shape id="_x0000_s1028" type="#_x0000_t202" style="width:978;height:479;left:5317;position:absolute;top:268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业主</w:t>
                    </w:r>
                  </w:p>
                </w:txbxContent>
              </v:textbox>
            </v:shape>
            <v:shape id="_x0000_s1029" type="#_x0000_t202" style="width:2893;height:479;left:8025;position:absolute;top:268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项目管理单位</w:t>
                    </w:r>
                  </w:p>
                </w:txbxContent>
              </v:textbox>
            </v:shape>
            <v:shape id="_x0000_s1030" type="#_x0000_t202" style="width:1936;height:479;left:12389;position:absolute;top:268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设计单位</w:t>
                    </w:r>
                  </w:p>
                </w:txbxContent>
              </v:textbox>
            </v:shape>
            <v:shape id="_x0000_s1031" type="#_x0000_t202" style="width:499;height:479;left:3046;position:absolute;top:315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段</w:t>
                    </w:r>
                  </w:p>
                </w:txbxContent>
              </v:textbox>
            </v:shape>
            <v:shape id="_x0000_s1032" type="#_x0000_t202" style="width:1921;height:317;left:8457;position:absolute;top:43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审核设计原则</w:t>
                    </w:r>
                  </w:p>
                </w:txbxContent>
              </v:textbox>
            </v:shape>
            <v:shape id="_x0000_s1033" type="#_x0000_t202" style="width:1921;height:317;left:12163;position:absolute;top:43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确定设计原则</w:t>
                    </w:r>
                  </w:p>
                </w:txbxContent>
              </v:textbox>
            </v:shape>
            <v:shape id="_x0000_s1034" type="#_x0000_t202" style="width:1288;height:317;left:8749;position:absolute;top:54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审核意见</w:t>
                    </w:r>
                  </w:p>
                </w:txbxContent>
              </v:textbox>
            </v:shape>
            <v:shape id="_x0000_s1035" type="#_x0000_t202" style="width:499;height:2456;left:3212;position:absolute;top:5928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方</w:t>
                    </w:r>
                  </w:p>
                  <w:p>
                    <w:pPr>
                      <w:spacing w:before="0" w:line="660" w:lineRule="atLeast"/>
                      <w:ind w:left="0" w:right="18" w:firstLine="0"/>
                      <w:jc w:val="both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案设计</w:t>
                    </w:r>
                  </w:p>
                </w:txbxContent>
              </v:textbox>
            </v:shape>
            <v:shape id="_x0000_s1036" type="#_x0000_t202" style="width:1921;height:317;left:8450;position:absolute;top:6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方案设计评审</w:t>
                    </w:r>
                  </w:p>
                </w:txbxContent>
              </v:textbox>
            </v:shape>
            <v:shape id="_x0000_s1037" type="#_x0000_t202" style="width:1288;height:317;left:12472;position:absolute;top:65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方案设计</w:t>
                    </w:r>
                  </w:p>
                </w:txbxContent>
              </v:textbox>
            </v:shape>
            <v:shape id="_x0000_s1038" type="#_x0000_t202" style="width:1921;height:317;left:5037;position:absolute;top:76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审阅评审报告</w:t>
                    </w:r>
                  </w:p>
                </w:txbxContent>
              </v:textbox>
            </v:shape>
            <v:shape id="_x0000_s1039" type="#_x0000_t202" style="width:2555;height:317;left:8295;position:absolute;top:77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方案设计评审报告</w:t>
                    </w:r>
                  </w:p>
                </w:txbxContent>
              </v:textbox>
            </v:shape>
            <v:shape id="_x0000_s1040" type="#_x0000_t202" style="width:1921;height:317;left:12155;position:absolute;top:76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审核意见反馈</w:t>
                    </w:r>
                  </w:p>
                </w:txbxContent>
              </v:textbox>
            </v:shape>
            <v:shape id="_x0000_s1041" type="#_x0000_t202" style="width:1921;height:317;left:5044;position:absolute;top:90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参加设计评审</w:t>
                    </w:r>
                  </w:p>
                </w:txbxContent>
              </v:textbox>
            </v:shape>
            <v:shape id="_x0000_s1042" type="#_x0000_t202" style="width:2872;height:728;left:8011;position:absolute;top:88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组织方案设计评审会</w:t>
                    </w:r>
                  </w:p>
                  <w:p>
                    <w:pPr>
                      <w:spacing w:before="13" w:line="355" w:lineRule="exact"/>
                      <w:ind w:left="158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确定最终审核意见</w:t>
                    </w:r>
                  </w:p>
                </w:txbxContent>
              </v:textbox>
            </v:shape>
            <v:shape id="_x0000_s1043" type="#_x0000_t202" style="width:1921;height:317;left:11907;position:absolute;top:98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修改方案设计</w:t>
                    </w:r>
                  </w:p>
                </w:txbxContent>
              </v:textbox>
            </v:shape>
            <v:shape id="_x0000_s1044" type="#_x0000_t202" style="width:1921;height:317;left:8468;position:absolute;top:108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审核设计原则</w:t>
                    </w:r>
                  </w:p>
                </w:txbxContent>
              </v:textbox>
            </v:shape>
            <v:shape id="_x0000_s1045" type="#_x0000_t202" style="width:1921;height:317;left:12404;position:absolute;top:108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确定设计原则</w:t>
                    </w:r>
                  </w:p>
                </w:txbxContent>
              </v:textbox>
            </v:shape>
            <v:shape id="_x0000_s1046" type="#_x0000_t202" style="width:1288;height:317;left:8756;position:absolute;top:120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审核意见</w:t>
                    </w:r>
                  </w:p>
                </w:txbxContent>
              </v:textbox>
            </v:shape>
            <v:shape id="_x0000_s1047" type="#_x0000_t202" style="width:499;height:2456;left:3212;position:absolute;top:12575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初</w:t>
                    </w:r>
                  </w:p>
                  <w:p>
                    <w:pPr>
                      <w:spacing w:before="0" w:line="660" w:lineRule="atLeast"/>
                      <w:ind w:left="0" w:right="18" w:firstLine="0"/>
                      <w:jc w:val="both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步设计</w:t>
                    </w:r>
                  </w:p>
                </w:txbxContent>
              </v:textbox>
            </v:shape>
            <v:shape id="_x0000_s1048" type="#_x0000_t202" style="width:1921;height:317;left:8443;position:absolute;top:132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初步设计评审</w:t>
                    </w:r>
                  </w:p>
                </w:txbxContent>
              </v:textbox>
            </v:shape>
            <v:shape id="_x0000_s1049" type="#_x0000_t202" style="width:1288;height:317;left:12713;position:absolute;top:132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初步设计</w:t>
                    </w:r>
                  </w:p>
                </w:txbxContent>
              </v:textbox>
            </v:shape>
            <v:shape id="_x0000_s1050" type="#_x0000_t202" style="width:1921;height:317;left:4835;position:absolute;top:143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审阅评审报告</w:t>
                    </w:r>
                  </w:p>
                </w:txbxContent>
              </v:textbox>
            </v:shape>
            <v:shape id="_x0000_s1051" type="#_x0000_t202" style="width:2555;height:317;left:8324;position:absolute;top:144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初步设计评审报告</w:t>
                    </w:r>
                  </w:p>
                </w:txbxContent>
              </v:textbox>
            </v:shape>
            <v:shape id="_x0000_s1052" type="#_x0000_t202" style="width:1921;height:317;left:12396;position:absolute;top:143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审核意见反馈</w:t>
                    </w:r>
                  </w:p>
                </w:txbxContent>
              </v:textbox>
            </v:shape>
            <v:shape id="_x0000_s1053" type="#_x0000_t202" style="width:1921;height:317;left:4842;position:absolute;top:15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参加设计评审</w:t>
                    </w:r>
                  </w:p>
                </w:txbxContent>
              </v:textbox>
            </v:shape>
            <v:shape id="_x0000_s1054" type="#_x0000_t202" style="width:2872;height:728;left:8018;position:absolute;top:15553" filled="f" stroked="f">
              <v:textbox inset="0,0,0,0">
                <w:txbxContent>
                  <w:p>
                    <w:pPr>
                      <w:spacing w:before="0" w:line="359" w:lineRule="exact"/>
                      <w:ind w:left="25" w:right="43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3"/>
                        <w:sz w:val="31"/>
                      </w:rPr>
                      <w:t>组织初步设计评审会</w:t>
                    </w:r>
                  </w:p>
                  <w:p>
                    <w:pPr>
                      <w:spacing w:before="13" w:line="355" w:lineRule="exact"/>
                      <w:ind w:left="25" w:right="42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确定最终审核意见</w:t>
                    </w:r>
                  </w:p>
                </w:txbxContent>
              </v:textbox>
            </v:shape>
            <v:shape id="_x0000_s1055" type="#_x0000_t202" style="width:1921;height:317;left:12414;position:absolute;top:163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修改初步设计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7860" w:h="25260"/>
          <w:pgMar w:top="1160" w:right="1440" w:bottom="1540" w:left="2420" w:header="791" w:footer="1358"/>
          <w:pgNumType w:start="5"/>
          <w:cols w:space="708"/>
        </w:sectPr>
      </w:pPr>
    </w:p>
    <w:p>
      <w:pPr>
        <w:pStyle w:val="BodyText"/>
        <w:spacing w:before="7"/>
        <w:ind w:left="0" w:firstLine="0"/>
        <w:rPr>
          <w:sz w:val="15"/>
        </w:rPr>
      </w:pPr>
      <w:r>
        <w:pict>
          <v:group id="_x0000_s1056" style="width:643.5pt;height:418.7pt;margin-top:111pt;margin-left:118.25pt;mso-position-horizontal-relative:page;mso-position-vertical-relative:page;position:absolute;z-index:251662336" coordorigin="2365,2220" coordsize="12870,8374">
            <v:shape id="_x0000_s1057" type="#_x0000_t75" style="width:12870;height:8354;left:2365;position:absolute;top:2240" stroked="f">
              <v:imagedata r:id="rId18" o:title=""/>
            </v:shape>
            <v:shape id="_x0000_s1058" type="#_x0000_t202" style="width:1457;height:479;left:2564;position:absolute;top:221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设计阶</w:t>
                    </w:r>
                  </w:p>
                </w:txbxContent>
              </v:textbox>
            </v:shape>
            <v:shape id="_x0000_s1059" type="#_x0000_t202" style="width:978;height:479;left:5317;position:absolute;top:268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业主</w:t>
                    </w:r>
                  </w:p>
                </w:txbxContent>
              </v:textbox>
            </v:shape>
            <v:shape id="_x0000_s1060" type="#_x0000_t202" style="width:2893;height:479;left:8025;position:absolute;top:268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项目管理单位</w:t>
                    </w:r>
                  </w:p>
                </w:txbxContent>
              </v:textbox>
            </v:shape>
            <v:shape id="_x0000_s1061" type="#_x0000_t202" style="width:1936;height:479;left:12389;position:absolute;top:268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设计单位</w:t>
                    </w:r>
                  </w:p>
                </w:txbxContent>
              </v:textbox>
            </v:shape>
            <v:shape id="_x0000_s1062" type="#_x0000_t202" style="width:499;height:479;left:3046;position:absolute;top:315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段</w:t>
                    </w:r>
                  </w:p>
                </w:txbxContent>
              </v:textbox>
            </v:shape>
            <v:shape id="_x0000_s1063" type="#_x0000_t202" style="width:1921;height:317;left:8378;position:absolute;top:44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审核设计原则</w:t>
                    </w:r>
                  </w:p>
                </w:txbxContent>
              </v:textbox>
            </v:shape>
            <v:shape id="_x0000_s1064" type="#_x0000_t202" style="width:1921;height:317;left:12314;position:absolute;top:44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确定设计原则</w:t>
                    </w:r>
                  </w:p>
                </w:txbxContent>
              </v:textbox>
            </v:shape>
            <v:shape id="_x0000_s1065" type="#_x0000_t202" style="width:499;height:3118;left:3212;position:absolute;top:5597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施</w:t>
                    </w:r>
                  </w:p>
                  <w:p>
                    <w:pPr>
                      <w:spacing w:before="44" w:line="256" w:lineRule="auto"/>
                      <w:ind w:left="0" w:right="18" w:firstLine="0"/>
                      <w:jc w:val="both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工图设</w:t>
                    </w:r>
                  </w:p>
                  <w:p>
                    <w:pPr>
                      <w:spacing w:before="5" w:line="54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计</w:t>
                    </w:r>
                  </w:p>
                </w:txbxContent>
              </v:textbox>
            </v:shape>
            <v:shape id="_x0000_s1066" type="#_x0000_t202" style="width:1288;height:317;left:8666;position:absolute;top:55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审核意见</w:t>
                    </w:r>
                  </w:p>
                </w:txbxContent>
              </v:textbox>
            </v:shape>
            <v:shape id="_x0000_s1067" type="#_x0000_t202" style="width:1921;height:317;left:8360;position:absolute;top:65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初步设计评审</w:t>
                    </w:r>
                  </w:p>
                </w:txbxContent>
              </v:textbox>
            </v:shape>
            <v:shape id="_x0000_s1068" type="#_x0000_t202" style="width:1604;height:317;left:12472;position:absolute;top:65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施工图设计</w:t>
                    </w:r>
                  </w:p>
                </w:txbxContent>
              </v:textbox>
            </v:shape>
            <v:shape id="_x0000_s1069" type="#_x0000_t202" style="width:1921;height:317;left:4745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批审审查报告</w:t>
                    </w:r>
                  </w:p>
                </w:txbxContent>
              </v:textbox>
            </v:shape>
            <v:shape id="_x0000_s1070" type="#_x0000_t202" style="width:3188;height:317;left:7864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施工图设计评审报报告</w:t>
                    </w:r>
                  </w:p>
                </w:txbxContent>
              </v:textbox>
            </v:shape>
            <v:shape id="_x0000_s1071" type="#_x0000_t202" style="width:1921;height:317;left:12314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审核意见反馈</w:t>
                    </w:r>
                  </w:p>
                </w:txbxContent>
              </v:textbox>
            </v:shape>
            <v:shape id="_x0000_s1072" type="#_x0000_t202" style="width:3505;height:317;left:7709;position:absolute;top:88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确定最终施工图审查报告</w:t>
                    </w:r>
                  </w:p>
                </w:txbxContent>
              </v:textbox>
            </v:shape>
            <v:shape id="_x0000_s1073" type="#_x0000_t202" style="width:2238;height:317;left:12177;position:absolute;top:91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修改施工图设计</w:t>
                    </w:r>
                  </w:p>
                </w:txbxContent>
              </v:textbox>
            </v:shape>
            <v:shape id="_x0000_s1074" type="#_x0000_t202" style="width:3188;height:317;left:7831;position:absolute;top:99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施工图设计评审报报告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19"/>
          <w:footerReference w:type="default" r:id="rId20"/>
          <w:pgSz w:w="17860" w:h="25260"/>
          <w:pgMar w:top="1160" w:right="1440" w:bottom="1540" w:left="2420" w:header="791" w:footer="1358"/>
          <w:pgNumType w:start="6"/>
          <w:cols w:space="708"/>
        </w:sectPr>
      </w:pPr>
    </w:p>
    <w:p>
      <w:pPr>
        <w:pStyle w:val="BodyText"/>
        <w:spacing w:before="0"/>
        <w:ind w:left="-2420" w:firstLine="0"/>
        <w:rPr>
          <w:sz w:val="20"/>
        </w:rPr>
      </w:pPr>
      <w:r>
        <w:pict>
          <v:group id="_x0000_s1075" style="width:767pt;height:8in;margin-top:672pt;margin-left:126pt;mso-position-horizontal-relative:page;mso-position-vertical-relative:page;position:absolute;z-index:251663360" coordorigin="2520,13440" coordsize="15340,11520">
            <v:shape id="_x0000_s1076" type="#_x0000_t75" style="width:15340;height:11520;left:2520;position:absolute;top:13440" stroked="f">
              <v:imagedata r:id="rId21" o:title=""/>
            </v:shape>
            <v:shape id="_x0000_s1077" type="#_x0000_t202" style="width:1921;height:317;left:8079;position:absolute;top:136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提出咨询意见</w:t>
                    </w:r>
                  </w:p>
                </w:txbxContent>
              </v:textbox>
            </v:shape>
            <v:shape id="_x0000_s1078" type="#_x0000_t202" style="width:337;height:317;left:5638;position:absolute;top:146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79" type="#_x0000_t202" style="width:2238;height:317;left:7864;position:absolute;top:149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设计单位接受否</w:t>
                    </w:r>
                  </w:p>
                </w:txbxContent>
              </v:textbox>
            </v:shape>
            <v:shape id="_x0000_s1080" type="#_x0000_t202" style="width:337;height:317;left:9278;position:absolute;top:156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81" type="#_x0000_t202" style="width:1921;height:317;left:3553;position:absolute;top:162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设计单位修改</w:t>
                    </w:r>
                  </w:p>
                </w:txbxContent>
              </v:textbox>
            </v:shape>
            <v:shape id="_x0000_s1082" type="#_x0000_t202" style="width:337;height:317;left:6157;position:absolute;top:162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83" type="#_x0000_t202" style="width:2238;height:908;left:7864;position:absolute;top:1648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强制规范规定否</w:t>
                    </w:r>
                  </w:p>
                  <w:p>
                    <w:pPr>
                      <w:spacing w:before="193" w:line="355" w:lineRule="exact"/>
                      <w:ind w:left="1414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84" type="#_x0000_t202" style="width:2555;height:1138;left:3298;position:absolute;top:1772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业主、设计单位、</w:t>
                    </w:r>
                  </w:p>
                  <w:p>
                    <w:pPr>
                      <w:spacing w:before="9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咨询三方协调会</w:t>
                    </w:r>
                  </w:p>
                  <w:p>
                    <w:pPr>
                      <w:spacing w:before="17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确定修改方案</w:t>
                    </w:r>
                  </w:p>
                </w:txbxContent>
              </v:textbox>
            </v:shape>
            <v:shape id="_x0000_s1085" type="#_x0000_t202" style="width:337;height:317;left:6157;position:absolute;top:178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大</w:t>
                    </w:r>
                  </w:p>
                </w:txbxContent>
              </v:textbox>
            </v:shape>
            <v:shape id="_x0000_s1086" type="#_x0000_t202" style="width:2400;height:954;left:7864;position:absolute;top:1801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21"/>
                        <w:sz w:val="31"/>
                      </w:rPr>
                      <w:t>对投资、施工影响</w:t>
                    </w:r>
                  </w:p>
                  <w:p>
                    <w:pPr>
                      <w:spacing w:before="240" w:line="355" w:lineRule="exact"/>
                      <w:ind w:left="1371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087" type="#_x0000_t202" style="width:337;height:317;left:4968;position:absolute;top:194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大</w:t>
                    </w:r>
                  </w:p>
                </w:txbxContent>
              </v:textbox>
            </v:shape>
            <v:shape id="_x0000_s1088" type="#_x0000_t202" style="width:3188;height:317;left:7493;position:absolute;top:19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对使用功能或其他影响</w:t>
                    </w:r>
                  </w:p>
                </w:txbxContent>
              </v:textbox>
            </v:shape>
            <v:shape id="_x0000_s1089" type="#_x0000_t202" style="width:337;height:317;left:9278;position:absolute;top:204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090" type="#_x0000_t202" style="width:2238;height:317;left:7864;position:absolute;top:212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是否是业主要求</w:t>
                    </w:r>
                  </w:p>
                </w:txbxContent>
              </v:textbox>
            </v:shape>
            <v:shape id="_x0000_s1091" type="#_x0000_t202" style="width:3822;height:317;left:12486;position:absolute;top:212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放弃该意见设计单位不修改</w:t>
                    </w:r>
                  </w:p>
                </w:txbxContent>
              </v:textbox>
            </v:shape>
            <v:shape id="_x0000_s1092" type="#_x0000_t202" style="width:2872;height:962;left:7651;position:absolute;top:22116" filled="f" stroked="f">
              <v:textbox inset="0,0,0,0">
                <w:txbxContent>
                  <w:p>
                    <w:pPr>
                      <w:spacing w:before="0" w:line="359" w:lineRule="exact"/>
                      <w:ind w:left="1627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  <w:p>
                    <w:pPr>
                      <w:spacing w:before="248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将咨询意见反馈业主</w:t>
                    </w:r>
                  </w:p>
                </w:txbxContent>
              </v:textbox>
            </v:shape>
            <v:shape id="_x0000_s1093" type="#_x0000_t202" style="width:1640;height:546;left:5797;position:absolute;top:23699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专业资料整理</w:t>
                    </w:r>
                  </w:p>
                  <w:p>
                    <w:pPr>
                      <w:spacing w:before="0" w:line="296" w:lineRule="exact"/>
                      <w:ind w:left="22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94" type="#_x0000_t202" style="width:337;height:317;left:12400;position:absolute;top:240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95" type="#_x0000_t202" style="width:6746;height:342;left:3676;position:absolute;top:24371" filled="f" stroked="f">
              <v:textbox inset="0,0,0,0">
                <w:txbxContent>
                  <w:p>
                    <w:pPr>
                      <w:tabs>
                        <w:tab w:val="left" w:pos="4191"/>
                      </w:tabs>
                      <w:spacing w:before="0" w:line="34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position w:val="-2"/>
                        <w:sz w:val="31"/>
                      </w:rPr>
                      <w:t>业主发文</w:t>
                      <w:tab/>
                    </w:r>
                    <w:r>
                      <w:rPr>
                        <w:rFonts w:ascii="宋体" w:eastAsia="宋体" w:hint="eastAsia"/>
                        <w:sz w:val="31"/>
                      </w:rPr>
                      <w:t>业主是否要求修改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096" style="width:791.05pt;height:361.45pt;mso-position-horizontal-relative:char;mso-position-vertical-relative:line" coordorigin="0,0" coordsize="15821,7229">
            <v:shape id="_x0000_s1097" type="#_x0000_t75" style="width:15820;height:7140;position:absolute" stroked="f">
              <v:imagedata r:id="rId22" o:title=""/>
            </v:shape>
            <v:shape id="_x0000_s1098" type="#_x0000_t202" style="width:4171;height:479;left:2553;position:absolute;top:206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3.2. 与业主的协作</w:t>
                    </w:r>
                  </w:p>
                </w:txbxContent>
              </v:textbox>
            </v:shape>
            <v:shape id="_x0000_s1099" type="#_x0000_t202" style="width:401;height:532;left:2553;position:absolute;top:2963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rFonts w:ascii="Wingdings" w:hAnsi="Wingdings"/>
                        <w:b/>
                        <w:sz w:val="48"/>
                      </w:rPr>
                    </w:pPr>
                    <w:r>
                      <w:rPr>
                        <w:rFonts w:ascii="Wingdings" w:hAnsi="Wingdings"/>
                        <w:b/>
                        <w:w w:val="99"/>
                        <w:sz w:val="48"/>
                      </w:rPr>
                      <w:sym w:font="Wingdings" w:char="F0D8"/>
                    </w:r>
                  </w:p>
                </w:txbxContent>
              </v:textbox>
            </v:shape>
            <v:shape id="_x0000_s1100" type="#_x0000_t202" style="width:11990;height:479;left:3831;position:absolute;top:298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受业主委托，依据管理合同中的权限，处理设计过程中的</w:t>
                    </w:r>
                  </w:p>
                </w:txbxContent>
              </v:textbox>
            </v:shape>
            <v:shape id="_x0000_s1101" type="#_x0000_t202" style="width:11904;height:479;left:3831;position:absolute;top:393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相关事宜。设计进度的展延等重大事项必须得到业主的认</w:t>
                    </w:r>
                  </w:p>
                </w:txbxContent>
              </v:textbox>
            </v:shape>
            <v:shape id="_x0000_s1102" type="#_x0000_t202" style="width:978;height:479;left:3831;position:absolute;top:486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可。</w:t>
                    </w:r>
                  </w:p>
                </w:txbxContent>
              </v:textbox>
            </v:shape>
            <v:shape id="_x0000_s1103" type="#_x0000_t202" style="width:5129;height:479;left:2553;position:absolute;top:580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3.3. 与设计单位的协作</w:t>
                    </w:r>
                  </w:p>
                </w:txbxContent>
              </v:textbox>
            </v:shape>
            <v:shape id="_x0000_s1104" type="#_x0000_t202" style="width:401;height:532;left:2553;position:absolute;top:6697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rFonts w:ascii="Wingdings" w:hAnsi="Wingdings"/>
                        <w:b/>
                        <w:sz w:val="48"/>
                      </w:rPr>
                    </w:pPr>
                    <w:r>
                      <w:rPr>
                        <w:rFonts w:ascii="Wingdings" w:hAnsi="Wingdings"/>
                        <w:b/>
                        <w:w w:val="99"/>
                        <w:sz w:val="48"/>
                      </w:rPr>
                      <w:sym w:font="Wingdings" w:char="F0D8"/>
                    </w:r>
                  </w:p>
                </w:txbxContent>
              </v:textbox>
            </v:shape>
            <v:shape id="_x0000_s1105" type="#_x0000_t202" style="width:11512;height:479;left:3831;position:absolute;top:671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本单位依据业主与设计单位的设计合同中有关约定或通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ind w:left="0" w:firstLine="0"/>
        <w:rPr>
          <w:sz w:val="24"/>
        </w:rPr>
      </w:pPr>
    </w:p>
    <w:p>
      <w:pPr>
        <w:pStyle w:val="BodyText"/>
        <w:spacing w:before="31" w:line="364" w:lineRule="auto"/>
        <w:ind w:left="1411" w:right="616" w:firstLine="0"/>
      </w:pPr>
      <w:r>
        <w:rPr>
          <w:spacing w:val="-1"/>
          <w:w w:val="95"/>
        </w:rPr>
        <w:t xml:space="preserve">过业主，要求设计单位提供必要的技术经济资料，设计单 </w:t>
      </w:r>
      <w:r>
        <w:t>位应当按要求提供除本单位的专利和专有技术外的其他</w:t>
      </w:r>
      <w:r>
        <w:rPr>
          <w:spacing w:val="-1"/>
          <w:w w:val="95"/>
        </w:rPr>
        <w:t xml:space="preserve">有关资料。设计文件的修改应当由设计单位负责，并对修 </w:t>
      </w:r>
      <w:r>
        <w:t>改后的设计文件承担质量责任。</w:t>
      </w:r>
    </w:p>
    <w:p>
      <w:pPr>
        <w:pStyle w:val="Heading1"/>
        <w:numPr>
          <w:ilvl w:val="1"/>
          <w:numId w:val="9"/>
        </w:numPr>
        <w:tabs>
          <w:tab w:val="left" w:pos="1411"/>
        </w:tabs>
        <w:spacing w:before="0" w:after="0" w:line="613" w:lineRule="exact"/>
        <w:ind w:left="1411" w:right="0" w:hanging="1278"/>
        <w:jc w:val="left"/>
      </w:pPr>
      <w:r>
        <w:rPr>
          <w:w w:val="95"/>
        </w:rPr>
        <w:t>咨询意见执行与反馈流程</w:t>
      </w:r>
    </w:p>
    <w:p>
      <w:pPr>
        <w:spacing w:after="0" w:line="613" w:lineRule="exact"/>
        <w:jc w:val="left"/>
        <w:sectPr>
          <w:headerReference w:type="default" r:id="rId23"/>
          <w:footerReference w:type="default" r:id="rId24"/>
          <w:pgSz w:w="17860" w:h="25260"/>
          <w:pgMar w:top="1080" w:right="1440" w:bottom="0" w:left="2420" w:header="791" w:footer="0"/>
          <w:pgNumType w:start="7"/>
          <w:cols w:space="708"/>
        </w:sectPr>
      </w:pPr>
    </w:p>
    <w:p>
      <w:pPr>
        <w:pStyle w:val="BodyText"/>
        <w:spacing w:before="0" w:line="59" w:lineRule="exact"/>
        <w:ind w:left="8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437054" cy="38004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705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26"/>
          <w:footerReference w:type="default" r:id="rId27"/>
          <w:pgSz w:w="17860" w:h="25260"/>
          <w:pgMar w:top="1080" w:right="1440" w:bottom="1540" w:left="2420" w:header="791" w:footer="1358"/>
          <w:pgNumType w:start="8"/>
          <w:cols w:space="708"/>
        </w:sectPr>
      </w:pPr>
    </w:p>
    <w:p>
      <w:pPr>
        <w:pStyle w:val="BodyText"/>
        <w:spacing w:before="0"/>
        <w:ind w:left="0" w:firstLine="0"/>
        <w:rPr>
          <w:b/>
          <w:sz w:val="20"/>
        </w:rPr>
      </w:pPr>
    </w:p>
    <w:p>
      <w:pPr>
        <w:pStyle w:val="BodyText"/>
        <w:spacing w:before="1"/>
        <w:ind w:left="0" w:firstLine="0"/>
        <w:rPr>
          <w:b/>
          <w:sz w:val="17"/>
        </w:rPr>
      </w:pPr>
    </w:p>
    <w:p>
      <w:pPr>
        <w:spacing w:before="31"/>
        <w:ind w:left="280" w:right="0" w:firstLine="0"/>
        <w:jc w:val="left"/>
        <w:rPr>
          <w:b/>
          <w:sz w:val="48"/>
        </w:rPr>
      </w:pPr>
      <w:r>
        <w:rPr>
          <w:b/>
          <w:sz w:val="48"/>
        </w:rPr>
        <w:t>4、项目设计进度、质量、投资控制措施</w:t>
      </w:r>
    </w:p>
    <w:p>
      <w:pPr>
        <w:pStyle w:val="Heading1"/>
        <w:numPr>
          <w:ilvl w:val="1"/>
          <w:numId w:val="12"/>
        </w:numPr>
        <w:tabs>
          <w:tab w:val="left" w:pos="1977"/>
        </w:tabs>
        <w:spacing w:before="166" w:after="0" w:line="240" w:lineRule="auto"/>
        <w:ind w:left="1976" w:right="0" w:hanging="847"/>
        <w:jc w:val="left"/>
      </w:pPr>
      <w:r>
        <w:t>项目设计进度控制措施</w:t>
      </w:r>
    </w:p>
    <w:p>
      <w:pPr>
        <w:pStyle w:val="BodyText"/>
        <w:spacing w:before="318" w:line="364" w:lineRule="auto"/>
        <w:ind w:left="280" w:right="1376" w:firstLine="849"/>
      </w:pPr>
      <w:r>
        <w:rPr>
          <w:spacing w:val="-1"/>
          <w:w w:val="95"/>
        </w:rPr>
        <w:t xml:space="preserve">设计进度管理的原则是在保证设计质量的前提下合理控 </w:t>
      </w:r>
      <w:r>
        <w:t>制设计进度。</w:t>
      </w:r>
    </w:p>
    <w:p>
      <w:pPr>
        <w:pStyle w:val="Heading1"/>
        <w:numPr>
          <w:ilvl w:val="2"/>
          <w:numId w:val="12"/>
        </w:numPr>
        <w:tabs>
          <w:tab w:val="left" w:pos="2459"/>
        </w:tabs>
        <w:spacing w:before="0" w:after="0" w:line="614" w:lineRule="exact"/>
        <w:ind w:left="2458" w:right="0" w:hanging="1329"/>
        <w:jc w:val="left"/>
      </w:pPr>
      <w:r>
        <w:t>编制合理可行的设计进度总控计划</w:t>
      </w:r>
    </w:p>
    <w:p>
      <w:pPr>
        <w:pStyle w:val="BodyText"/>
        <w:spacing w:before="317" w:line="364" w:lineRule="auto"/>
        <w:ind w:left="280" w:right="1269" w:firstLine="849"/>
      </w:pPr>
      <w:r>
        <w:t>设计进度管理的主要任务是控制设计的出图进度。根据</w:t>
      </w:r>
      <w:r>
        <w:rPr>
          <w:spacing w:val="-1"/>
          <w:w w:val="95"/>
        </w:rPr>
        <w:t xml:space="preserve">本项目的技术复杂程度、设计工作量、分期建设的布局，以 </w:t>
      </w:r>
      <w:r>
        <w:t>及报建报批的控制节点，编制合理可行的设计进度总控计</w:t>
      </w:r>
      <w:r>
        <w:rPr>
          <w:spacing w:val="-1"/>
          <w:w w:val="95"/>
        </w:rPr>
        <w:t xml:space="preserve">划。为设计工作的组织安排、专项设计的介入时点、设计里 </w:t>
      </w:r>
      <w:r>
        <w:t>程碑的确定提供依据。</w:t>
      </w:r>
    </w:p>
    <w:p>
      <w:pPr>
        <w:pStyle w:val="Heading1"/>
        <w:numPr>
          <w:ilvl w:val="2"/>
          <w:numId w:val="12"/>
        </w:numPr>
        <w:tabs>
          <w:tab w:val="left" w:pos="2459"/>
        </w:tabs>
        <w:spacing w:before="0" w:after="0" w:line="611" w:lineRule="exact"/>
        <w:ind w:left="2458" w:right="0" w:hanging="1329"/>
        <w:jc w:val="left"/>
      </w:pPr>
      <w:r>
        <w:t>强化设计计划的执行力度</w:t>
      </w:r>
    </w:p>
    <w:p>
      <w:pPr>
        <w:pStyle w:val="BodyText"/>
        <w:spacing w:line="364" w:lineRule="auto"/>
        <w:ind w:left="280" w:right="1269" w:firstLine="849"/>
      </w:pPr>
      <w:r>
        <w:t xml:space="preserve">设计进度计划的实现必须由大家共同努力强化执行力 </w:t>
      </w:r>
      <w:r>
        <w:rPr>
          <w:spacing w:val="-1"/>
          <w:w w:val="95"/>
        </w:rPr>
        <w:t>度。设计管理方的职责是保证所有涉及的专业按照计划要求 完整地提供设计图纸。设计进度的调整必然会涉及项目的方</w:t>
      </w:r>
    </w:p>
    <w:p>
      <w:pPr>
        <w:pStyle w:val="BodyText"/>
        <w:spacing w:before="0" w:line="364" w:lineRule="auto"/>
        <w:ind w:left="280" w:right="1033" w:firstLine="0"/>
      </w:pPr>
      <w:r>
        <w:rPr>
          <w:spacing w:val="-18"/>
          <w:w w:val="95"/>
        </w:rPr>
        <w:t xml:space="preserve">方面面，为避免造成设计进度计划脱节，凡调整设计进度的， </w:t>
      </w:r>
      <w:r>
        <w:t>必须经过设计管理方审批。</w:t>
      </w:r>
    </w:p>
    <w:p>
      <w:pPr>
        <w:pStyle w:val="Heading1"/>
        <w:numPr>
          <w:ilvl w:val="2"/>
          <w:numId w:val="12"/>
        </w:numPr>
        <w:tabs>
          <w:tab w:val="left" w:pos="2459"/>
        </w:tabs>
        <w:spacing w:before="0" w:after="0" w:line="614" w:lineRule="exact"/>
        <w:ind w:left="2458" w:right="0" w:hanging="1329"/>
        <w:jc w:val="left"/>
      </w:pPr>
      <w:r>
        <w:t>加强动态控制与风险分析</w:t>
      </w:r>
    </w:p>
    <w:p>
      <w:pPr>
        <w:pStyle w:val="BodyText"/>
        <w:spacing w:before="315" w:line="364" w:lineRule="auto"/>
        <w:ind w:left="280" w:right="1028" w:firstLine="849"/>
      </w:pPr>
      <w:r>
        <w:rPr>
          <w:spacing w:val="-9"/>
          <w:w w:val="95"/>
        </w:rPr>
        <w:t xml:space="preserve">建立有效的设计进度计划分级管理体系，实施动态管理， </w:t>
      </w:r>
      <w:r>
        <w:t>及时跟踪了解设计实际进展情况，并对进度及时分析评估， 明确存在的问题和潜在风险，及时预警并找出产生偏差的原因采取相应的纠偏措施。组织召开设计协调会，实时了解设计进展情况和进度计划执行情况，协调存在问题并安排下一</w:t>
      </w:r>
    </w:p>
    <w:p>
      <w:pPr>
        <w:spacing w:after="0" w:line="364" w:lineRule="auto"/>
        <w:sectPr>
          <w:headerReference w:type="default" r:id="rId28"/>
          <w:footerReference w:type="default" r:id="rId29"/>
          <w:pgSz w:w="17860" w:h="25260"/>
          <w:pgMar w:top="1400" w:right="1440" w:bottom="2020" w:left="2420" w:header="1050" w:footer="1831"/>
          <w:pgNumType w:start="9"/>
          <w:cols w:space="708"/>
        </w:sectPr>
      </w:pPr>
    </w:p>
    <w:p>
      <w:pPr>
        <w:pStyle w:val="BodyText"/>
        <w:spacing w:before="12"/>
        <w:ind w:left="0" w:firstLine="0"/>
        <w:rPr>
          <w:sz w:val="24"/>
        </w:rPr>
      </w:pPr>
    </w:p>
    <w:p>
      <w:pPr>
        <w:pStyle w:val="BodyText"/>
        <w:spacing w:before="31"/>
        <w:ind w:left="280" w:firstLine="0"/>
      </w:pPr>
      <w:r>
        <w:t>阶段工作。</w:t>
      </w:r>
    </w:p>
    <w:p>
      <w:pPr>
        <w:pStyle w:val="Heading1"/>
        <w:numPr>
          <w:ilvl w:val="2"/>
          <w:numId w:val="13"/>
        </w:numPr>
        <w:tabs>
          <w:tab w:val="left" w:pos="2459"/>
        </w:tabs>
        <w:spacing w:before="318" w:after="0" w:line="240" w:lineRule="auto"/>
        <w:ind w:left="2458" w:right="0" w:hanging="1329"/>
        <w:jc w:val="both"/>
      </w:pPr>
      <w:r>
        <w:t>加强设计接口管理</w:t>
      </w:r>
    </w:p>
    <w:p>
      <w:pPr>
        <w:pStyle w:val="BodyText"/>
        <w:spacing w:line="364" w:lineRule="auto"/>
        <w:ind w:left="280" w:right="1269" w:firstLine="849"/>
        <w:jc w:val="both"/>
      </w:pPr>
      <w:r>
        <w:t>设计接口的控制是设计进度控制乃至设计进度管理的关</w:t>
      </w:r>
      <w:r>
        <w:rPr>
          <w:spacing w:val="-1"/>
          <w:w w:val="95"/>
        </w:rPr>
        <w:t xml:space="preserve">键。进行充分接口进度分析，组织召开接口协调会，及时解 决设计接口问题，避免设计接口资料延误影响设计进度，使 接口管理更具备系统性和前瞻性，为完成设计进度计划目标 </w:t>
      </w:r>
      <w:r>
        <w:t>提供保障。</w:t>
      </w:r>
    </w:p>
    <w:p>
      <w:pPr>
        <w:pStyle w:val="Heading1"/>
        <w:numPr>
          <w:ilvl w:val="2"/>
          <w:numId w:val="13"/>
        </w:numPr>
        <w:tabs>
          <w:tab w:val="left" w:pos="2459"/>
        </w:tabs>
        <w:spacing w:before="0" w:after="0" w:line="611" w:lineRule="exact"/>
        <w:ind w:left="2458" w:right="0" w:hanging="1329"/>
        <w:jc w:val="both"/>
      </w:pPr>
      <w:r>
        <w:t>提高设计确认的质量与效率</w:t>
      </w:r>
    </w:p>
    <w:p>
      <w:pPr>
        <w:pStyle w:val="BodyText"/>
        <w:spacing w:before="318" w:line="364" w:lineRule="auto"/>
        <w:ind w:left="280" w:right="1028" w:firstLine="849"/>
      </w:pPr>
      <w:r>
        <w:t>本项目的整个设计过程包括若干阶段，各个阶段在横向或纵向环环相扣或互为条件，阶段性设计成果的确认直接关系到下一阶段工作的开展，或关联工作的推进，甚至整体报建报批及设计进度。为提供设计确认的质量与效率，必须前</w:t>
      </w:r>
      <w:r>
        <w:rPr>
          <w:spacing w:val="-15"/>
          <w:w w:val="95"/>
        </w:rPr>
        <w:t xml:space="preserve">瞻性的开展阶段性设计审查工作，提前发现问题，解决问题， </w:t>
      </w:r>
      <w:r>
        <w:t>避免反复。在报建报批环节，更可利用可能的条件，在正式送件之前，听取主管部门的专业意见。</w:t>
      </w:r>
    </w:p>
    <w:p>
      <w:pPr>
        <w:pStyle w:val="Heading1"/>
        <w:numPr>
          <w:ilvl w:val="1"/>
          <w:numId w:val="13"/>
        </w:numPr>
        <w:tabs>
          <w:tab w:val="left" w:pos="1977"/>
        </w:tabs>
        <w:spacing w:before="0" w:after="0" w:line="610" w:lineRule="exact"/>
        <w:ind w:left="1976" w:right="0" w:hanging="847"/>
        <w:jc w:val="left"/>
      </w:pPr>
      <w:r>
        <w:t>项目设计质量控制措施</w:t>
      </w:r>
    </w:p>
    <w:p>
      <w:pPr>
        <w:pStyle w:val="BodyText"/>
        <w:spacing w:before="317"/>
        <w:ind w:left="1130" w:firstLine="0"/>
      </w:pPr>
      <w:r>
        <w:t>设计质量是项目建设质量的根本保障。</w:t>
      </w:r>
    </w:p>
    <w:p>
      <w:pPr>
        <w:pStyle w:val="Heading1"/>
        <w:numPr>
          <w:ilvl w:val="2"/>
          <w:numId w:val="13"/>
        </w:numPr>
        <w:tabs>
          <w:tab w:val="left" w:pos="2459"/>
        </w:tabs>
        <w:spacing w:before="318" w:after="0" w:line="240" w:lineRule="auto"/>
        <w:ind w:left="2458" w:right="0" w:hanging="1329"/>
        <w:jc w:val="both"/>
      </w:pPr>
      <w:r>
        <w:t>在设计任务书中明确提出设计质量控制要求</w:t>
      </w:r>
    </w:p>
    <w:p>
      <w:pPr>
        <w:pStyle w:val="BodyText"/>
        <w:spacing w:before="322" w:line="364" w:lineRule="auto"/>
        <w:ind w:left="280" w:right="1269" w:firstLine="849"/>
        <w:jc w:val="both"/>
      </w:pPr>
      <w:r>
        <w:t>在设计任务书中明确提出各阶段、各专业的设计内容要</w:t>
      </w:r>
      <w:r>
        <w:rPr>
          <w:spacing w:val="-1"/>
          <w:w w:val="95"/>
        </w:rPr>
        <w:t xml:space="preserve">求、设计深图要求、出图标准要求，必须达到的设计标准等 </w:t>
      </w:r>
      <w:r>
        <w:t>等。</w:t>
      </w:r>
    </w:p>
    <w:p>
      <w:pPr>
        <w:pStyle w:val="Heading1"/>
        <w:numPr>
          <w:ilvl w:val="2"/>
          <w:numId w:val="13"/>
        </w:numPr>
        <w:tabs>
          <w:tab w:val="left" w:pos="2459"/>
        </w:tabs>
        <w:spacing w:before="0" w:after="0" w:line="611" w:lineRule="exact"/>
        <w:ind w:left="2458" w:right="0" w:hanging="1329"/>
        <w:jc w:val="both"/>
      </w:pPr>
      <w:r>
        <w:t>确保提供给设计单位的资料质量</w:t>
      </w:r>
    </w:p>
    <w:p>
      <w:pPr>
        <w:spacing w:after="0" w:line="611" w:lineRule="exact"/>
        <w:jc w:val="both"/>
        <w:sectPr>
          <w:headerReference w:type="default" r:id="rId30"/>
          <w:footerReference w:type="default" r:id="rId31"/>
          <w:pgSz w:w="17860" w:h="25260"/>
          <w:pgMar w:top="1400" w:right="1440" w:bottom="2020" w:left="2420" w:header="1050" w:footer="1831"/>
          <w:pgNumType w:start="10"/>
          <w:cols w:space="708"/>
        </w:sectPr>
      </w:pPr>
    </w:p>
    <w:p>
      <w:pPr>
        <w:pStyle w:val="BodyText"/>
        <w:spacing w:before="12"/>
        <w:ind w:left="0" w:firstLine="0"/>
        <w:rPr>
          <w:b/>
          <w:sz w:val="24"/>
        </w:rPr>
      </w:pPr>
    </w:p>
    <w:p>
      <w:pPr>
        <w:pStyle w:val="BodyText"/>
        <w:spacing w:before="31" w:line="364" w:lineRule="auto"/>
        <w:ind w:left="280" w:right="1376" w:firstLine="849"/>
      </w:pPr>
      <w:r>
        <w:rPr>
          <w:spacing w:val="-1"/>
          <w:w w:val="95"/>
        </w:rPr>
        <w:t xml:space="preserve">确保作为设计依据的基础资料的全面性、准确性、可靠 </w:t>
      </w:r>
      <w:r>
        <w:t>性和时效性。这是设计质量保证的重要基础。</w:t>
      </w:r>
    </w:p>
    <w:p>
      <w:pPr>
        <w:pStyle w:val="Heading1"/>
        <w:numPr>
          <w:ilvl w:val="2"/>
          <w:numId w:val="8"/>
        </w:numPr>
        <w:tabs>
          <w:tab w:val="left" w:pos="2459"/>
        </w:tabs>
        <w:spacing w:before="0" w:after="0" w:line="614" w:lineRule="exact"/>
        <w:ind w:left="2458" w:right="0" w:hanging="1329"/>
        <w:jc w:val="left"/>
      </w:pPr>
      <w:r>
        <w:t>制定设计协调制度</w:t>
      </w:r>
    </w:p>
    <w:p>
      <w:pPr>
        <w:pStyle w:val="BodyText"/>
        <w:spacing w:before="318" w:line="364" w:lineRule="auto"/>
        <w:ind w:left="280" w:right="1033" w:firstLine="849"/>
      </w:pPr>
      <w:r>
        <w:t>在设计协调制度的基础上，协调各方工作，包括：业主</w:t>
      </w:r>
      <w:r>
        <w:rPr>
          <w:spacing w:val="-18"/>
          <w:w w:val="95"/>
        </w:rPr>
        <w:t xml:space="preserve">方和设计方之间、合作设计单位之间、设计内部各专业之间、 </w:t>
      </w:r>
      <w:r>
        <w:t>主设计方与其他设计方之间。</w:t>
      </w:r>
    </w:p>
    <w:p>
      <w:pPr>
        <w:pStyle w:val="Heading1"/>
        <w:numPr>
          <w:ilvl w:val="2"/>
          <w:numId w:val="8"/>
        </w:numPr>
        <w:tabs>
          <w:tab w:val="left" w:pos="2459"/>
        </w:tabs>
        <w:spacing w:before="0" w:after="0" w:line="612" w:lineRule="exact"/>
        <w:ind w:left="2458" w:right="0" w:hanging="1329"/>
        <w:jc w:val="left"/>
      </w:pPr>
      <w:r>
        <w:t>强化设计审查的质量</w:t>
      </w:r>
    </w:p>
    <w:p>
      <w:pPr>
        <w:pStyle w:val="BodyText"/>
        <w:spacing w:line="364" w:lineRule="auto"/>
        <w:ind w:left="280" w:right="1037" w:firstLine="849"/>
      </w:pPr>
      <w:r>
        <w:t>根据设计任务书的要求审查图纸、技术说明和计算书等设计文件的质量。审查的重点包括是否符合项目需求管理确</w:t>
      </w:r>
      <w:r>
        <w:rPr>
          <w:spacing w:val="-17"/>
          <w:w w:val="95"/>
        </w:rPr>
        <w:t xml:space="preserve">定的各项要求，水、电、气等系统设计与有关市政工程规范、 </w:t>
      </w:r>
      <w:r>
        <w:t>地块市政条件是否相符合，审查是否满足设计深度要求，尤其是可施工性的要求。</w:t>
      </w:r>
    </w:p>
    <w:p>
      <w:pPr>
        <w:pStyle w:val="Heading1"/>
        <w:numPr>
          <w:ilvl w:val="2"/>
          <w:numId w:val="8"/>
        </w:numPr>
        <w:tabs>
          <w:tab w:val="left" w:pos="2459"/>
        </w:tabs>
        <w:spacing w:before="0" w:after="0" w:line="611" w:lineRule="exact"/>
        <w:ind w:left="2458" w:right="0" w:hanging="1329"/>
        <w:jc w:val="left"/>
      </w:pPr>
      <w:r>
        <w:t>组织设备选型论证</w:t>
      </w:r>
    </w:p>
    <w:p>
      <w:pPr>
        <w:pStyle w:val="BodyText"/>
        <w:spacing w:before="317" w:line="364" w:lineRule="auto"/>
        <w:ind w:left="280" w:right="1269" w:firstLine="849"/>
        <w:jc w:val="both"/>
      </w:pPr>
      <w:r>
        <w:t>论证设备选型技术、主要材料是否可行，是否符合项目</w:t>
      </w:r>
      <w:r>
        <w:rPr>
          <w:spacing w:val="-1"/>
          <w:w w:val="95"/>
        </w:rPr>
        <w:t xml:space="preserve">要求，以及国家相关规范、标准。论证设备选型、主要材料 </w:t>
      </w:r>
      <w:r>
        <w:t>经济方面是否合理。并提出优化建议。</w:t>
      </w:r>
    </w:p>
    <w:p>
      <w:pPr>
        <w:pStyle w:val="Heading1"/>
        <w:numPr>
          <w:ilvl w:val="2"/>
          <w:numId w:val="8"/>
        </w:numPr>
        <w:tabs>
          <w:tab w:val="left" w:pos="2459"/>
        </w:tabs>
        <w:spacing w:before="0" w:after="0" w:line="611" w:lineRule="exact"/>
        <w:ind w:left="2458" w:right="0" w:hanging="1329"/>
        <w:jc w:val="both"/>
      </w:pPr>
      <w:r>
        <w:t>组织专题分析论证</w:t>
      </w:r>
    </w:p>
    <w:p>
      <w:pPr>
        <w:pStyle w:val="BodyText"/>
        <w:spacing w:before="318" w:line="364" w:lineRule="auto"/>
        <w:ind w:left="280" w:right="1376" w:firstLine="849"/>
      </w:pPr>
      <w:r>
        <w:rPr>
          <w:spacing w:val="-1"/>
          <w:w w:val="95"/>
        </w:rPr>
        <w:t xml:space="preserve">对于重大技术问题、疑难问题，根据需要组织专题进行 </w:t>
      </w:r>
      <w:r>
        <w:t>分析论证。</w:t>
      </w:r>
    </w:p>
    <w:p>
      <w:pPr>
        <w:pStyle w:val="Heading1"/>
        <w:numPr>
          <w:ilvl w:val="2"/>
          <w:numId w:val="8"/>
        </w:numPr>
        <w:tabs>
          <w:tab w:val="left" w:pos="2459"/>
        </w:tabs>
        <w:spacing w:before="0" w:after="0" w:line="240" w:lineRule="auto"/>
        <w:ind w:left="2458" w:right="0" w:hanging="1329"/>
        <w:jc w:val="left"/>
      </w:pPr>
      <w:r>
        <w:t>组织“四新”论证</w:t>
      </w:r>
    </w:p>
    <w:p>
      <w:pPr>
        <w:pStyle w:val="BodyText"/>
        <w:spacing w:before="320" w:line="364" w:lineRule="auto"/>
        <w:ind w:left="280" w:right="1376" w:firstLine="849"/>
      </w:pPr>
      <w:r>
        <w:rPr>
          <w:spacing w:val="-1"/>
          <w:w w:val="95"/>
        </w:rPr>
        <w:t xml:space="preserve">组织论证项目的新产品、新技术、新工艺、新材料的主 </w:t>
      </w:r>
      <w:r>
        <w:t>要适用用途。</w:t>
      </w:r>
    </w:p>
    <w:p>
      <w:pPr>
        <w:spacing w:after="0" w:line="364" w:lineRule="auto"/>
        <w:sectPr>
          <w:headerReference w:type="default" r:id="rId32"/>
          <w:footerReference w:type="default" r:id="rId33"/>
          <w:pgSz w:w="17860" w:h="25260"/>
          <w:pgMar w:top="1400" w:right="1440" w:bottom="2020" w:left="2420" w:header="1050" w:footer="1831"/>
          <w:pgNumType w:start="11"/>
          <w:cols w:space="708"/>
        </w:sectPr>
      </w:pPr>
    </w:p>
    <w:p>
      <w:pPr>
        <w:pStyle w:val="BodyText"/>
        <w:spacing w:before="12"/>
        <w:ind w:left="0" w:firstLine="0"/>
        <w:rPr>
          <w:sz w:val="24"/>
        </w:rPr>
      </w:pPr>
    </w:p>
    <w:p>
      <w:pPr>
        <w:pStyle w:val="Heading1"/>
        <w:numPr>
          <w:ilvl w:val="2"/>
          <w:numId w:val="8"/>
        </w:numPr>
        <w:tabs>
          <w:tab w:val="left" w:pos="2459"/>
        </w:tabs>
        <w:spacing w:before="31" w:after="0" w:line="240" w:lineRule="auto"/>
        <w:ind w:left="2458" w:right="0" w:hanging="1329"/>
        <w:jc w:val="left"/>
      </w:pPr>
      <w:r>
        <w:t>制定技术标准</w:t>
      </w:r>
    </w:p>
    <w:p>
      <w:pPr>
        <w:pStyle w:val="BodyText"/>
        <w:spacing w:before="318" w:line="364" w:lineRule="auto"/>
        <w:ind w:left="280" w:right="1376" w:firstLine="849"/>
      </w:pPr>
      <w:r>
        <w:rPr>
          <w:spacing w:val="-1"/>
          <w:w w:val="95"/>
        </w:rPr>
        <w:t xml:space="preserve">针对技术标准和设计规范有空缺的，组织进行技术标准 </w:t>
      </w:r>
      <w:r>
        <w:t>的制定。</w:t>
      </w:r>
    </w:p>
    <w:p>
      <w:pPr>
        <w:pStyle w:val="Heading1"/>
        <w:numPr>
          <w:ilvl w:val="2"/>
          <w:numId w:val="8"/>
        </w:numPr>
        <w:tabs>
          <w:tab w:val="left" w:pos="2459"/>
        </w:tabs>
        <w:spacing w:before="0" w:after="0" w:line="614" w:lineRule="exact"/>
        <w:ind w:left="2458" w:right="0" w:hanging="1329"/>
        <w:jc w:val="left"/>
      </w:pPr>
      <w:r>
        <w:rPr>
          <w:spacing w:val="-38"/>
        </w:rPr>
        <w:t xml:space="preserve">应用 </w:t>
      </w:r>
      <w:r>
        <w:t>BIM</w:t>
      </w:r>
      <w:r>
        <w:rPr>
          <w:spacing w:val="-38"/>
        </w:rPr>
        <w:t xml:space="preserve"> 技术</w:t>
      </w:r>
    </w:p>
    <w:p>
      <w:pPr>
        <w:pStyle w:val="BodyText"/>
        <w:spacing w:line="364" w:lineRule="auto"/>
        <w:ind w:left="280" w:right="1282" w:firstLine="849"/>
      </w:pPr>
      <w:r>
        <w:rPr>
          <w:spacing w:val="-29"/>
        </w:rPr>
        <w:t xml:space="preserve">应用 </w:t>
      </w:r>
      <w:r>
        <w:t>BIM</w:t>
      </w:r>
      <w:r>
        <w:rPr>
          <w:spacing w:val="-11"/>
        </w:rPr>
        <w:t xml:space="preserve"> 技术精确检查项目整体合理性以及设计的各专</w:t>
      </w:r>
      <w:r>
        <w:t>业之间错、漏、碰、缺。</w:t>
      </w:r>
    </w:p>
    <w:p>
      <w:pPr>
        <w:pStyle w:val="Heading1"/>
        <w:numPr>
          <w:ilvl w:val="1"/>
          <w:numId w:val="8"/>
        </w:numPr>
        <w:tabs>
          <w:tab w:val="left" w:pos="1977"/>
        </w:tabs>
        <w:spacing w:before="0" w:after="0" w:line="611" w:lineRule="exact"/>
        <w:ind w:left="1976" w:right="0" w:hanging="847"/>
        <w:jc w:val="left"/>
      </w:pPr>
      <w:r>
        <w:t>项目设计投资控制措施</w:t>
      </w:r>
    </w:p>
    <w:p>
      <w:pPr>
        <w:pStyle w:val="BodyText"/>
        <w:spacing w:before="2"/>
        <w:ind w:left="0" w:firstLine="0"/>
        <w:rPr>
          <w:b/>
          <w:sz w:val="37"/>
        </w:rPr>
      </w:pPr>
    </w:p>
    <w:p>
      <w:pPr>
        <w:pStyle w:val="ListParagraph"/>
        <w:numPr>
          <w:ilvl w:val="2"/>
          <w:numId w:val="8"/>
        </w:numPr>
        <w:tabs>
          <w:tab w:val="left" w:pos="2574"/>
        </w:tabs>
        <w:spacing w:before="0" w:after="0" w:line="240" w:lineRule="auto"/>
        <w:ind w:left="2573" w:right="0" w:hanging="1329"/>
        <w:jc w:val="left"/>
        <w:rPr>
          <w:b/>
          <w:sz w:val="48"/>
        </w:rPr>
      </w:pPr>
      <w:r>
        <w:rPr>
          <w:b/>
          <w:sz w:val="48"/>
        </w:rPr>
        <w:t>确定项目总体造价控制目标</w:t>
      </w:r>
    </w:p>
    <w:p>
      <w:pPr>
        <w:pStyle w:val="BodyText"/>
        <w:spacing w:before="166" w:line="364" w:lineRule="auto"/>
        <w:ind w:left="280" w:right="1376" w:firstLine="849"/>
      </w:pPr>
      <w:r>
        <w:rPr>
          <w:spacing w:val="-1"/>
          <w:w w:val="95"/>
        </w:rPr>
        <w:t xml:space="preserve">提出项目总造价控制目标，并分块分析，调整优化，建 </w:t>
      </w:r>
      <w:r>
        <w:t>立造价控制目标体系。</w:t>
      </w:r>
    </w:p>
    <w:p>
      <w:pPr>
        <w:pStyle w:val="ListParagraph"/>
        <w:numPr>
          <w:ilvl w:val="2"/>
          <w:numId w:val="8"/>
        </w:numPr>
        <w:tabs>
          <w:tab w:val="left" w:pos="2574"/>
        </w:tabs>
        <w:spacing w:before="150" w:after="0" w:line="304" w:lineRule="auto"/>
        <w:ind w:left="1130" w:right="2805" w:firstLine="115"/>
        <w:jc w:val="left"/>
        <w:rPr>
          <w:sz w:val="48"/>
        </w:rPr>
      </w:pPr>
      <w:r>
        <w:rPr>
          <w:b/>
          <w:spacing w:val="-1"/>
          <w:w w:val="95"/>
          <w:sz w:val="48"/>
        </w:rPr>
        <w:t>在设计任务书中提出有关造价控制的要求</w:t>
      </w:r>
      <w:r>
        <w:rPr>
          <w:spacing w:val="-1"/>
          <w:w w:val="95"/>
          <w:sz w:val="48"/>
        </w:rPr>
        <w:t>根据本项目请款，提出明确的限额设计的要求。</w:t>
      </w:r>
    </w:p>
    <w:p>
      <w:pPr>
        <w:pStyle w:val="Heading1"/>
        <w:numPr>
          <w:ilvl w:val="2"/>
          <w:numId w:val="8"/>
        </w:numPr>
        <w:tabs>
          <w:tab w:val="left" w:pos="2574"/>
        </w:tabs>
        <w:spacing w:before="311" w:after="0" w:line="240" w:lineRule="auto"/>
        <w:ind w:left="2573" w:right="0" w:hanging="1329"/>
        <w:jc w:val="left"/>
      </w:pPr>
      <w:r>
        <w:t>强化限额设计管理</w:t>
      </w:r>
    </w:p>
    <w:p>
      <w:pPr>
        <w:pStyle w:val="BodyText"/>
        <w:spacing w:before="166" w:line="364" w:lineRule="auto"/>
        <w:ind w:left="280" w:right="1269" w:firstLine="849"/>
        <w:jc w:val="both"/>
      </w:pPr>
      <w:r>
        <w:t>对限额设计值进行合理分配，按照单项工程、单位工程</w:t>
      </w:r>
      <w:r>
        <w:rPr>
          <w:spacing w:val="-1"/>
          <w:w w:val="95"/>
        </w:rPr>
        <w:t xml:space="preserve">和分部分项工程的造价或百分比例分配限额设计指标，并合 理预留一定比例的后续所需指标。在设计过程中，通过一系 列的控制方法，监督检查项目总造价目标及各设计阶段设计 </w:t>
      </w:r>
      <w:r>
        <w:t>限额的执行情况。</w:t>
      </w:r>
    </w:p>
    <w:p>
      <w:pPr>
        <w:pStyle w:val="Heading1"/>
        <w:numPr>
          <w:ilvl w:val="2"/>
          <w:numId w:val="8"/>
        </w:numPr>
        <w:tabs>
          <w:tab w:val="left" w:pos="2574"/>
        </w:tabs>
        <w:spacing w:before="151" w:after="0" w:line="240" w:lineRule="auto"/>
        <w:ind w:left="2573" w:right="0" w:hanging="1329"/>
        <w:jc w:val="both"/>
      </w:pPr>
      <w:r>
        <w:t>组织价值工程论证</w:t>
      </w:r>
    </w:p>
    <w:p>
      <w:pPr>
        <w:pStyle w:val="BodyText"/>
        <w:spacing w:before="166" w:line="364" w:lineRule="auto"/>
        <w:ind w:left="280" w:right="1269" w:firstLine="849"/>
        <w:jc w:val="both"/>
      </w:pPr>
      <w:r>
        <w:t>从设计、施工、材料设备、运营等多方面进行必要的市</w:t>
      </w:r>
      <w:r>
        <w:rPr>
          <w:spacing w:val="-1"/>
          <w:w w:val="95"/>
        </w:rPr>
        <w:t>场调查和技术经济分析；在考虑项目全生命周期的成本及经 济效益的基础上，对不同的技术方案进行论证、优选；如发</w:t>
      </w:r>
    </w:p>
    <w:p>
      <w:pPr>
        <w:spacing w:after="0" w:line="36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https://d.book118.com/228072055101006023</w:t>
        </w:r>
      </w:hyperlink>
    </w:p>
    <w:p>
      <w:pPr>
        <w:spacing w:after="0" w:line="364" w:lineRule="auto"/>
        <w:jc w:val="both"/>
      </w:pPr>
    </w:p>
    <w:sectPr>
      <w:headerReference w:type="default" r:id="rId35"/>
      <w:footerReference w:type="default" r:id="rId36"/>
      <w:pgSz w:w="17860" w:h="25260"/>
      <w:pgMar w:top="1400" w:right="1440" w:bottom="2020" w:left="2420" w:header="1050" w:footer="1831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3pt;height:15.5pt;margin-top:1183.96pt;margin-left:288.8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3pt;height:15.5pt;margin-top:1183.96pt;margin-left:288.8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3pt;height:15.5pt;margin-top:1183.96pt;margin-left:288.8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3pt;height:15.5pt;margin-top:1183.96pt;margin-left:288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3pt;height:15.5pt;margin-top:1183.96pt;margin-left:288.8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3pt;height:15.5pt;margin-top:1183.96pt;margin-left:288.8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1183.96pt;margin-left:288.8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1160.35pt;margin-left:296.2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1160.35pt;margin-left:296.2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1160.35pt;margin-left:296.2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1160.35pt;margin-left:296.2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698500</wp:posOffset>
          </wp:positionV>
          <wp:extent cx="84582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0.65pt;height:17.2pt;margin-top:38.55pt;margin-left:406.9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698500</wp:posOffset>
          </wp:positionV>
          <wp:extent cx="8458200" cy="38100"/>
          <wp:effectExtent l="0" t="0" r="0" b="0"/>
          <wp:wrapNone/>
          <wp:docPr id="6507062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07062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0.65pt;height:17.2pt;margin-top:38.55pt;margin-left:406.9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698500</wp:posOffset>
          </wp:positionV>
          <wp:extent cx="8458200" cy="38100"/>
          <wp:effectExtent l="0" t="0" r="0" b="0"/>
          <wp:wrapNone/>
          <wp:docPr id="14610528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0528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0.65pt;height:17.2pt;margin-top:38.55pt;margin-left:406.9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698500</wp:posOffset>
          </wp:positionV>
          <wp:extent cx="8458200" cy="38100"/>
          <wp:effectExtent l="0" t="0" r="0" b="0"/>
          <wp:wrapNone/>
          <wp:docPr id="9024268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4268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00.65pt;height:17.2pt;margin-top:38.55pt;margin-left:406.9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698500</wp:posOffset>
          </wp:positionV>
          <wp:extent cx="8458200" cy="38100"/>
          <wp:effectExtent l="0" t="0" r="0" b="0"/>
          <wp:wrapNone/>
          <wp:docPr id="686691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691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0.65pt;height:17.2pt;margin-top:38.55pt;margin-left:406.9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698500</wp:posOffset>
          </wp:positionV>
          <wp:extent cx="8458200" cy="38100"/>
          <wp:effectExtent l="0" t="0" r="0" b="0"/>
          <wp:wrapNone/>
          <wp:docPr id="16800292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00292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00.65pt;height:17.2pt;margin-top:38.55pt;margin-left:406.9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00.65pt;height:17.2pt;margin-top:38.55pt;margin-left:406.9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00.65pt;height:17.2pt;margin-top:38.55pt;margin-left:406.9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00.65pt;height:17.2pt;margin-top:51.51pt;margin-left:396.1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0387998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7998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00.65pt;height:17.2pt;margin-top:51.51pt;margin-left:396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1920333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20333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00.65pt;height:17.2pt;margin-top:51.51pt;margin-left:396.1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 w:firstLine="0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2477005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770056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00.65pt;height:17.2pt;margin-top:51.51pt;margin-left:396.1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宋体" w:eastAsia="宋体" w:hint="eastAsia"/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8EAE5"/>
    <w:multiLevelType w:val="hybridMultilevel"/>
    <w:tmpl w:val="00000000"/>
    <w:lvl w:ilvl="0">
      <w:start w:val="5"/>
      <w:numFmt w:val="decimal"/>
      <w:lvlText w:val="%1"/>
      <w:lvlJc w:val="left"/>
      <w:pPr>
        <w:ind w:left="1558" w:hanging="127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58" w:hanging="1278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（%3）"/>
      <w:lvlJc w:val="left"/>
      <w:pPr>
        <w:ind w:left="280" w:hanging="1207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324" w:hanging="12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12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8" w:hanging="12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0" w:hanging="12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12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5" w:hanging="1207"/>
      </w:pPr>
      <w:rPr>
        <w:rFonts w:hint="default"/>
      </w:rPr>
    </w:lvl>
  </w:abstractNum>
  <w:abstractNum w:abstractNumId="1">
    <w:nsid w:val="12ADED07"/>
    <w:multiLevelType w:val="hybridMultilevel"/>
    <w:tmpl w:val="00000000"/>
    <w:lvl w:ilvl="0">
      <w:start w:val="0"/>
      <w:numFmt w:val="bullet"/>
      <w:lvlText w:val=""/>
      <w:lvlJc w:val="left"/>
      <w:pPr>
        <w:ind w:left="1558" w:hanging="1278"/>
      </w:pPr>
      <w:rPr>
        <w:rFonts w:ascii="Wingdings" w:eastAsia="Wingdings" w:hAnsi="Wingdings" w:cs="Wingdings" w:hint="default"/>
        <w:w w:val="99"/>
        <w:sz w:val="48"/>
        <w:szCs w:val="48"/>
      </w:rPr>
    </w:lvl>
    <w:lvl w:ilvl="1">
      <w:start w:val="0"/>
      <w:numFmt w:val="bullet"/>
      <w:lvlText w:val=""/>
      <w:lvlJc w:val="left"/>
      <w:pPr>
        <w:ind w:left="1979" w:hanging="1275"/>
      </w:pPr>
      <w:rPr>
        <w:rFonts w:ascii="Wingdings" w:eastAsia="Wingdings" w:hAnsi="Wingdings" w:cs="Wingdings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315" w:hanging="1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2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8" w:hanging="1275"/>
      </w:pPr>
      <w:rPr>
        <w:rFonts w:hint="default"/>
      </w:rPr>
    </w:lvl>
  </w:abstractNum>
  <w:abstractNum w:abstractNumId="2">
    <w:nsid w:val="242AC362"/>
    <w:multiLevelType w:val="hybridMultilevel"/>
    <w:tmpl w:val="00000000"/>
    <w:lvl w:ilvl="0">
      <w:start w:val="4"/>
      <w:numFmt w:val="decimal"/>
      <w:lvlText w:val="%1"/>
      <w:lvlJc w:val="left"/>
      <w:pPr>
        <w:ind w:left="1976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6" w:hanging="846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2458" w:hanging="1329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4007" w:hanging="1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4" w:hanging="1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2" w:hanging="1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9" w:hanging="1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7" w:hanging="1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4" w:hanging="1329"/>
      </w:pPr>
      <w:rPr>
        <w:rFonts w:hint="default"/>
      </w:rPr>
    </w:lvl>
  </w:abstractNum>
  <w:abstractNum w:abstractNumId="3">
    <w:nsid w:val="2D091D1B"/>
    <w:multiLevelType w:val="hybridMultilevel"/>
    <w:tmpl w:val="00000000"/>
    <w:lvl w:ilvl="0">
      <w:start w:val="0"/>
      <w:numFmt w:val="bullet"/>
      <w:lvlText w:val=""/>
      <w:lvlJc w:val="left"/>
      <w:pPr>
        <w:ind w:left="1558" w:hanging="1278"/>
      </w:pPr>
      <w:rPr>
        <w:rFonts w:ascii="Wingdings" w:eastAsia="Wingdings" w:hAnsi="Wingdings" w:cs="Wingdings" w:hint="default"/>
        <w:b/>
        <w:bCs/>
        <w:w w:val="99"/>
        <w:sz w:val="48"/>
        <w:szCs w:val="48"/>
      </w:rPr>
    </w:lvl>
    <w:lvl w:ilvl="1">
      <w:start w:val="0"/>
      <w:numFmt w:val="bullet"/>
      <w:lvlText w:val=""/>
      <w:lvlJc w:val="left"/>
      <w:pPr>
        <w:ind w:left="1979" w:hanging="1275"/>
      </w:pPr>
      <w:rPr>
        <w:rFonts w:ascii="Wingdings" w:eastAsia="Wingdings" w:hAnsi="Wingdings" w:cs="Wingdings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315" w:hanging="1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2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8" w:hanging="1275"/>
      </w:pPr>
      <w:rPr>
        <w:rFonts w:hint="default"/>
      </w:rPr>
    </w:lvl>
  </w:abstractNum>
  <w:abstractNum w:abstractNumId="4">
    <w:nsid w:val="2E293217"/>
    <w:multiLevelType w:val="hybridMultilevel"/>
    <w:tmpl w:val="00000000"/>
    <w:lvl w:ilvl="0">
      <w:start w:val="1"/>
      <w:numFmt w:val="decimal"/>
      <w:lvlText w:val="（%1）"/>
      <w:lvlJc w:val="left"/>
      <w:pPr>
        <w:ind w:left="2023" w:hanging="1260"/>
        <w:jc w:val="left"/>
      </w:pPr>
      <w:rPr>
        <w:rFonts w:ascii="楷体" w:eastAsia="楷体" w:hAnsi="楷体" w:cs="楷体" w:hint="default"/>
        <w:b/>
        <w:bCs/>
        <w:spacing w:val="0"/>
        <w:w w:val="98"/>
        <w:sz w:val="48"/>
        <w:szCs w:val="48"/>
      </w:rPr>
    </w:lvl>
    <w:lvl w:ilvl="1">
      <w:start w:val="1"/>
      <w:numFmt w:val="decimal"/>
      <w:lvlText w:val="（%2）"/>
      <w:lvlJc w:val="left"/>
      <w:pPr>
        <w:ind w:left="2301" w:hanging="1204"/>
        <w:jc w:val="left"/>
      </w:pPr>
      <w:rPr>
        <w:rFonts w:ascii="楷体" w:eastAsia="楷体" w:hAnsi="楷体" w:cs="楷体" w:hint="default"/>
        <w:b/>
        <w:bCs/>
        <w:spacing w:val="0"/>
        <w:w w:val="98"/>
        <w:sz w:val="46"/>
        <w:szCs w:val="46"/>
      </w:rPr>
    </w:lvl>
    <w:lvl w:ilvl="2">
      <w:start w:val="0"/>
      <w:numFmt w:val="bullet"/>
      <w:lvlText w:val="•"/>
      <w:lvlJc w:val="left"/>
      <w:pPr>
        <w:ind w:left="3599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9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1204"/>
      </w:pPr>
      <w:rPr>
        <w:rFonts w:hint="default"/>
      </w:rPr>
    </w:lvl>
  </w:abstractNum>
  <w:abstractNum w:abstractNumId="5">
    <w:nsid w:val="36DB2FED"/>
    <w:multiLevelType w:val="hybridMultilevel"/>
    <w:tmpl w:val="00000000"/>
    <w:lvl w:ilvl="0">
      <w:start w:val="3"/>
      <w:numFmt w:val="decimal"/>
      <w:lvlText w:val="%1"/>
      <w:lvlJc w:val="left"/>
      <w:pPr>
        <w:ind w:left="1411" w:hanging="1278"/>
        <w:jc w:val="left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11" w:hanging="1278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"/>
      <w:lvlJc w:val="left"/>
      <w:pPr>
        <w:ind w:left="1979" w:hanging="1275"/>
      </w:pPr>
      <w:rPr>
        <w:rFonts w:ascii="Wingdings" w:eastAsia="Wingdings" w:hAnsi="Wingdings" w:cs="Wingdings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4651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2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8" w:hanging="1275"/>
      </w:pPr>
      <w:rPr>
        <w:rFonts w:hint="default"/>
      </w:rPr>
    </w:lvl>
  </w:abstractNum>
  <w:abstractNum w:abstractNumId="6">
    <w:nsid w:val="4150B3C4"/>
    <w:multiLevelType w:val="hybridMultilevel"/>
    <w:tmpl w:val="00000000"/>
    <w:lvl w:ilvl="0">
      <w:start w:val="4"/>
      <w:numFmt w:val="decimal"/>
      <w:lvlText w:val="%1"/>
      <w:lvlJc w:val="left"/>
      <w:pPr>
        <w:ind w:left="1976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6" w:hanging="846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2458" w:hanging="1329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4007" w:hanging="1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4" w:hanging="1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2" w:hanging="1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9" w:hanging="1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7" w:hanging="1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4" w:hanging="1329"/>
      </w:pPr>
      <w:rPr>
        <w:rFonts w:hint="default"/>
      </w:rPr>
    </w:lvl>
  </w:abstractNum>
  <w:abstractNum w:abstractNumId="7">
    <w:nsid w:val="4B68DCA5"/>
    <w:multiLevelType w:val="hybridMultilevel"/>
    <w:tmpl w:val="00000000"/>
    <w:lvl w:ilvl="0">
      <w:start w:val="0"/>
      <w:numFmt w:val="bullet"/>
      <w:lvlText w:val=""/>
      <w:lvlJc w:val="left"/>
      <w:pPr>
        <w:ind w:left="1558" w:hanging="1278"/>
      </w:pPr>
      <w:rPr>
        <w:rFonts w:ascii="Wingdings" w:eastAsia="Wingdings" w:hAnsi="Wingdings" w:cs="Wingdings" w:hint="default"/>
        <w:b/>
        <w:bCs/>
        <w:w w:val="99"/>
        <w:sz w:val="48"/>
        <w:szCs w:val="48"/>
      </w:rPr>
    </w:lvl>
    <w:lvl w:ilvl="1">
      <w:start w:val="0"/>
      <w:numFmt w:val="bullet"/>
      <w:lvlText w:val=""/>
      <w:lvlJc w:val="left"/>
      <w:pPr>
        <w:ind w:left="1979" w:hanging="1275"/>
      </w:pPr>
      <w:rPr>
        <w:rFonts w:ascii="Wingdings" w:eastAsia="Wingdings" w:hAnsi="Wingdings" w:cs="Wingdings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315" w:hanging="1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2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8" w:hanging="1275"/>
      </w:pPr>
      <w:rPr>
        <w:rFonts w:hint="default"/>
      </w:rPr>
    </w:lvl>
  </w:abstractNum>
  <w:abstractNum w:abstractNumId="8">
    <w:nsid w:val="4CAD6A14"/>
    <w:multiLevelType w:val="hybridMultilevel"/>
    <w:tmpl w:val="00000000"/>
    <w:lvl w:ilvl="0">
      <w:start w:val="1"/>
      <w:numFmt w:val="decimal"/>
      <w:lvlText w:val="（%1）"/>
      <w:lvlJc w:val="left"/>
      <w:pPr>
        <w:ind w:left="2023" w:hanging="1260"/>
        <w:jc w:val="left"/>
      </w:pPr>
      <w:rPr>
        <w:rFonts w:ascii="楷体" w:eastAsia="楷体" w:hAnsi="楷体" w:cs="楷体" w:hint="default"/>
        <w:b/>
        <w:bCs/>
        <w:spacing w:val="0"/>
        <w:w w:val="98"/>
        <w:sz w:val="48"/>
        <w:szCs w:val="48"/>
      </w:rPr>
    </w:lvl>
    <w:lvl w:ilvl="1">
      <w:start w:val="1"/>
      <w:numFmt w:val="decimal"/>
      <w:lvlText w:val="（%2）"/>
      <w:lvlJc w:val="left"/>
      <w:pPr>
        <w:ind w:left="2301" w:hanging="1204"/>
        <w:jc w:val="left"/>
      </w:pPr>
      <w:rPr>
        <w:rFonts w:ascii="楷体" w:eastAsia="楷体" w:hAnsi="楷体" w:cs="楷体" w:hint="default"/>
        <w:b/>
        <w:bCs/>
        <w:spacing w:val="0"/>
        <w:w w:val="98"/>
        <w:sz w:val="46"/>
        <w:szCs w:val="46"/>
      </w:rPr>
    </w:lvl>
    <w:lvl w:ilvl="2">
      <w:start w:val="0"/>
      <w:numFmt w:val="bullet"/>
      <w:lvlText w:val="•"/>
      <w:lvlJc w:val="left"/>
      <w:pPr>
        <w:ind w:left="3599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9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1204"/>
      </w:pPr>
      <w:rPr>
        <w:rFonts w:hint="default"/>
      </w:rPr>
    </w:lvl>
  </w:abstractNum>
  <w:abstractNum w:abstractNumId="9">
    <w:nsid w:val="5258612F"/>
    <w:multiLevelType w:val="hybridMultilevel"/>
    <w:tmpl w:val="00000000"/>
    <w:lvl w:ilvl="0">
      <w:start w:val="4"/>
      <w:numFmt w:val="decimal"/>
      <w:lvlText w:val="%1"/>
      <w:lvlJc w:val="left"/>
      <w:pPr>
        <w:ind w:left="1976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6" w:hanging="846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2458" w:hanging="1329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4007" w:hanging="1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4" w:hanging="1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2" w:hanging="1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9" w:hanging="1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7" w:hanging="1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4" w:hanging="1329"/>
      </w:pPr>
      <w:rPr>
        <w:rFonts w:hint="default"/>
      </w:rPr>
    </w:lvl>
  </w:abstractNum>
  <w:abstractNum w:abstractNumId="10">
    <w:nsid w:val="5F84C3FB"/>
    <w:multiLevelType w:val="hybridMultilevel"/>
    <w:tmpl w:val="00000000"/>
    <w:lvl w:ilvl="0">
      <w:start w:val="7"/>
      <w:numFmt w:val="decimal"/>
      <w:lvlText w:val="%1"/>
      <w:lvlJc w:val="left"/>
      <w:pPr>
        <w:ind w:left="154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40" w:hanging="1260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03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260"/>
      </w:pPr>
      <w:rPr>
        <w:rFonts w:hint="default"/>
      </w:rPr>
    </w:lvl>
  </w:abstractNum>
  <w:abstractNum w:abstractNumId="11">
    <w:nsid w:val="7476FD33"/>
    <w:multiLevelType w:val="hybridMultilevel"/>
    <w:tmpl w:val="00000000"/>
    <w:lvl w:ilvl="0">
      <w:start w:val="7"/>
      <w:numFmt w:val="decimal"/>
      <w:lvlText w:val="（%1）"/>
      <w:lvlJc w:val="left"/>
      <w:pPr>
        <w:ind w:left="280" w:hanging="1207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651" w:hanging="12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3" w:hanging="12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5" w:hanging="12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12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2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1" w:hanging="12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2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1207"/>
      </w:pPr>
      <w:rPr>
        <w:rFonts w:hint="default"/>
      </w:rPr>
    </w:lvl>
  </w:abstractNum>
  <w:abstractNum w:abstractNumId="12">
    <w:nsid w:val="75E88DDA"/>
    <w:multiLevelType w:val="hybridMultilevel"/>
    <w:tmpl w:val="00000000"/>
    <w:lvl w:ilvl="0">
      <w:start w:val="6"/>
      <w:numFmt w:val="decimal"/>
      <w:lvlText w:val="%1"/>
      <w:lvlJc w:val="left"/>
      <w:pPr>
        <w:ind w:left="1558" w:hanging="127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8" w:hanging="1278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047" w:hanging="12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1" w:hanging="1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1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1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7" w:hanging="1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1" w:hanging="1278"/>
      </w:pPr>
      <w:rPr>
        <w:rFonts w:hint="default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1"/>
  </w:num>
  <w:num w:numId="5">
    <w:abstractNumId w:val="11"/>
  </w:num>
  <w:num w:numId="6">
    <w:abstractNumId w:val="0"/>
  </w:num>
  <w:num w:numId="7">
    <w:abstractNumId w:val="7"/>
  </w:num>
  <w:num w:numId="8">
    <w:abstractNumId w:val="9"/>
  </w:num>
  <w:num w:numId="9">
    <w:abstractNumId w:val="5"/>
  </w:num>
  <w:num w:numId="10">
    <w:abstractNumId w:val="8"/>
  </w:num>
  <w:num w:numId="11">
    <w:abstractNumId w:val="4"/>
  </w:num>
  <w:num w:numId="12">
    <w:abstractNumId w:val="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558" w:hanging="1279"/>
      <w:outlineLvl w:val="0"/>
    </w:pPr>
    <w:rPr>
      <w:rFonts w:ascii="楷体" w:eastAsia="楷体" w:hAnsi="楷体" w:cs="楷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321"/>
      <w:ind w:left="1979" w:hanging="1275"/>
    </w:pPr>
    <w:rPr>
      <w:rFonts w:ascii="楷体" w:eastAsia="楷体" w:hAnsi="楷体" w:cs="楷体"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21"/>
      <w:ind w:left="1979" w:hanging="1275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6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1.pn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header" Target="header11.xml" /><Relationship Id="rId33" Type="http://schemas.openxmlformats.org/officeDocument/2006/relationships/footer" Target="footer11.xml" /><Relationship Id="rId34" Type="http://schemas.openxmlformats.org/officeDocument/2006/relationships/hyperlink" Target="https://d.book118.com/228072055101006023" TargetMode="External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2023-12-18T12:37:49Z</dcterms:created>
  <dcterms:modified xsi:type="dcterms:W3CDTF">2023-12-18T12:37:49Z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2022-10-09T00:00:00Z</vt:filetime>
  </property>
  <property fmtid="{D5CDD505-2E9C-101B-9397-08002B2CF9AE}" pid="3" name="LastSaved">
    <vt:filetime>2023-12-18T00:00:00Z</vt:filetime>
  </property>
</Properties>
</file>