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rPr>
          <w:rFonts w:ascii="幼圆" w:eastAsia="幼圆" w:hAnsi="幼圆" w:cs="幼圆" w:hint="eastAsia"/>
          <w:b/>
          <w:bCs/>
          <w:color w:val="auto"/>
          <w:kern w:val="2"/>
          <w:sz w:val="32"/>
          <w:szCs w:val="36"/>
          <w:highlight w:val="none"/>
          <w:lang w:val="en-US" w:eastAsia="zh-CN" w:bidi="ar-SA"/>
        </w:rPr>
        <w:id w:val="147464867"/>
        <w:richText/>
        <w15:color w:val="DBDBDB"/>
      </w:sdtPr>
      <w:sdtEndPr>
        <w:rPr>
          <w:rFonts w:ascii="幼圆" w:eastAsia="幼圆" w:hAnsi="幼圆" w:cs="幼圆" w:hint="eastAsia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360" w:lineRule="auto"/>
            <w:ind w:left="0" w:right="0" w:firstLine="0" w:leftChars="0" w:rightChars="0" w:firstLineChars="0"/>
            <w:jc w:val="center"/>
            <w:rPr>
              <w:rFonts w:ascii="幼圆" w:eastAsia="幼圆" w:hAnsi="幼圆" w:cs="幼圆" w:hint="default"/>
              <w:b/>
              <w:bCs/>
              <w:color w:val="auto"/>
              <w:sz w:val="32"/>
              <w:szCs w:val="36"/>
              <w:highlight w:val="none"/>
            </w:rPr>
          </w:pPr>
          <w:bookmarkStart w:id="0" w:name="_GoBack"/>
          <w:r>
            <w:rPr>
              <w:rFonts w:ascii="幼圆" w:eastAsia="幼圆" w:hAnsi="幼圆" w:cs="幼圆" w:hint="eastAsia"/>
              <w:b/>
              <w:bCs/>
              <w:color w:val="auto"/>
              <w:sz w:val="40"/>
              <w:szCs w:val="40"/>
              <w:lang w:val="en-US" w:eastAsia="zh-CN"/>
            </w:rPr>
            <w:t>S市篮球俱乐部运营现状调研分析报告</w:t>
          </w:r>
        </w:p>
        <w:bookmarkEnd w:id="0"/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r>
            <w:rPr>
              <w:rFonts w:ascii="幼圆" w:eastAsia="幼圆" w:hAnsi="幼圆" w:cs="幼圆" w:hint="eastAsia"/>
              <w:b w:val="0"/>
              <w:bCs w:val="0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ascii="幼圆" w:eastAsia="幼圆" w:hAnsi="幼圆" w:cs="幼圆" w:hint="eastAsia"/>
              <w:b w:val="0"/>
              <w:bCs w:val="0"/>
              <w:color w:val="auto"/>
              <w:sz w:val="24"/>
              <w:szCs w:val="24"/>
              <w:highlight w:val="none"/>
            </w:rPr>
            <w:instrText xml:space="preserve">TOC \o "1-3" \h \u </w:instrText>
          </w:r>
          <w:r>
            <w:rPr>
              <w:rFonts w:ascii="幼圆" w:eastAsia="幼圆" w:hAnsi="幼圆" w:cs="幼圆" w:hint="eastAsia"/>
              <w:b w:val="0"/>
              <w:bCs w:val="0"/>
              <w:color w:val="auto"/>
              <w:sz w:val="24"/>
              <w:szCs w:val="24"/>
              <w:highlight w:val="none"/>
            </w:rPr>
            <w:fldChar w:fldCharType="separate"/>
          </w:r>
          <w:r>
            <w:rPr>
              <w:rFonts w:ascii="幼圆" w:eastAsia="幼圆" w:hAnsi="幼圆" w:cs="幼圆" w:hint="eastAsia"/>
              <w:bCs w:val="0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ascii="幼圆" w:eastAsia="幼圆" w:hAnsi="幼圆" w:cs="幼圆" w:hint="eastAsia"/>
              <w:bCs w:val="0"/>
              <w:color w:val="auto"/>
              <w:sz w:val="24"/>
              <w:szCs w:val="24"/>
              <w:highlight w:val="none"/>
            </w:rPr>
            <w:instrText xml:space="preserve"> HYPERLINK \l _Toc19022 </w:instrText>
          </w:r>
          <w:r>
            <w:rPr>
              <w:rFonts w:ascii="幼圆" w:eastAsia="幼圆" w:hAnsi="幼圆" w:cs="幼圆" w:hint="eastAsia"/>
              <w:bCs w:val="0"/>
              <w:color w:val="auto"/>
              <w:sz w:val="24"/>
              <w:szCs w:val="24"/>
              <w:highlight w:val="none"/>
            </w:rPr>
            <w:fldChar w:fldCharType="separate"/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  <w:highlight w:val="none"/>
              <w:lang w:val="en-US" w:eastAsia="zh-CN"/>
            </w:rPr>
            <w:t>1 前言</w:t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</w:rPr>
            <w:tab/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</w:rPr>
            <w:fldChar w:fldCharType="begin"/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</w:rPr>
            <w:instrText xml:space="preserve"> PAGEREF _Toc19022 </w:instrText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</w:rPr>
            <w:fldChar w:fldCharType="separate"/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</w:rPr>
            <w:t>1</w:t>
          </w:r>
          <w:r>
            <w:rPr>
              <w:rFonts w:ascii="幼圆" w:eastAsia="幼圆" w:hAnsi="幼圆" w:cs="幼圆" w:hint="eastAsia"/>
              <w:color w:val="auto"/>
              <w:sz w:val="24"/>
              <w:szCs w:val="24"/>
            </w:rPr>
            <w:fldChar w:fldCharType="end"/>
          </w:r>
          <w:r>
            <w:rPr>
              <w:rFonts w:ascii="幼圆" w:eastAsia="幼圆" w:hAnsi="幼圆" w:cs="幼圆" w:hint="eastAsia"/>
              <w:bCs w:val="0"/>
              <w:color w:val="auto"/>
              <w:sz w:val="24"/>
              <w:szCs w:val="24"/>
              <w:highlight w:val="none"/>
            </w:rPr>
            <w:fldChar w:fldCharType="end"/>
          </w:r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9026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1.1选题依据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_Toc29026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448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1.2研究目的和意义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_Toc448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826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1.2.1研究目的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_Toc2826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7789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1.2.2研究意义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_Toc7789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31536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1.3文献综述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_Toc31536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9204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 研究对象与方法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_Toc29204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2305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2.1 研究对象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_Toc12305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8556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2.2 研究方法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_Toc28556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4691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2.2.1 文献研究法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_Toc24691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7819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2.2.2 访谈法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_Toc27819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9325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2.2.3 问卷调查法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_Toc9325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5447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2.2.4 数理统计法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_Toc15447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31159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 结果与分析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_Toc31159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0800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3.1 新郑市篮球俱乐部运营现状分析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_Toc10800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4124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3.1.1 宣传途径分析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_Toc14124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7761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3.1.2 场地设施情况分析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_Toc27761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0898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3.1.3 招生及收费情况分析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_Toc20898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5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535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3.1.4 课程设置情况分析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_Toc1535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5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9290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3.2 新郑市篮球俱乐部学员现状分析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_Toc9290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5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8633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3.2.1 学员基本情况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_Toc8633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5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6682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3.2.2 学员参加培训的动机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_Toc16682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6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31113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3.2.3 学员对俱乐部的评价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_Toc31113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7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2929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3.3 新郑市篮球俱乐部学员家长情况分析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_Toc12929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8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1980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3.3.1 学员家长的基本情况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_Toc11980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8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7174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3.3.2 学员家长让孩子参加篮球培训的动机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_Toc7174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8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6362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3.3.3 学员家长选择篮球俱乐部的因素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_Toc26362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9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5442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3.3.4 学员家长对俱乐部的评价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_Toc25442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10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  <w:sectPr>
              <w:footerReference w:type="default" r:id="rId5"/>
              <w:pgSz w:w="11906" w:h="16838"/>
              <w:pgMar w:top="1361" w:right="1474" w:bottom="1247" w:left="1474" w:header="851" w:footer="992" w:gutter="0"/>
              <w:pgNumType w:fmt="upperRoman"/>
              <w:cols w:num="1" w:space="0"/>
              <w:rtlGutter w:val="0"/>
              <w:docGrid w:type="lines" w:linePitch="312" w:charSpace="0"/>
            </w:sectPr>
          </w:pPr>
          <w:hyperlink w:anchor="_Toc22219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3.4 新郑市篮球俱乐部教练员的基本情况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_Toc22219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10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</w:sdtContent>
    </w:sdt>
    <w:sdt>
      <w:sdtPr>
        <w:rPr>
          <w:rFonts w:ascii="幼圆" w:eastAsia="幼圆" w:hAnsi="幼圆" w:cs="幼圆" w:hint="eastAsia"/>
          <w:b/>
          <w:bCs/>
          <w:color w:val="auto"/>
          <w:kern w:val="2"/>
          <w:sz w:val="32"/>
          <w:szCs w:val="36"/>
          <w:highlight w:val="none"/>
          <w:lang w:val="en-US" w:eastAsia="zh-CN" w:bidi="ar-SA"/>
        </w:rPr>
        <w:id w:val="1372882804"/>
        <w:richText/>
        <w15:color w:val="DBDBDB"/>
      </w:sdtPr>
      <w:sdtEndPr>
        <w:rPr>
          <w:rFonts w:ascii="幼圆" w:eastAsia="幼圆" w:hAnsi="幼圆" w:cs="幼圆" w:hint="eastAsia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sdtEndPr>
      <w:sdtContent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354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3.4.1教练员的性别，年龄及文化程度现状和分析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_Toc354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10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30490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3.4.2教练员的工作性质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_Toc30490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3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27045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3.4.3教练员的运动经历、职称的情况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_Toc27045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12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4942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4 结论与建议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_Toc14942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9431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4.1 结论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_Toc9431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2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3697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4.2 建议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_Toc3697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13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5624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highlight w:val="none"/>
                <w:lang w:eastAsia="zh-CN"/>
              </w:rPr>
              <w:t>参考文献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_Toc5624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16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7599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highlight w:val="none"/>
                <w:lang w:val="en-US" w:eastAsia="zh-CN"/>
              </w:rPr>
              <w:t>附  录A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_Toc7599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18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8609" w:history="1">
            <w:r>
              <w:rPr>
                <w:rFonts w:ascii="幼圆" w:eastAsia="幼圆" w:hAnsi="幼圆" w:cs="幼圆" w:hint="eastAsia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附  录B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_Toc18609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19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8958"/>
            </w:tabs>
            <w:spacing w:line="360" w:lineRule="auto"/>
            <w:rPr>
              <w:rFonts w:ascii="幼圆" w:eastAsia="幼圆" w:hAnsi="幼圆" w:cs="幼圆" w:hint="eastAsia"/>
              <w:color w:val="auto"/>
              <w:sz w:val="24"/>
              <w:szCs w:val="24"/>
            </w:rPr>
          </w:pPr>
          <w:hyperlink w:anchor="_Toc13661" w:history="1"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  <w:lang w:val="en-US" w:eastAsia="zh-CN"/>
              </w:rPr>
              <w:t>附  录C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ab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instrText xml:space="preserve"> PAGEREF _Toc13661 </w:instrTex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t>21</w:t>
            </w:r>
            <w:r>
              <w:rPr>
                <w:rFonts w:ascii="幼圆" w:eastAsia="幼圆" w:hAnsi="幼圆" w:cs="幼圆" w:hint="eastAsia"/>
                <w:color w:val="auto"/>
                <w:sz w:val="24"/>
                <w:szCs w:val="24"/>
              </w:rPr>
              <w:fldChar w:fldCharType="end"/>
            </w:r>
          </w:hyperlink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360" w:lineRule="auto"/>
            <w:textAlignment w:val="auto"/>
            <w:rPr>
              <w:rFonts w:ascii="幼圆" w:eastAsia="幼圆" w:hAnsi="幼圆" w:cs="幼圆" w:hint="eastAsia"/>
              <w:b w:val="0"/>
              <w:bCs w:val="0"/>
              <w:color w:val="auto"/>
              <w:sz w:val="24"/>
              <w:szCs w:val="24"/>
              <w:highlight w:val="none"/>
            </w:rPr>
            <w:sectPr>
              <w:footerReference w:type="default" r:id="rId6"/>
              <w:type w:val="nextPage"/>
              <w:pgSz w:w="11906" w:h="16838"/>
              <w:pgMar w:top="1361" w:right="1474" w:bottom="1247" w:left="1474" w:header="851" w:footer="992" w:gutter="0"/>
              <w:pgNumType w:fmt="upperRoman" w:start="2"/>
              <w:cols w:num="1" w:space="0"/>
              <w:titlePg w:val="0"/>
              <w:rtlGutter w:val="0"/>
              <w:docGrid w:type="lines" w:linePitch="312" w:charSpace="0"/>
            </w:sectPr>
          </w:pPr>
          <w:r>
            <w:rPr>
              <w:rFonts w:ascii="幼圆" w:eastAsia="幼圆" w:hAnsi="幼圆" w:cs="幼圆" w:hint="eastAsia"/>
              <w:bCs w:val="0"/>
              <w:color w:val="auto"/>
              <w:sz w:val="24"/>
              <w:szCs w:val="24"/>
              <w:highlight w:val="none"/>
            </w:rPr>
            <w:fldChar w:fldCharType="end"/>
          </w:r>
        </w:p>
      </w:sdtContent>
    </w:sdt>
    <w:p>
      <w:pPr>
        <w:pStyle w:val="Heading1"/>
        <w:bidi w:val="0"/>
        <w:rPr>
          <w:rFonts w:ascii="幼圆" w:eastAsia="幼圆" w:hAnsi="幼圆" w:cs="幼圆" w:hint="eastAsia"/>
          <w:color w:val="auto"/>
          <w:highlight w:val="none"/>
          <w:lang w:val="en-US" w:eastAsia="zh-CN"/>
        </w:rPr>
      </w:pPr>
      <w:bookmarkStart w:id="1" w:name="_Toc19022"/>
      <w:r>
        <w:rPr>
          <w:rFonts w:ascii="幼圆" w:eastAsia="幼圆" w:hAnsi="幼圆" w:cs="幼圆" w:hint="eastAsia"/>
          <w:color w:val="auto"/>
          <w:highlight w:val="none"/>
          <w:lang w:val="en-US" w:eastAsia="zh-CN"/>
        </w:rPr>
        <w:t>1 前言</w:t>
      </w:r>
      <w:bookmarkEnd w:id="1"/>
    </w:p>
    <w:p>
      <w:pPr>
        <w:pStyle w:val="Heading1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2" w:name="_Toc28327"/>
      <w:bookmarkStart w:id="3" w:name="_Toc27254"/>
      <w:bookmarkStart w:id="4" w:name="_Toc29026"/>
      <w:bookmarkStart w:id="5" w:name="_Toc8836"/>
      <w:bookmarkStart w:id="6" w:name="_Toc18366"/>
      <w:bookmarkStart w:id="7" w:name="_Toc7239"/>
      <w:bookmarkStart w:id="8" w:name="_Toc31870"/>
      <w:bookmarkStart w:id="9" w:name="_Toc17210"/>
      <w:r>
        <w:rPr>
          <w:rFonts w:ascii="幼圆" w:eastAsia="幼圆" w:hAnsi="幼圆" w:cs="幼圆" w:hint="eastAsia"/>
          <w:color w:val="auto"/>
          <w:lang w:val="en-US" w:eastAsia="zh-CN"/>
        </w:rPr>
        <w:t>1.1选题依据</w:t>
      </w:r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</w:rPr>
      </w:pPr>
      <w:r>
        <w:rPr>
          <w:rFonts w:ascii="幼圆" w:eastAsia="幼圆" w:hAnsi="幼圆" w:cs="幼圆" w:hint="eastAsia"/>
          <w:color w:val="auto"/>
          <w:sz w:val="24"/>
          <w:szCs w:val="24"/>
          <w:lang w:val="en-US" w:eastAsia="zh-CN"/>
        </w:rPr>
        <w:t>现代社会的发展使得国民对于体育产业的需求越来越大，并且体育消费也成为了国民日常消费内容，其不仅成为了当今社会需求与时尚，同样也是衡量国家经济发展的重要指标。而篮球作为集娱乐性、竞技性于一体的现代化体育运动项目，该项目健身消费也逐步受到了大量人员的关注。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lang w:val="en-US" w:eastAsia="zh-CN"/>
        </w:rPr>
        <w:t>通过文献查阅发现，现阶段有关于篮球俱乐部的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lang w:val="en-US" w:eastAsia="zh-CN"/>
        </w:rPr>
        <w:t>研究的仍不够深入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lang w:val="en-US" w:eastAsia="zh-CN"/>
        </w:rPr>
        <w:t>，学者的研究主要集中在职业联赛上。因此本文主要运用了文献资料法、问卷调查法、数理统计法等相关研究手段，对新郑市篮球俱乐部发展现状进行细致分析，找出俱乐部发展过程中所面临的实际困难和不足之处，并提出相应的解决对策，从而起到促进篮球俱乐部的良性发展的作用。</w:t>
      </w:r>
    </w:p>
    <w:p>
      <w:pPr>
        <w:pStyle w:val="Heading2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10" w:name="_Toc15764"/>
      <w:bookmarkStart w:id="11" w:name="_Toc448"/>
      <w:r>
        <w:rPr>
          <w:rFonts w:ascii="幼圆" w:eastAsia="幼圆" w:hAnsi="幼圆" w:cs="幼圆" w:hint="eastAsia"/>
          <w:color w:val="auto"/>
          <w:lang w:val="en-US" w:eastAsia="zh-CN"/>
        </w:rPr>
        <w:t>1.2研究目的和意义</w:t>
      </w:r>
      <w:bookmarkEnd w:id="10"/>
      <w:bookmarkEnd w:id="11"/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12" w:name="_Toc2826"/>
      <w:bookmarkStart w:id="13" w:name="_Toc8943"/>
      <w:r>
        <w:rPr>
          <w:rFonts w:ascii="幼圆" w:eastAsia="幼圆" w:hAnsi="幼圆" w:cs="幼圆" w:hint="eastAsia"/>
          <w:color w:val="auto"/>
          <w:lang w:val="en-US" w:eastAsia="zh-CN"/>
        </w:rPr>
        <w:t>1.2.1研究目的</w:t>
      </w:r>
      <w:bookmarkEnd w:id="12"/>
      <w:bookmarkEnd w:id="1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</w:rPr>
      </w:pPr>
      <w:r>
        <w:rPr>
          <w:rFonts w:ascii="幼圆" w:eastAsia="幼圆" w:hAnsi="幼圆" w:cs="幼圆" w:hint="eastAsia"/>
          <w:color w:val="auto"/>
          <w:sz w:val="24"/>
          <w:szCs w:val="24"/>
          <w:lang w:eastAsia="zh-CN"/>
        </w:rPr>
        <w:t>本文通过俱乐部的经营现状、营销现状和教练员现状，新郑市篮球俱乐部运营现状，得出俱乐部管理中存在的问题以及提出改进方向。</w:t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14" w:name="_Toc7789"/>
      <w:bookmarkStart w:id="15" w:name="_Toc430"/>
      <w:r>
        <w:rPr>
          <w:rFonts w:ascii="幼圆" w:eastAsia="幼圆" w:hAnsi="幼圆" w:cs="幼圆" w:hint="eastAsia"/>
          <w:color w:val="auto"/>
          <w:lang w:val="en-US" w:eastAsia="zh-CN"/>
        </w:rPr>
        <w:t>1.2.2研究意义</w:t>
      </w:r>
      <w:bookmarkEnd w:id="14"/>
      <w:bookmarkEnd w:id="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幼圆" w:eastAsia="幼圆" w:hAnsi="幼圆" w:cs="幼圆" w:hint="eastAsia"/>
          <w:color w:val="auto"/>
          <w:sz w:val="24"/>
          <w:szCs w:val="24"/>
        </w:rPr>
      </w:pPr>
      <w:r>
        <w:rPr>
          <w:rFonts w:ascii="幼圆" w:eastAsia="幼圆" w:hAnsi="幼圆" w:cs="幼圆" w:hint="eastAsia"/>
          <w:color w:val="auto"/>
          <w:sz w:val="24"/>
          <w:szCs w:val="24"/>
          <w:lang w:eastAsia="zh-CN"/>
        </w:rPr>
        <w:t>国家全民健身计划纲要的发布，提出了全国人民都要进行体育运动</w:t>
      </w:r>
      <w:r>
        <w:rPr>
          <w:rFonts w:ascii="幼圆" w:eastAsia="幼圆" w:hAnsi="幼圆" w:cs="幼圆" w:hint="eastAsia"/>
          <w:color w:val="auto"/>
          <w:sz w:val="24"/>
          <w:szCs w:val="24"/>
        </w:rPr>
        <w:t>,篮球俱乐部的迅速发展为国家篮球的发展奠定了良好的基础。</w:t>
      </w:r>
      <w:r>
        <w:rPr>
          <w:rFonts w:ascii="幼圆" w:eastAsia="幼圆" w:hAnsi="幼圆" w:cs="幼圆" w:hint="eastAsia"/>
          <w:bCs/>
          <w:color w:val="auto"/>
          <w:sz w:val="24"/>
          <w:szCs w:val="24"/>
        </w:rPr>
        <w:t>通过</w:t>
      </w:r>
      <w:r>
        <w:rPr>
          <w:rFonts w:ascii="幼圆" w:eastAsia="幼圆" w:hAnsi="幼圆" w:cs="幼圆" w:hint="eastAsia"/>
          <w:color w:val="auto"/>
          <w:sz w:val="24"/>
          <w:szCs w:val="24"/>
          <w:lang w:val="en-US" w:eastAsia="zh-CN"/>
        </w:rPr>
        <w:t>文献资料法、问卷调查法、数理统计法等研究方法对篮球俱乐部经营状况进行深入研究</w:t>
      </w:r>
      <w:r>
        <w:rPr>
          <w:rFonts w:ascii="幼圆" w:eastAsia="幼圆" w:hAnsi="幼圆" w:cs="幼圆" w:hint="eastAsia"/>
          <w:color w:val="auto"/>
          <w:sz w:val="24"/>
          <w:szCs w:val="24"/>
          <w:lang w:eastAsia="zh-CN"/>
        </w:rPr>
        <w:t>。提出的建议对策有效的解决现有俱乐部存在的问题，为其他篮球俱乐部的发展提供借鉴意义。</w:t>
      </w:r>
    </w:p>
    <w:p>
      <w:pPr>
        <w:pStyle w:val="Heading2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16" w:name="_Toc26989"/>
      <w:bookmarkStart w:id="17" w:name="_Toc31536"/>
      <w:r>
        <w:rPr>
          <w:rFonts w:ascii="幼圆" w:eastAsia="幼圆" w:hAnsi="幼圆" w:cs="幼圆" w:hint="eastAsia"/>
          <w:color w:val="auto"/>
          <w:lang w:val="en-US" w:eastAsia="zh-CN"/>
        </w:rPr>
        <w:t>1.3文献综述</w:t>
      </w:r>
      <w:bookmarkEnd w:id="16"/>
      <w:bookmarkEnd w:id="17"/>
    </w:p>
    <w:p>
      <w:pPr>
        <w:pStyle w:val="BodyTextFirstIndent"/>
        <w:spacing w:line="360" w:lineRule="auto"/>
        <w:ind w:left="0" w:firstLine="420" w:leftChars="0" w:firstLineChars="0"/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目前学者专家关于篮球俱乐部的研究较多，以职业篮球俱乐部和青少年篮球俱乐部研究最多。</w:t>
      </w:r>
    </w:p>
    <w:p>
      <w:pPr>
        <w:pStyle w:val="BodyTextFirstIndent"/>
        <w:spacing w:line="360" w:lineRule="auto"/>
        <w:ind w:left="0" w:firstLine="420" w:leftChars="0" w:firstLineChars="0"/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王迪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（2015）对南京市青少年篮球俱乐部进行调查研究，发现目前的青少年篮球俱乐部存在资金渠道单一、缺乏专业化人才等问题，由此提出需要加大融资、建立后备人才队伍和提高培训质量等建议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vertAlign w:val="superscript"/>
          <w:lang w:val="en-US" w:eastAsia="zh-CN" w:bidi="ar-SA"/>
        </w:rPr>
        <w:t>[1]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BodyTextFirstIndent"/>
        <w:spacing w:line="360" w:lineRule="auto"/>
        <w:ind w:left="0" w:firstLine="420" w:leftChars="0" w:firstLineChars="0"/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sectPr>
          <w:footerReference w:type="default" r:id="rId7"/>
          <w:pgSz w:w="11906" w:h="16838"/>
          <w:pgMar w:top="1361" w:right="1474" w:bottom="1247" w:left="1474" w:header="851" w:footer="992" w:gutter="0"/>
          <w:pgNumType w:fmt="decimal" w:start="3"/>
          <w:cols w:num="1" w:space="0"/>
          <w:rtlGutter w:val="0"/>
          <w:docGrid w:type="lines" w:linePitch="312" w:charSpace="0"/>
        </w:sectPr>
      </w:pP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刘聪（2016）对上海市的经营性俱乐部进行研究，认为目前上海市经营俱乐部规模普遍较小，管理人员学历水平较高，教练呈现年轻化趋势，篮球俱乐部市场呈现蓬勃发展的趋势。可以通过引进一些资质经验丰富的篮球教练，扩大经营规模等方式来提高篮球俱乐部的发展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vertAlign w:val="superscript"/>
          <w:lang w:val="en-US" w:eastAsia="zh-CN" w:bidi="ar-SA"/>
        </w:rPr>
        <w:t>[2]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BodyTextFirstIndent"/>
        <w:spacing w:line="360" w:lineRule="auto"/>
        <w:ind w:left="0" w:firstLine="420" w:leftChars="0" w:firstLineChars="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欧星騂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（2020）对垫江县篮球培训机构进行研究，认为目前机构中普遍存在质量问题，促进机构的市场化标准化运营，就需要通过合规经营、提高服务质量，提升课程质量等方面来提升培训机构的发展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vertAlign w:val="superscript"/>
          <w:lang w:val="en-US" w:eastAsia="zh-CN" w:bidi="ar-SA"/>
        </w:rPr>
        <w:t>[3]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张智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（2016）针对岳阳市青少年篮球俱乐部的发展现状进行调查分析，认为岳阳市目前的绝了不发展状况相对教好，但是普遍存在这比赛过少、教练员水平有待提高等问题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vertAlign w:val="superscript"/>
          <w:lang w:val="en-US" w:eastAsia="zh-CN" w:bidi="ar-SA"/>
        </w:rPr>
        <w:t>[4]</w:t>
      </w:r>
      <w:r>
        <w:rPr>
          <w:rFonts w:ascii="幼圆" w:eastAsia="幼圆" w:hAnsi="幼圆" w:cs="幼圆" w:hint="eastAsia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Heading1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18" w:name="_Toc29204"/>
      <w:r>
        <w:rPr>
          <w:rFonts w:ascii="幼圆" w:eastAsia="幼圆" w:hAnsi="幼圆" w:cs="幼圆" w:hint="eastAsia"/>
          <w:color w:val="auto"/>
          <w:lang w:val="en-US" w:eastAsia="zh-CN"/>
        </w:rPr>
        <w:t>2 研究对象与方法</w:t>
      </w:r>
      <w:bookmarkEnd w:id="5"/>
      <w:bookmarkEnd w:id="6"/>
      <w:bookmarkEnd w:id="7"/>
      <w:bookmarkEnd w:id="8"/>
      <w:bookmarkEnd w:id="9"/>
      <w:bookmarkEnd w:id="18"/>
      <w:r>
        <w:rPr>
          <w:rFonts w:ascii="幼圆" w:eastAsia="幼圆" w:hAnsi="幼圆" w:cs="幼圆" w:hint="eastAsia"/>
          <w:color w:val="auto"/>
          <w:lang w:val="en-US" w:eastAsia="zh-CN"/>
        </w:rPr>
        <w:tab/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19" w:name="_Toc7526"/>
      <w:bookmarkStart w:id="20" w:name="_Toc12149"/>
      <w:bookmarkStart w:id="21" w:name="_Toc15395"/>
      <w:bookmarkStart w:id="22" w:name="_Toc19449"/>
      <w:bookmarkStart w:id="23" w:name="_Toc19674"/>
      <w:bookmarkStart w:id="24" w:name="_Toc12305"/>
      <w:r>
        <w:rPr>
          <w:rFonts w:ascii="幼圆" w:eastAsia="幼圆" w:hAnsi="幼圆" w:cs="幼圆" w:hint="eastAsia"/>
          <w:color w:val="auto"/>
          <w:lang w:val="en-US" w:eastAsia="zh-CN"/>
        </w:rPr>
        <w:t>2.1 研究对象</w:t>
      </w:r>
      <w:bookmarkEnd w:id="19"/>
      <w:bookmarkEnd w:id="20"/>
      <w:bookmarkEnd w:id="21"/>
      <w:bookmarkEnd w:id="22"/>
      <w:bookmarkEnd w:id="23"/>
      <w:bookmarkEnd w:id="24"/>
      <w:r>
        <w:rPr>
          <w:rFonts w:ascii="幼圆" w:eastAsia="幼圆" w:hAnsi="幼圆" w:cs="幼圆" w:hint="eastAsia"/>
          <w:color w:val="auto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本次研究对象为新郑市篮球俱乐部运营现状及对策，具体调查对象为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恩比篮球俱乐部、正弘山篮球俱乐部、雷克篮球俱乐部的学员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与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教练员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25" w:name="_Toc13305"/>
      <w:bookmarkStart w:id="26" w:name="_Toc30684"/>
      <w:bookmarkStart w:id="27" w:name="_Toc28556"/>
      <w:bookmarkStart w:id="28" w:name="_Toc6480"/>
      <w:bookmarkStart w:id="29" w:name="_Toc8889"/>
      <w:bookmarkStart w:id="30" w:name="_Toc23392"/>
      <w:r>
        <w:rPr>
          <w:rFonts w:ascii="幼圆" w:eastAsia="幼圆" w:hAnsi="幼圆" w:cs="幼圆" w:hint="eastAsia"/>
          <w:color w:val="auto"/>
          <w:lang w:val="en-US" w:eastAsia="zh-CN"/>
        </w:rPr>
        <w:t>2.2 研究方法</w:t>
      </w:r>
      <w:bookmarkEnd w:id="25"/>
      <w:bookmarkEnd w:id="26"/>
      <w:bookmarkEnd w:id="27"/>
      <w:bookmarkEnd w:id="28"/>
      <w:bookmarkEnd w:id="29"/>
      <w:bookmarkEnd w:id="30"/>
      <w:r>
        <w:rPr>
          <w:rFonts w:ascii="幼圆" w:eastAsia="幼圆" w:hAnsi="幼圆" w:cs="幼圆" w:hint="eastAsia"/>
          <w:color w:val="auto"/>
          <w:lang w:val="en-US" w:eastAsia="zh-CN"/>
        </w:rPr>
        <w:tab/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31" w:name="_Toc24691"/>
      <w:bookmarkStart w:id="32" w:name="_Toc11818"/>
      <w:bookmarkStart w:id="33" w:name="_Toc2847"/>
      <w:bookmarkStart w:id="34" w:name="_Toc32098"/>
      <w:bookmarkStart w:id="35" w:name="_Toc7338"/>
      <w:bookmarkStart w:id="36" w:name="_Toc21702"/>
      <w:r>
        <w:rPr>
          <w:rFonts w:ascii="幼圆" w:eastAsia="幼圆" w:hAnsi="幼圆" w:cs="幼圆" w:hint="eastAsia"/>
          <w:color w:val="auto"/>
          <w:lang w:val="en-US" w:eastAsia="zh-CN"/>
        </w:rPr>
        <w:t>2.2.1 文献研究法</w:t>
      </w:r>
      <w:bookmarkEnd w:id="31"/>
      <w:bookmarkEnd w:id="32"/>
      <w:bookmarkEnd w:id="33"/>
      <w:bookmarkEnd w:id="34"/>
      <w:bookmarkEnd w:id="35"/>
      <w:bookmarkEnd w:id="36"/>
      <w:r>
        <w:rPr>
          <w:rFonts w:ascii="幼圆" w:eastAsia="幼圆" w:hAnsi="幼圆" w:cs="幼圆" w:hint="eastAsia"/>
          <w:color w:val="auto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lang w:val="en-US" w:eastAsia="zh-CN"/>
        </w:rPr>
        <w:t>在确定研究的题目与方向后，通过校图书馆、市各大图书馆、以及知网、万方等期刊网站，以“篮球俱乐部经营”为关键词进行了文献资料的查询，并对资料进行整理和运用，提高了所撰写论文的学术性。</w:t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37" w:name="_Toc32416"/>
      <w:bookmarkStart w:id="38" w:name="_Toc5959"/>
      <w:bookmarkStart w:id="39" w:name="_Toc27005"/>
      <w:bookmarkStart w:id="40" w:name="_Toc6193"/>
      <w:bookmarkStart w:id="41" w:name="_Toc27819"/>
      <w:bookmarkStart w:id="42" w:name="_Toc5694"/>
      <w:r>
        <w:rPr>
          <w:rFonts w:ascii="幼圆" w:eastAsia="幼圆" w:hAnsi="幼圆" w:cs="幼圆" w:hint="eastAsia"/>
          <w:color w:val="auto"/>
          <w:lang w:val="en-US" w:eastAsia="zh-CN"/>
        </w:rPr>
        <w:t>2.2.2 访谈法</w:t>
      </w:r>
      <w:bookmarkEnd w:id="37"/>
      <w:bookmarkEnd w:id="38"/>
      <w:bookmarkEnd w:id="39"/>
      <w:bookmarkEnd w:id="40"/>
      <w:bookmarkEnd w:id="41"/>
      <w:bookmarkEnd w:id="42"/>
      <w:r>
        <w:rPr>
          <w:rFonts w:ascii="幼圆" w:eastAsia="幼圆" w:hAnsi="幼圆" w:cs="幼圆" w:hint="eastAsia"/>
          <w:color w:val="auto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采用电话访谈的方式与参与篮球培训学员的50位家长进行沟通与交流，了解到当前家长对于新郑市篮球俱乐部运营现状的看法，并对其中可能存在的问题及因素进行总结。</w:t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43" w:name="_Toc16117"/>
      <w:bookmarkStart w:id="44" w:name="_Toc17097"/>
      <w:bookmarkStart w:id="45" w:name="_Toc18402"/>
      <w:bookmarkStart w:id="46" w:name="_Toc9325"/>
      <w:bookmarkStart w:id="47" w:name="_Toc5413"/>
      <w:bookmarkStart w:id="48" w:name="_Toc12778"/>
      <w:r>
        <w:rPr>
          <w:rFonts w:ascii="幼圆" w:eastAsia="幼圆" w:hAnsi="幼圆" w:cs="幼圆" w:hint="eastAsia"/>
          <w:color w:val="auto"/>
          <w:lang w:val="en-US" w:eastAsia="zh-CN"/>
        </w:rPr>
        <w:t>2.2.3 问卷调查法</w:t>
      </w:r>
      <w:bookmarkEnd w:id="43"/>
      <w:bookmarkEnd w:id="44"/>
      <w:bookmarkEnd w:id="45"/>
      <w:bookmarkEnd w:id="46"/>
      <w:bookmarkEnd w:id="47"/>
      <w:bookmarkEnd w:id="48"/>
      <w:r>
        <w:rPr>
          <w:rFonts w:ascii="幼圆" w:eastAsia="幼圆" w:hAnsi="幼圆" w:cs="幼圆" w:hint="eastAsia"/>
          <w:color w:val="auto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采用问卷星的方式由恩比篮球俱乐部、正弘山篮球俱乐部、雷克篮球俱乐部学员及教练员进行填写，其中发放学员问卷103份，回收问卷100份，回收率为97%，有效问卷100份，有效率为100%。发放教练员问卷10份，回收问卷10份回收率为100%，有效问卷10份，有效率为100%。</w:t>
      </w:r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color w:val="auto"/>
          <w:sz w:val="24"/>
        </w:rPr>
      </w:pPr>
      <w:r>
        <w:rPr>
          <w:rFonts w:ascii="幼圆" w:eastAsia="幼圆" w:hAnsi="幼圆" w:cs="幼圆" w:hint="eastAsia"/>
          <w:color w:val="auto"/>
          <w:sz w:val="24"/>
        </w:rPr>
        <w:t>为了确保本次问卷的有效性与可行性，与10位专家进行了询问，并进行了内容效度检验，详见如表</w:t>
      </w:r>
      <w:r>
        <w:rPr>
          <w:rFonts w:ascii="幼圆" w:eastAsia="幼圆" w:hAnsi="幼圆" w:cs="幼圆" w:hint="eastAsia"/>
          <w:color w:val="auto"/>
          <w:sz w:val="24"/>
          <w:lang w:val="en-US" w:eastAsia="zh-CN"/>
        </w:rPr>
        <w:t>1-1</w:t>
      </w:r>
      <w:r>
        <w:rPr>
          <w:rFonts w:ascii="幼圆" w:eastAsia="幼圆" w:hAnsi="幼圆" w:cs="幼圆" w:hint="eastAsia"/>
          <w:color w:val="auto"/>
          <w:sz w:val="24"/>
        </w:rPr>
        <w:t>所示：</w:t>
      </w:r>
    </w:p>
    <w:p>
      <w:pPr>
        <w:pStyle w:val="Caption"/>
        <w:jc w:val="center"/>
        <w:rPr>
          <w:rFonts w:ascii="幼圆" w:eastAsia="幼圆" w:hAnsi="幼圆" w:cs="幼圆" w:hint="eastAsia"/>
          <w:color w:val="auto"/>
          <w:sz w:val="21"/>
          <w:szCs w:val="21"/>
        </w:rPr>
      </w:pPr>
      <w:r>
        <w:rPr>
          <w:rFonts w:ascii="幼圆" w:eastAsia="幼圆" w:hAnsi="幼圆" w:cs="幼圆" w:hint="eastAsia"/>
          <w:color w:val="auto"/>
          <w:sz w:val="21"/>
          <w:szCs w:val="21"/>
        </w:rPr>
        <w:t>表</w:t>
      </w:r>
      <w:r>
        <w:rPr>
          <w:rFonts w:ascii="幼圆" w:eastAsia="幼圆" w:hAnsi="幼圆" w:cs="幼圆" w:hint="eastAsia"/>
          <w:color w:val="auto"/>
          <w:sz w:val="21"/>
          <w:szCs w:val="21"/>
          <w:lang w:val="en-US" w:eastAsia="zh-CN"/>
        </w:rPr>
        <w:t xml:space="preserve">1-1 </w:t>
      </w:r>
      <w:r>
        <w:rPr>
          <w:rFonts w:ascii="幼圆" w:eastAsia="幼圆" w:hAnsi="幼圆" w:cs="幼圆" w:hint="eastAsia"/>
          <w:color w:val="auto"/>
          <w:sz w:val="21"/>
          <w:szCs w:val="21"/>
        </w:rPr>
        <w:t>专家对问卷有效性评价表</w:t>
      </w:r>
      <w:r>
        <w:rPr>
          <w:rFonts w:ascii="幼圆" w:eastAsia="幼圆" w:hAnsi="幼圆" w:cs="幼圆" w:hint="eastAsia"/>
          <w:color w:val="auto"/>
          <w:sz w:val="21"/>
          <w:szCs w:val="21"/>
        </w:rPr>
        <w:t>（N=</w:t>
      </w:r>
      <w:r>
        <w:rPr>
          <w:rFonts w:ascii="幼圆" w:eastAsia="幼圆" w:hAnsi="幼圆" w:cs="幼圆" w:hint="eastAsia"/>
          <w:color w:val="auto"/>
          <w:sz w:val="21"/>
          <w:szCs w:val="21"/>
        </w:rPr>
        <w:t>10</w:t>
      </w:r>
      <w:r>
        <w:rPr>
          <w:rFonts w:ascii="幼圆" w:eastAsia="幼圆" w:hAnsi="幼圆" w:cs="幼圆" w:hint="eastAsia"/>
          <w:color w:val="auto"/>
          <w:sz w:val="21"/>
          <w:szCs w:val="21"/>
        </w:rPr>
        <w:t>）</w:t>
      </w:r>
    </w:p>
    <w:tbl>
      <w:tblPr>
        <w:tblStyle w:val="TableGrid0"/>
        <w:tblW w:w="9174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blPrEx>
          <w:tblW w:w="9174" w:type="dxa"/>
          <w:tblInd w:w="0" w:type="dxa"/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问卷名称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非常合适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比较合适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一般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不太合适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很不合适</w:t>
            </w:r>
          </w:p>
        </w:tc>
      </w:tr>
      <w:tr>
        <w:tblPrEx>
          <w:tblW w:w="917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  <w:lang w:eastAsia="zh-CN"/>
              </w:rPr>
              <w:t>第一次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0</w:t>
            </w:r>
          </w:p>
        </w:tc>
      </w:tr>
      <w:tr>
        <w:tblPrEx>
          <w:tblW w:w="917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  <w:lang w:eastAsia="zh-CN"/>
              </w:rPr>
              <w:t>第二次</w:t>
            </w:r>
          </w:p>
        </w:tc>
        <w:tc>
          <w:tcPr>
            <w:tcW w:w="152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0</w:t>
            </w:r>
          </w:p>
        </w:tc>
        <w:tc>
          <w:tcPr>
            <w:tcW w:w="152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7</w:t>
            </w:r>
          </w:p>
        </w:tc>
        <w:tc>
          <w:tcPr>
            <w:tcW w:w="152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3</w:t>
            </w:r>
          </w:p>
        </w:tc>
        <w:tc>
          <w:tcPr>
            <w:tcW w:w="152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0</w:t>
            </w:r>
          </w:p>
        </w:tc>
        <w:tc>
          <w:tcPr>
            <w:tcW w:w="152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幼圆" w:eastAsia="幼圆" w:hAnsi="幼圆" w:cs="幼圆" w:hint="eastAsia"/>
                <w:color w:val="auto"/>
                <w:szCs w:val="21"/>
              </w:rPr>
            </w:pPr>
            <w:r>
              <w:rPr>
                <w:rFonts w:ascii="幼圆" w:eastAsia="幼圆" w:hAnsi="幼圆" w:cs="幼圆" w:hint="eastAsia"/>
                <w:color w:val="auto"/>
                <w:szCs w:val="21"/>
              </w:rPr>
              <w:t>0</w:t>
            </w:r>
          </w:p>
        </w:tc>
      </w:tr>
    </w:tbl>
    <w:p>
      <w:pPr>
        <w:autoSpaceDE w:val="0"/>
        <w:autoSpaceDN w:val="0"/>
        <w:spacing w:line="360" w:lineRule="auto"/>
        <w:ind w:firstLine="420" w:firstLineChars="200"/>
        <w:rPr>
          <w:rFonts w:ascii="幼圆" w:eastAsia="幼圆" w:hAnsi="幼圆" w:cs="幼圆" w:hint="eastAsia"/>
          <w:b w:val="0"/>
          <w:bCs w:val="0"/>
          <w:color w:val="auto"/>
          <w:szCs w:val="21"/>
        </w:rPr>
        <w:sectPr>
          <w:footerReference w:type="default" r:id="rId8"/>
          <w:type w:val="nextPage"/>
          <w:pgSz w:w="11906" w:h="16838"/>
          <w:pgMar w:top="1361" w:right="1474" w:bottom="1247" w:left="1474" w:header="851" w:footer="992" w:gutter="0"/>
          <w:pgNumType w:fmt="decimal" w:start="4"/>
          <w:cols w:num="1" w:space="0"/>
          <w:titlePg w:val="0"/>
          <w:rtlGutter w:val="0"/>
          <w:docGrid w:type="lines" w:linePitch="312" w:charSpace="0"/>
        </w:sectPr>
      </w:pPr>
      <w:r>
        <w:rPr>
          <w:rFonts w:ascii="幼圆" w:eastAsia="幼圆" w:hAnsi="幼圆" w:cs="幼圆" w:hint="eastAsia"/>
          <w:b w:val="0"/>
          <w:bCs w:val="0"/>
          <w:color w:val="auto"/>
          <w:sz w:val="21"/>
          <w:szCs w:val="21"/>
          <w:lang w:val="en-US" w:eastAsia="zh-CN"/>
        </w:rPr>
        <w:t>注：N代表调查对象数量</w:t>
      </w:r>
    </w:p>
    <w:p>
      <w:pPr>
        <w:autoSpaceDE w:val="0"/>
        <w:autoSpaceDN w:val="0"/>
        <w:spacing w:line="360" w:lineRule="auto"/>
        <w:ind w:firstLine="480" w:firstLineChars="200"/>
        <w:rPr>
          <w:rFonts w:ascii="幼圆" w:eastAsia="幼圆" w:hAnsi="幼圆" w:cs="幼圆" w:hint="eastAsia"/>
          <w:color w:val="auto"/>
        </w:rPr>
      </w:pPr>
      <w:r>
        <w:rPr>
          <w:rFonts w:ascii="幼圆" w:eastAsia="幼圆" w:hAnsi="幼圆" w:cs="幼圆" w:hint="eastAsia"/>
          <w:color w:val="auto"/>
          <w:sz w:val="24"/>
          <w:szCs w:val="24"/>
          <w:lang w:eastAsia="zh-CN"/>
        </w:rPr>
        <w:t>同时</w:t>
      </w:r>
      <w:r>
        <w:rPr>
          <w:rFonts w:ascii="幼圆" w:eastAsia="幼圆" w:hAnsi="幼圆" w:cs="幼圆" w:hint="eastAsia"/>
          <w:color w:val="auto"/>
          <w:sz w:val="24"/>
          <w:szCs w:val="24"/>
        </w:rPr>
        <w:t>为了保证问卷的可靠性，采用小样本重测法对问卷信度进行检验，从总样本中抽取小部分样本进行重测。在第一次发放问卷的两周后，进行第二次相同问卷的发放，计算两次调查的信度系数，通过SPSS22.0对两次相同题目进行相关性分析，计算前后两次调査测量的相关系数ｒ＝0.808，ｒ＝0.818（Ｐ〈0.01），相关系数很高，表明了</w:t>
      </w:r>
      <w:r>
        <w:rPr>
          <w:rFonts w:ascii="幼圆" w:eastAsia="幼圆" w:hAnsi="幼圆" w:cs="幼圆" w:hint="eastAsia"/>
          <w:color w:val="auto"/>
          <w:sz w:val="24"/>
          <w:szCs w:val="24"/>
          <w:lang w:val="en-US" w:eastAsia="zh-CN"/>
        </w:rPr>
        <w:t>该调查问卷</w:t>
      </w:r>
      <w:r>
        <w:rPr>
          <w:rFonts w:ascii="幼圆" w:eastAsia="幼圆" w:hAnsi="幼圆" w:cs="幼圆" w:hint="eastAsia"/>
          <w:color w:val="auto"/>
          <w:sz w:val="24"/>
          <w:szCs w:val="24"/>
        </w:rPr>
        <w:t>起作用问卷有较高的可信度。</w:t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49" w:name="_Toc8615"/>
      <w:bookmarkStart w:id="50" w:name="_Toc21448"/>
      <w:bookmarkStart w:id="51" w:name="_Toc7071"/>
      <w:bookmarkStart w:id="52" w:name="_Toc14667"/>
      <w:bookmarkStart w:id="53" w:name="_Toc20205"/>
      <w:bookmarkStart w:id="54" w:name="_Toc15447"/>
      <w:r>
        <w:rPr>
          <w:rFonts w:ascii="幼圆" w:eastAsia="幼圆" w:hAnsi="幼圆" w:cs="幼圆" w:hint="eastAsia"/>
          <w:color w:val="auto"/>
          <w:lang w:val="en-US" w:eastAsia="zh-CN"/>
        </w:rPr>
        <w:t>2.2.4</w:t>
      </w:r>
      <w:bookmarkEnd w:id="49"/>
      <w:bookmarkEnd w:id="50"/>
      <w:bookmarkEnd w:id="51"/>
      <w:bookmarkEnd w:id="52"/>
      <w:bookmarkEnd w:id="53"/>
      <w:bookmarkStart w:id="55" w:name="_Toc28085"/>
      <w:bookmarkStart w:id="56" w:name="_Toc20870"/>
      <w:bookmarkStart w:id="57" w:name="_Toc1963"/>
      <w:bookmarkStart w:id="58" w:name="_Toc24187"/>
      <w:bookmarkStart w:id="59" w:name="_Toc24334"/>
      <w:r>
        <w:rPr>
          <w:rFonts w:ascii="幼圆" w:eastAsia="幼圆" w:hAnsi="幼圆" w:cs="幼圆" w:hint="eastAsia"/>
          <w:color w:val="auto"/>
          <w:lang w:val="en-US" w:eastAsia="zh-CN"/>
        </w:rPr>
        <w:t xml:space="preserve"> 数理统计法</w:t>
      </w:r>
      <w:bookmarkEnd w:id="54"/>
      <w:bookmarkEnd w:id="55"/>
      <w:bookmarkEnd w:id="56"/>
      <w:bookmarkEnd w:id="57"/>
      <w:bookmarkEnd w:id="58"/>
      <w:bookmarkEnd w:id="59"/>
    </w:p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使用Excel软件将问卷调查所得来的数据进行整理与统计，确保问卷数据的真实有效性。</w:t>
      </w:r>
    </w:p>
    <w:p>
      <w:pPr>
        <w:pStyle w:val="Heading1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60" w:name="_Toc30467"/>
      <w:bookmarkStart w:id="61" w:name="_Toc27447"/>
      <w:bookmarkStart w:id="62" w:name="_Toc6957"/>
      <w:bookmarkStart w:id="63" w:name="_Toc31159"/>
      <w:bookmarkStart w:id="64" w:name="_Toc17152"/>
      <w:bookmarkStart w:id="65" w:name="_Toc27249"/>
      <w:r>
        <w:rPr>
          <w:rFonts w:ascii="幼圆" w:eastAsia="幼圆" w:hAnsi="幼圆" w:cs="幼圆" w:hint="eastAsia"/>
          <w:color w:val="auto"/>
          <w:lang w:val="en-US" w:eastAsia="zh-CN"/>
        </w:rPr>
        <w:t>3 结果与分析</w:t>
      </w:r>
      <w:bookmarkEnd w:id="60"/>
      <w:bookmarkEnd w:id="61"/>
      <w:bookmarkEnd w:id="62"/>
      <w:bookmarkEnd w:id="63"/>
      <w:bookmarkEnd w:id="64"/>
      <w:bookmarkEnd w:id="65"/>
    </w:p>
    <w:p>
      <w:pPr>
        <w:pStyle w:val="Heading2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66" w:name="_Toc15942"/>
      <w:bookmarkStart w:id="67" w:name="_Toc17505"/>
      <w:bookmarkStart w:id="68" w:name="_Toc28371"/>
      <w:bookmarkStart w:id="69" w:name="_Toc25622"/>
      <w:bookmarkStart w:id="70" w:name="_Toc10800"/>
      <w:bookmarkStart w:id="71" w:name="_Toc1612"/>
      <w:r>
        <w:rPr>
          <w:rFonts w:ascii="幼圆" w:eastAsia="幼圆" w:hAnsi="幼圆" w:cs="幼圆" w:hint="eastAsia"/>
          <w:color w:val="auto"/>
          <w:lang w:val="en-US" w:eastAsia="zh-CN"/>
        </w:rPr>
        <w:t>3.1</w:t>
      </w:r>
      <w:bookmarkEnd w:id="66"/>
      <w:r>
        <w:rPr>
          <w:rFonts w:ascii="幼圆" w:eastAsia="幼圆" w:hAnsi="幼圆" w:cs="幼圆" w:hint="eastAsia"/>
          <w:color w:val="auto"/>
          <w:lang w:val="en-US" w:eastAsia="zh-CN"/>
        </w:rPr>
        <w:t xml:space="preserve"> 新郑市篮球俱乐部运营现状分析</w:t>
      </w:r>
      <w:bookmarkEnd w:id="67"/>
      <w:bookmarkEnd w:id="68"/>
      <w:bookmarkEnd w:id="69"/>
      <w:bookmarkEnd w:id="70"/>
      <w:bookmarkEnd w:id="71"/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72" w:name="_Toc25765"/>
      <w:bookmarkStart w:id="73" w:name="_Toc18950"/>
      <w:bookmarkStart w:id="74" w:name="_Toc7681"/>
      <w:bookmarkStart w:id="75" w:name="_Toc19899"/>
      <w:bookmarkStart w:id="76" w:name="_Toc14124"/>
      <w:r>
        <w:rPr>
          <w:rFonts w:ascii="幼圆" w:eastAsia="幼圆" w:hAnsi="幼圆" w:cs="幼圆" w:hint="eastAsia"/>
          <w:color w:val="auto"/>
          <w:lang w:val="en-US" w:eastAsia="zh-CN"/>
        </w:rPr>
        <w:t>3.1.1 宣传途径分析</w:t>
      </w:r>
      <w:bookmarkEnd w:id="72"/>
      <w:bookmarkEnd w:id="73"/>
      <w:bookmarkEnd w:id="74"/>
      <w:bookmarkEnd w:id="75"/>
      <w:bookmarkEnd w:id="76"/>
    </w:p>
    <w:p>
      <w:pPr>
        <w:spacing w:line="360" w:lineRule="auto"/>
        <w:ind w:left="0" w:right="0" w:firstLine="0" w:leftChars="0" w:rightChars="0" w:firstLineChars="0"/>
        <w:jc w:val="center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表1 篮球俱乐部宣传途径统计表（N=10，可多选）</w:t>
      </w:r>
    </w:p>
    <w:tbl>
      <w:tblPr>
        <w:tblStyle w:val="TableGrid1"/>
        <w:tblW w:w="85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W w:w="8522" w:type="dxa"/>
          <w:jc w:val="center"/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bottom w:val="single" w:sz="8" w:space="0" w:color="auto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宣传途径</w:t>
            </w:r>
          </w:p>
        </w:tc>
        <w:tc>
          <w:tcPr>
            <w:tcW w:w="2841" w:type="dxa"/>
            <w:tcBorders>
              <w:bottom w:val="single" w:sz="8" w:space="0" w:color="auto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2841" w:type="dxa"/>
            <w:tcBorders>
              <w:bottom w:val="single" w:sz="8" w:space="0" w:color="auto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百分比</w:t>
            </w:r>
          </w:p>
        </w:tc>
      </w:tr>
      <w:tr>
        <w:tblPrEx>
          <w:tblW w:w="8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sz="8" w:space="0" w:color="auto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发传单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80%</w:t>
            </w:r>
          </w:p>
        </w:tc>
      </w:tr>
      <w:tr>
        <w:tblPrEx>
          <w:tblW w:w="8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电视、网络等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30%</w:t>
            </w:r>
          </w:p>
        </w:tc>
      </w:tr>
      <w:tr>
        <w:tblPrEx>
          <w:tblW w:w="8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报纸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50%</w:t>
            </w:r>
          </w:p>
        </w:tc>
      </w:tr>
      <w:tr>
        <w:tblPrEx>
          <w:tblW w:w="8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幼圆" w:eastAsia="幼圆" w:hAnsi="幼圆" w:cs="幼圆"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20%</w:t>
            </w:r>
          </w:p>
        </w:tc>
      </w:tr>
    </w:tbl>
    <w:p>
      <w:pPr>
        <w:spacing w:line="360" w:lineRule="auto"/>
        <w:ind w:firstLine="480" w:firstLineChars="200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针对篮球俱乐部宣传途径的调查中，如表1所示，发现篮球俱乐部主要使用的宣传方式就是发传单，选择的人数达到了80%，而电视、网络等新媒体手段的选择人数有30%，报纸的选择人数有50%，其他的宣传途径有20%。通过对上述数据的分析，可以看出当前篮球俱乐部的宣传方式相对比较单一，而导致这一问题的原因可能是因为俱乐部对于宣传的重视程度不够，因此导致其只有在招生时才想起来宣传。或者是因资金不充足，使得其在宣传方面所能够承担的花费较少，再加上缺乏专业的宣传人员与团队，这便使得大多数的学生以及家长对篮球俱乐部具体情况了解不足，长期如此不利于篮球俱乐部市场影响力的提升，在这种情况下，只有丰富招生途径，扩大自身宣传平台，增加宣传资金，才能够逐步在青少年与家长心目中加大影响力，进而招纳到更多的学员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vertAlign w:val="superscript"/>
          <w:lang w:val="en-US" w:eastAsia="zh-CN"/>
        </w:rPr>
        <w:t>[5]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Heading3"/>
        <w:bidi w:val="0"/>
        <w:rPr>
          <w:rFonts w:ascii="幼圆" w:eastAsia="幼圆" w:hAnsi="幼圆" w:cs="幼圆" w:hint="eastAsia"/>
          <w:color w:val="auto"/>
          <w:lang w:val="en-US" w:eastAsia="zh-CN"/>
        </w:rPr>
      </w:pPr>
      <w:bookmarkStart w:id="77" w:name="_Toc15920"/>
      <w:bookmarkStart w:id="78" w:name="_Toc27761"/>
      <w:bookmarkStart w:id="79" w:name="_Toc4922"/>
      <w:bookmarkStart w:id="80" w:name="_Toc20253"/>
      <w:r>
        <w:rPr>
          <w:rFonts w:ascii="幼圆" w:eastAsia="幼圆" w:hAnsi="幼圆" w:cs="幼圆" w:hint="eastAsia"/>
          <w:color w:val="auto"/>
          <w:lang w:val="en-US" w:eastAsia="zh-CN"/>
        </w:rPr>
        <w:t>3.1.2 场地设施情况分析</w:t>
      </w:r>
      <w:bookmarkEnd w:id="77"/>
      <w:bookmarkEnd w:id="78"/>
      <w:bookmarkEnd w:id="79"/>
      <w:bookmarkEnd w:id="80"/>
    </w:p>
    <w:p>
      <w:pPr>
        <w:spacing w:line="360" w:lineRule="auto"/>
        <w:ind w:left="0" w:right="0" w:firstLine="0" w:leftChars="0" w:rightChars="0" w:firstLineChars="0"/>
        <w:jc w:val="center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表2 篮球俱乐部场地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充足情况调查表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（N=100）</w:t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  <w:br/>
      </w:r>
      <w:r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https://d.book118.com/228076026015006042</w:t>
        </w:r>
      </w:hyperlink>
    </w:p>
    <w:p>
      <w:pPr>
        <w:spacing w:line="360" w:lineRule="auto"/>
        <w:ind w:left="0" w:right="0" w:firstLine="0" w:leftChars="0" w:rightChars="0" w:firstLineChars="0"/>
        <w:jc w:val="center"/>
        <w:rPr>
          <w:rFonts w:ascii="幼圆" w:eastAsia="幼圆" w:hAnsi="幼圆" w:cs="幼圆" w:hint="eastAsia"/>
          <w:b w:val="0"/>
          <w:bCs w:val="0"/>
          <w:color w:val="auto"/>
          <w:sz w:val="24"/>
          <w:szCs w:val="24"/>
          <w:highlight w:val="none"/>
        </w:rPr>
      </w:pPr>
    </w:p>
    <w:sectPr>
      <w:footerReference w:type="default" r:id="rId10"/>
      <w:type w:val="nextPage"/>
      <w:pgSz w:w="11906" w:h="16838"/>
      <w:pgMar w:top="1361" w:right="1474" w:bottom="1247" w:left="1474" w:header="851" w:footer="992" w:gutter="0"/>
      <w:pgNumType w:fmt="decimal" w:start="5"/>
      <w:cols w:num="1" w:space="0"/>
      <w:titlePg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I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1668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II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II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9207713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5974860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6432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A603CD"/>
    <w:rsid w:val="128B2C84"/>
    <w:rsid w:val="772E3FB8"/>
  </w:rsids>
  <w:docVars>
    <w:docVar w:name="commondata" w:val="eyJoZGlkIjoiNWFhMWI5MDQwNDBiYWI1ZmY5ZTQxYWNiYzY0MTdmZD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semiHidden="0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 w:qFormat="1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1I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eastAsia="黑体" w:hAnsi="Times New Roman"/>
      <w:kern w:val="44"/>
      <w:sz w:val="32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Lines="0" w:beforeAutospacing="0" w:afterLines="0" w:afterAutospacing="0" w:line="360" w:lineRule="auto"/>
      <w:outlineLvl w:val="1"/>
    </w:pPr>
    <w:rPr>
      <w:rFonts w:ascii="Times New Roman" w:eastAsia="黑体" w:hAnsi="Times New Roman"/>
      <w:sz w:val="30"/>
    </w:rPr>
  </w:style>
  <w:style w:type="paragraph" w:styleId="Heading3">
    <w:name w:val="heading 3"/>
    <w:basedOn w:val="Normal"/>
    <w:next w:val="Normal"/>
    <w:link w:val="3Char"/>
    <w:autoRedefine/>
    <w:unhideWhenUsed/>
    <w:qFormat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eastAsia="黑体" w:hAnsi="Times New Roman"/>
      <w:sz w:val="24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I">
    <w:name w:val="BodyText1I"/>
    <w:basedOn w:val="BodyText"/>
    <w:autoRedefine/>
    <w:qFormat/>
    <w:pPr>
      <w:spacing w:after="120"/>
      <w:ind w:firstLine="420" w:firstLineChars="100"/>
      <w:jc w:val="both"/>
      <w:textAlignment w:val="baseline"/>
    </w:pPr>
  </w:style>
  <w:style w:type="paragraph" w:customStyle="1" w:styleId="BodyText">
    <w:name w:val="BodyText"/>
    <w:basedOn w:val="Normal"/>
    <w:autoRedefine/>
    <w:qFormat/>
    <w:pPr>
      <w:spacing w:after="120"/>
      <w:jc w:val="both"/>
      <w:textAlignment w:val="baseline"/>
    </w:pPr>
  </w:style>
  <w:style w:type="paragraph" w:styleId="Caption">
    <w:name w:val="caption"/>
    <w:basedOn w:val="Normal"/>
    <w:next w:val="Normal"/>
    <w:autoRedefine/>
    <w:unhideWhenUsed/>
    <w:qFormat/>
    <w:rPr>
      <w:rFonts w:ascii="Arial" w:eastAsia="黑体" w:hAnsi="Arial"/>
      <w:sz w:val="20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Cambria" w:hAnsi="Cambria"/>
      <w:sz w:val="24"/>
    </w:rPr>
  </w:style>
  <w:style w:type="paragraph" w:styleId="CommentText">
    <w:name w:val="annotation text"/>
    <w:basedOn w:val="Normal"/>
    <w:qFormat/>
    <w:pPr>
      <w:jc w:val="left"/>
    </w:pPr>
  </w:style>
  <w:style w:type="paragraph" w:styleId="BodyText0">
    <w:name w:val="Body Text"/>
    <w:basedOn w:val="Normal"/>
    <w:uiPriority w:val="99"/>
    <w:unhideWhenUsed/>
    <w:qFormat/>
    <w:pPr>
      <w:spacing w:after="120" w:afterLines="0" w:afterAutospacing="0"/>
    </w:pPr>
  </w:style>
  <w:style w:type="paragraph" w:styleId="TOC3">
    <w:name w:val="toc 3"/>
    <w:basedOn w:val="Normal"/>
    <w:next w:val="Normal"/>
    <w:autoRedefine/>
    <w:qFormat/>
    <w:pPr>
      <w:ind w:left="840" w:leftChars="400"/>
    </w:p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autoRedefine/>
    <w:qFormat/>
  </w:style>
  <w:style w:type="paragraph" w:styleId="TOC2">
    <w:name w:val="toc 2"/>
    <w:basedOn w:val="Normal"/>
    <w:next w:val="Normal"/>
    <w:autoRedefine/>
    <w:qFormat/>
    <w:pPr>
      <w:ind w:left="420" w:leftChars="200"/>
    </w:pPr>
  </w:style>
  <w:style w:type="paragraph" w:styleId="BodyTextFirstIndent">
    <w:name w:val="Body Text First Indent"/>
    <w:basedOn w:val="BodyText0"/>
    <w:autoRedefine/>
    <w:uiPriority w:val="99"/>
    <w:unhideWhenUsed/>
    <w:qFormat/>
    <w:pPr>
      <w:ind w:firstLine="420" w:firstLineChars="100"/>
    </w:p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autoRedefine/>
    <w:qFormat/>
  </w:style>
  <w:style w:type="character" w:customStyle="1" w:styleId="emsimilar">
    <w:name w:val="em_similar"/>
    <w:basedOn w:val="em"/>
    <w:autoRedefine/>
    <w:qFormat/>
    <w:rPr>
      <w:color w:val="FF0000"/>
    </w:rPr>
  </w:style>
  <w:style w:type="character" w:customStyle="1" w:styleId="em">
    <w:name w:val="em"/>
    <w:basedOn w:val="DefaultParagraphFont"/>
    <w:autoRedefine/>
    <w:qFormat/>
  </w:style>
  <w:style w:type="character" w:customStyle="1" w:styleId="3Char">
    <w:name w:val="标题 3 Char"/>
    <w:link w:val="Heading3"/>
    <w:autoRedefine/>
    <w:qFormat/>
    <w:rPr>
      <w:rFonts w:ascii="Times New Roman" w:eastAsia="黑体" w:hAnsi="Times New Roman"/>
      <w:sz w:val="24"/>
    </w:rPr>
  </w:style>
  <w:style w:type="paragraph" w:customStyle="1" w:styleId="a">
    <w:name w:val="正文新"/>
    <w:basedOn w:val="Normal"/>
    <w:autoRedefine/>
    <w:qFormat/>
    <w:pPr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paragraph" w:customStyle="1" w:styleId="a0">
    <w:name w:val="表头"/>
    <w:basedOn w:val="Normal"/>
    <w:autoRedefine/>
    <w:qFormat/>
    <w:pPr>
      <w:snapToGrid w:val="0"/>
      <w:spacing w:line="360" w:lineRule="auto"/>
      <w:jc w:val="center"/>
    </w:pPr>
    <w:rPr>
      <w:rFonts w:ascii="黑体" w:eastAsia="黑体" w:hAnsi="宋体"/>
      <w:szCs w:val="21"/>
    </w:rPr>
  </w:style>
  <w:style w:type="paragraph" w:customStyle="1" w:styleId="a1">
    <w:name w:val="内容"/>
    <w:basedOn w:val="Normal"/>
    <w:autoRedefine/>
    <w:qFormat/>
    <w:pPr>
      <w:snapToGrid w:val="0"/>
      <w:spacing w:line="360" w:lineRule="auto"/>
      <w:ind w:left="105" w:hanging="105" w:hangingChars="50"/>
      <w:jc w:val="center"/>
    </w:pPr>
    <w:rPr>
      <w:rFonts w:ascii="宋体" w:hAnsi="宋体"/>
      <w:szCs w:val="21"/>
    </w:rPr>
  </w:style>
  <w:style w:type="paragraph" w:customStyle="1" w:styleId="11">
    <w:name w:val="正文11"/>
    <w:basedOn w:val="Normal"/>
    <w:autoRedefine/>
    <w:qFormat/>
    <w:pPr>
      <w:ind w:firstLine="420" w:firstLineChars="200"/>
    </w:pPr>
  </w:style>
  <w:style w:type="table" w:customStyle="1" w:styleId="TableGrid0">
    <w:name w:val="Table Grid_0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hyperlink" Target="https://d.book118.com/228076026015006042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夏已迟暮</dc:creator>
  <cp:lastModifiedBy>ABEEL</cp:lastModifiedBy>
  <cp:revision>1</cp:revision>
  <dcterms:created xsi:type="dcterms:W3CDTF">2020-01-21T09:49:00Z</dcterms:created>
  <dcterms:modified xsi:type="dcterms:W3CDTF">2024-03-01T15:28:34Z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C7083753DDCD4A4591DDC42DB294C575_13</vt:lpwstr>
  </property>
  <property fmtid="{D5CDD505-2E9C-101B-9397-08002B2CF9AE}" pid="3" name="KSOProductBuildVer">
    <vt:lpwstr>2052-12.1.0.16388</vt:lpwstr>
  </property>
</Properties>
</file>