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28" w:lineRule="exact"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4895886</wp:posOffset>
            </wp:positionH>
            <wp:positionV relativeFrom="page">
              <wp:posOffset>4654515</wp:posOffset>
            </wp:positionV>
            <wp:extent cx="2266889" cy="64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66889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28" w:lineRule="exact"/>
        <w:sectPr>
          <w:headerReference w:type="default" r:id="rId5"/>
          <w:footerReference w:type="default" r:id="rId6"/>
          <w:pgSz w:w="11910" w:h="16840"/>
          <w:pgMar w:top="1646" w:right="630" w:bottom="970" w:left="539" w:header="830" w:footer="764" w:gutter="0"/>
          <w:cols w:num="1" w:space="708" w:equalWidth="0">
            <w:col w:w="10740" w:space="0"/>
          </w:cols>
        </w:sectPr>
      </w:pPr>
    </w:p>
    <w:p>
      <w:pPr>
        <w:pStyle w:val="BodyText"/>
        <w:spacing w:before="14" w:line="1130" w:lineRule="exact"/>
      </w:pPr>
      <w:r>
        <w:rPr>
          <w:position w:val="-22"/>
        </w:rPr>
        <w:pict>
          <v:group id="_x0000_i1025" style="width:354.05pt;height:56.5pt;mso-position-horizontal-relative:char;mso-position-vertical-relative:line" coordorigin="0,0" coordsize="7080,113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7080;height:1130;position:absolute" filled="f" stroked="f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7120;height:117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08" w:line="230" w:lineRule="auto"/>
                      <w:ind w:left="216"/>
                      <w:outlineLvl w:val="0"/>
                      <w:rPr>
                        <w:rFonts w:ascii="KaiTi" w:eastAsia="KaiTi" w:hAnsi="KaiTi" w:cs="KaiTi"/>
                        <w:sz w:val="44"/>
                        <w:szCs w:val="44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color w:val="FFFFFF"/>
                        <w:spacing w:val="-7"/>
                        <w:sz w:val="44"/>
                        <w:szCs w:val="44"/>
                      </w:rPr>
                      <w:t>基础化工行业</w:t>
                    </w:r>
                  </w:p>
                  <w:p>
                    <w:pPr>
                      <w:spacing w:before="78" w:line="220" w:lineRule="auto"/>
                      <w:ind w:left="875"/>
                      <w:rPr>
                        <w:rFonts w:ascii="KaiTi" w:eastAsia="KaiTi" w:hAnsi="KaiTi" w:cs="KaiTi"/>
                        <w:sz w:val="37"/>
                        <w:szCs w:val="37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color w:val="05397D"/>
                        <w:spacing w:val="-14"/>
                        <w:sz w:val="37"/>
                        <w:szCs w:val="37"/>
                      </w:rPr>
                      <w:t>有机硅市场底部提价，制冷剂景气延续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228" w:line="229" w:lineRule="auto"/>
        <w:ind w:left="193"/>
        <w:rPr>
          <w:sz w:val="27"/>
          <w:szCs w:val="27"/>
        </w:rPr>
      </w:pPr>
      <w:r>
        <w:rPr>
          <w:b/>
          <w:bCs/>
          <w:spacing w:val="-7"/>
          <w:sz w:val="27"/>
          <w:szCs w:val="27"/>
        </w:rPr>
        <w:t>核心观点：</w:t>
      </w:r>
    </w:p>
    <w:p>
      <w:pPr>
        <w:pStyle w:val="BodyText"/>
        <w:spacing w:before="197" w:line="255" w:lineRule="auto"/>
        <w:ind w:left="609" w:right="104" w:hanging="420"/>
      </w:pPr>
      <w:r>
        <w:rPr>
          <w:color w:val="05397D"/>
          <w:spacing w:val="-6"/>
        </w:rPr>
        <w:t>●</w:t>
      </w:r>
      <w:r>
        <w:rPr>
          <w:color w:val="05397D"/>
          <w:spacing w:val="23"/>
        </w:rPr>
        <w:t xml:space="preserve">  </w:t>
      </w:r>
      <w:r>
        <w:rPr>
          <w:b/>
          <w:bCs/>
          <w:color w:val="05397D"/>
          <w:spacing w:val="-6"/>
        </w:rPr>
        <w:t>行业基础数据跟踪：</w:t>
      </w:r>
      <w:r>
        <w:rPr>
          <w:color w:val="05397D"/>
          <w:spacing w:val="-6"/>
        </w:rPr>
        <w:t xml:space="preserve"> </w:t>
      </w:r>
      <w:r>
        <w:rPr>
          <w:spacing w:val="-6"/>
        </w:rPr>
        <w:t>2</w:t>
      </w:r>
      <w:r>
        <w:rPr>
          <w:spacing w:val="-6"/>
        </w:rPr>
        <w:t xml:space="preserve"> </w:t>
      </w:r>
      <w:r>
        <w:rPr>
          <w:spacing w:val="-6"/>
        </w:rPr>
        <w:t>月</w:t>
      </w:r>
      <w:r>
        <w:rPr>
          <w:spacing w:val="-6"/>
        </w:rPr>
        <w:t xml:space="preserve"> </w:t>
      </w:r>
      <w:r>
        <w:rPr>
          <w:spacing w:val="-6"/>
        </w:rPr>
        <w:t>2</w:t>
      </w:r>
      <w:r>
        <w:rPr>
          <w:spacing w:val="-6"/>
        </w:rPr>
        <w:t xml:space="preserve"> </w:t>
      </w:r>
      <w:r>
        <w:rPr>
          <w:spacing w:val="-6"/>
        </w:rPr>
        <w:t>6</w:t>
      </w:r>
      <w:r>
        <w:rPr>
          <w:spacing w:val="-6"/>
        </w:rPr>
        <w:t xml:space="preserve"> </w:t>
      </w:r>
      <w:r>
        <w:rPr>
          <w:spacing w:val="-6"/>
        </w:rPr>
        <w:t>日</w:t>
      </w:r>
      <w:r>
        <w:rPr>
          <w:spacing w:val="-7"/>
        </w:rPr>
        <w:t>~3月</w:t>
      </w:r>
      <w:r>
        <w:rPr>
          <w:spacing w:val="16"/>
        </w:rPr>
        <w:t xml:space="preserve"> </w:t>
      </w:r>
      <w:r>
        <w:rPr>
          <w:spacing w:val="-7"/>
        </w:rPr>
        <w:t>1</w:t>
      </w:r>
      <w:r>
        <w:rPr>
          <w:spacing w:val="59"/>
        </w:rPr>
        <w:t xml:space="preserve"> </w:t>
      </w:r>
      <w:r>
        <w:rPr>
          <w:spacing w:val="-7"/>
        </w:rPr>
        <w:t>日</w:t>
      </w:r>
      <w:r>
        <w:rPr>
          <w:color w:val="007FE1"/>
          <w:spacing w:val="-7"/>
        </w:rPr>
        <w:t>，</w:t>
      </w:r>
      <w:r>
        <w:rPr>
          <w:rFonts w:ascii="SimSun" w:eastAsia="SimSun" w:hAnsi="SimSun" w:cs="SimSun"/>
          <w:spacing w:val="-7"/>
        </w:rPr>
        <w:t>SW</w:t>
      </w:r>
      <w:r>
        <w:rPr>
          <w:rFonts w:ascii="SimSun" w:eastAsia="SimSun" w:hAnsi="SimSun" w:cs="SimSun"/>
          <w:spacing w:val="9"/>
        </w:rPr>
        <w:t xml:space="preserve">  </w:t>
      </w:r>
      <w:r>
        <w:rPr>
          <w:spacing w:val="-7"/>
        </w:rPr>
        <w:t>基础化工板块上涨</w:t>
      </w:r>
      <w:r>
        <w:rPr>
          <w:spacing w:val="1"/>
        </w:rPr>
        <w:t xml:space="preserve"> </w:t>
      </w:r>
      <w:r>
        <w:rPr>
          <w:spacing w:val="6"/>
        </w:rPr>
        <w:t>2.39%,跑赢万得全</w:t>
      </w:r>
      <w:r>
        <w:rPr>
          <w:rFonts w:ascii="SimSun" w:eastAsia="SimSun" w:hAnsi="SimSun" w:cs="SimSun"/>
          <w:spacing w:val="6"/>
        </w:rPr>
        <w:t xml:space="preserve">A </w:t>
      </w:r>
      <w:r>
        <w:rPr>
          <w:spacing w:val="6"/>
        </w:rPr>
        <w:t>指数0.03</w:t>
      </w:r>
      <w:r>
        <w:rPr>
          <w:rFonts w:ascii="SimSun" w:eastAsia="SimSun" w:hAnsi="SimSun" w:cs="SimSun"/>
        </w:rPr>
        <w:t>pct</w:t>
      </w:r>
      <w:r>
        <w:rPr>
          <w:rFonts w:ascii="SimSun" w:eastAsia="SimSun" w:hAnsi="SimSun" w:cs="SimSun"/>
          <w:spacing w:val="6"/>
        </w:rPr>
        <w:t>;</w:t>
      </w:r>
      <w:r>
        <w:rPr>
          <w:rFonts w:ascii="SimSun" w:eastAsia="SimSun" w:hAnsi="SimSun" w:cs="SimSun"/>
          <w:spacing w:val="-35"/>
        </w:rPr>
        <w:t xml:space="preserve"> </w:t>
      </w:r>
      <w:r>
        <w:rPr>
          <w:spacing w:val="6"/>
        </w:rPr>
        <w:t>化工子行业上涨较多，表现较差</w:t>
      </w:r>
    </w:p>
    <w:p>
      <w:pPr>
        <w:pStyle w:val="BodyText"/>
        <w:spacing w:before="99" w:line="220" w:lineRule="auto"/>
        <w:ind w:right="6"/>
        <w:jc w:val="right"/>
      </w:pPr>
      <w:r>
        <w:rPr>
          <w:spacing w:val="-2"/>
        </w:rPr>
        <w:t>的有锦纶、炭黑和石油化工板块，表现较好的有有机硅、钾肥等板块。</w:t>
      </w:r>
    </w:p>
    <w:p>
      <w:pPr>
        <w:pStyle w:val="BodyText"/>
        <w:spacing w:before="51" w:line="271" w:lineRule="auto"/>
        <w:ind w:left="609" w:right="60" w:hanging="420"/>
      </w:pPr>
      <w:r>
        <w:rPr>
          <w:color w:val="05397D"/>
          <w:spacing w:val="-6"/>
        </w:rPr>
        <w:t>●</w:t>
      </w:r>
      <w:r>
        <w:rPr>
          <w:color w:val="05397D"/>
          <w:spacing w:val="-6"/>
        </w:rPr>
        <w:t xml:space="preserve">  </w:t>
      </w:r>
      <w:r>
        <w:rPr>
          <w:b/>
          <w:bCs/>
          <w:color w:val="05397D"/>
          <w:spacing w:val="-6"/>
        </w:rPr>
        <w:t>化工品价格上涨较多：</w:t>
      </w:r>
      <w:r>
        <w:rPr>
          <w:color w:val="05397D"/>
          <w:spacing w:val="-6"/>
        </w:rPr>
        <w:t xml:space="preserve"> </w:t>
      </w:r>
      <w:r>
        <w:rPr>
          <w:spacing w:val="-6"/>
        </w:rPr>
        <w:t>在我们跟踪的336个产品中，上涨、持平、下跌</w:t>
      </w:r>
      <w:r>
        <w:rPr>
          <w:spacing w:val="-6"/>
        </w:rPr>
        <w:t xml:space="preserve"> </w:t>
      </w:r>
      <w:r>
        <w:rPr>
          <w:spacing w:val="12"/>
        </w:rPr>
        <w:t>的产品数量分别为99种、168</w:t>
      </w:r>
      <w:r>
        <w:rPr>
          <w:spacing w:val="12"/>
        </w:rPr>
        <w:t xml:space="preserve"> </w:t>
      </w:r>
      <w:r>
        <w:rPr>
          <w:spacing w:val="12"/>
        </w:rPr>
        <w:t>种、69种，占比分别为29%、50%和</w:t>
      </w:r>
      <w:r>
        <w:rPr>
          <w:spacing w:val="12"/>
        </w:rPr>
        <w:t xml:space="preserve"> </w:t>
      </w:r>
      <w:r>
        <w:rPr>
          <w:spacing w:val="-2"/>
        </w:rPr>
        <w:t>21%。化工品价格上涨较多。</w:t>
      </w:r>
      <w:r>
        <w:rPr>
          <w:b/>
          <w:bCs/>
          <w:color w:val="05397D"/>
          <w:spacing w:val="-2"/>
        </w:rPr>
        <w:t>价格涨幅前五：</w:t>
      </w:r>
      <w:r>
        <w:rPr>
          <w:spacing w:val="-2"/>
        </w:rPr>
        <w:t>液氯、波罗的海干散货指</w:t>
      </w:r>
      <w:r>
        <w:rPr>
          <w:spacing w:val="14"/>
        </w:rPr>
        <w:t xml:space="preserve"> </w:t>
      </w:r>
      <w:r>
        <w:rPr>
          <w:color w:val="007FE1"/>
          <w:spacing w:val="-3"/>
        </w:rPr>
        <w:t>数</w:t>
      </w:r>
      <w:r>
        <w:rPr>
          <w:color w:val="007FE1"/>
          <w:spacing w:val="-49"/>
        </w:rPr>
        <w:t xml:space="preserve"> </w:t>
      </w:r>
      <w:r>
        <w:rPr>
          <w:rFonts w:ascii="SimSun" w:eastAsia="SimSun" w:hAnsi="SimSun" w:cs="SimSun"/>
          <w:spacing w:val="-3"/>
        </w:rPr>
        <w:t>BDI、</w:t>
      </w:r>
      <w:r>
        <w:rPr>
          <w:rFonts w:ascii="SimSun" w:eastAsia="SimSun" w:hAnsi="SimSun" w:cs="SimSun"/>
          <w:spacing w:val="-29"/>
        </w:rPr>
        <w:t xml:space="preserve"> </w:t>
      </w:r>
      <w:r>
        <w:rPr>
          <w:spacing w:val="-3"/>
        </w:rPr>
        <w:t>硫酸、</w:t>
      </w:r>
      <w:r>
        <w:rPr>
          <w:rFonts w:ascii="SimSun" w:eastAsia="SimSun" w:hAnsi="SimSun" w:cs="SimSun"/>
          <w:spacing w:val="-3"/>
        </w:rPr>
        <w:t xml:space="preserve">EVA </w:t>
      </w:r>
      <w:r>
        <w:rPr>
          <w:spacing w:val="-3"/>
        </w:rPr>
        <w:t>(光伏用)、亚氨基二乙</w:t>
      </w:r>
      <w:r>
        <w:rPr>
          <w:spacing w:val="-4"/>
        </w:rPr>
        <w:t>腈。</w:t>
      </w:r>
      <w:r>
        <w:rPr>
          <w:b/>
          <w:bCs/>
          <w:color w:val="05397D"/>
          <w:spacing w:val="-4"/>
        </w:rPr>
        <w:t>价格跌幅前五：</w:t>
      </w:r>
      <w:r>
        <w:rPr>
          <w:rFonts w:ascii="Arial" w:eastAsia="Arial" w:hAnsi="Arial" w:cs="Arial"/>
          <w:spacing w:val="-4"/>
        </w:rPr>
        <w:t>PLA</w:t>
      </w:r>
      <w:r>
        <w:rPr>
          <w:rFonts w:ascii="SimSun" w:eastAsia="SimSun" w:hAnsi="SimSun" w:cs="SimSun"/>
          <w:spacing w:val="-4"/>
        </w:rPr>
        <w:t>、</w:t>
      </w:r>
      <w:r>
        <w:rPr>
          <w:rFonts w:ascii="SimSun" w:eastAsia="SimSun" w:hAnsi="SimSun" w:cs="SimSun"/>
        </w:rPr>
        <w:t xml:space="preserve"> </w:t>
      </w:r>
      <w:r>
        <w:rPr>
          <w:spacing w:val="-7"/>
        </w:rPr>
        <w:t>烟煤、醋酐、纯碱(重质)、四氯化钛。</w:t>
      </w:r>
    </w:p>
    <w:p>
      <w:pPr>
        <w:pStyle w:val="BodyText"/>
        <w:spacing w:before="88" w:line="282" w:lineRule="auto"/>
        <w:ind w:left="610" w:right="63" w:hanging="330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4"/>
          <w:position w:val="1"/>
          <w:sz w:val="17"/>
          <w:szCs w:val="17"/>
        </w:rPr>
        <w:t xml:space="preserve">●   </w:t>
      </w:r>
      <w:r>
        <w:rPr>
          <w:b/>
          <w:bCs/>
          <w:color w:val="05397D"/>
          <w:spacing w:val="-4"/>
        </w:rPr>
        <w:t>有机硅市场景气底部提升。</w:t>
      </w:r>
      <w:r>
        <w:rPr>
          <w:color w:val="05397D"/>
          <w:spacing w:val="-4"/>
        </w:rPr>
        <w:t xml:space="preserve"> </w:t>
      </w:r>
      <w:r>
        <w:rPr>
          <w:spacing w:val="-4"/>
        </w:rPr>
        <w:t>一</w:t>
      </w:r>
      <w:r>
        <w:rPr>
          <w:spacing w:val="-54"/>
        </w:rPr>
        <w:t xml:space="preserve"> </w:t>
      </w:r>
      <w:r>
        <w:rPr>
          <w:spacing w:val="-4"/>
        </w:rPr>
        <w:t>方面，自2023</w:t>
      </w:r>
      <w:r>
        <w:rPr>
          <w:rFonts w:ascii="Times New Roman" w:eastAsia="Times New Roman" w:hAnsi="Times New Roman" w:cs="Times New Roman"/>
          <w:spacing w:val="-4"/>
        </w:rPr>
        <w:t xml:space="preserve">H2  </w:t>
      </w:r>
      <w:r>
        <w:rPr>
          <w:spacing w:val="-4"/>
        </w:rPr>
        <w:t>以来，国内有机硅持</w:t>
      </w:r>
      <w:r>
        <w:t xml:space="preserve"> </w:t>
      </w:r>
      <w:r>
        <w:rPr>
          <w:spacing w:val="-5"/>
        </w:rPr>
        <w:t>续低景气下，行业持续去库，开工率保持地位；另一方面，有机硅下游</w:t>
      </w:r>
      <w:r>
        <w:rPr>
          <w:spacing w:val="8"/>
        </w:rPr>
        <w:t xml:space="preserve"> </w:t>
      </w:r>
      <w:r>
        <w:rPr>
          <w:spacing w:val="-5"/>
        </w:rPr>
        <w:t>主要需求集中于房地产市场，自年后以来，</w:t>
      </w:r>
      <w:r>
        <w:rPr>
          <w:spacing w:val="-6"/>
        </w:rPr>
        <w:t>房地产持续开工，进入传统</w:t>
      </w:r>
      <w:r>
        <w:t xml:space="preserve"> </w:t>
      </w:r>
      <w:r>
        <w:rPr>
          <w:spacing w:val="-5"/>
        </w:rPr>
        <w:t>需求旺季。供需错配下，支持有机硅市场景气</w:t>
      </w:r>
      <w:r>
        <w:rPr>
          <w:spacing w:val="-6"/>
        </w:rPr>
        <w:t>底部提升。根据百川资讯</w:t>
      </w:r>
      <w:r>
        <w:t xml:space="preserve"> </w:t>
      </w:r>
      <w:r>
        <w:rPr>
          <w:spacing w:val="2"/>
        </w:rPr>
        <w:t>数据，本周二甲基环硅氧烷</w:t>
      </w:r>
      <w:r>
        <w:rPr>
          <w:spacing w:val="-44"/>
        </w:rPr>
        <w:t xml:space="preserve"> </w:t>
      </w:r>
      <w:r>
        <w:rPr>
          <w:rFonts w:ascii="Times New Roman" w:eastAsia="Times New Roman" w:hAnsi="Times New Roman" w:cs="Times New Roman"/>
        </w:rPr>
        <w:t>DMC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spacing w:val="2"/>
        </w:rPr>
        <w:t>工厂库存3.6万吨，环比</w:t>
      </w:r>
      <w:r>
        <w:rPr>
          <w:spacing w:val="1"/>
        </w:rPr>
        <w:t>年初-25%;</w:t>
      </w:r>
      <w:r>
        <w:rPr>
          <w:spacing w:val="1"/>
        </w:rPr>
        <w:t xml:space="preserve"> </w:t>
      </w:r>
      <w:r>
        <w:rPr>
          <w:spacing w:val="2"/>
        </w:rPr>
        <w:t>二甲基环硅氧烷</w:t>
      </w:r>
      <w:r>
        <w:rPr>
          <w:spacing w:val="-47"/>
        </w:rPr>
        <w:t xml:space="preserve"> </w:t>
      </w:r>
      <w:r>
        <w:rPr>
          <w:rFonts w:ascii="SimSun" w:eastAsia="SimSun" w:hAnsi="SimSun" w:cs="SimSun"/>
        </w:rPr>
        <w:t>DMC</w:t>
      </w:r>
      <w:r>
        <w:rPr>
          <w:rFonts w:ascii="SimSun" w:eastAsia="SimSun" w:hAnsi="SimSun" w:cs="SimSun"/>
          <w:spacing w:val="2"/>
        </w:rPr>
        <w:t xml:space="preserve">  </w:t>
      </w:r>
      <w:r>
        <w:rPr>
          <w:spacing w:val="2"/>
        </w:rPr>
        <w:t>市场价格16700元/吨，环比上周</w:t>
      </w:r>
      <w:r>
        <w:rPr>
          <w:b/>
          <w:bCs/>
          <w:color w:val="05397D"/>
          <w:spacing w:val="2"/>
        </w:rPr>
        <w:t>+8.44%。制冷</w:t>
      </w:r>
      <w:r>
        <w:rPr>
          <w:color w:val="05397D"/>
        </w:rPr>
        <w:t xml:space="preserve"> </w:t>
      </w:r>
      <w:r>
        <w:rPr>
          <w:b/>
          <w:bCs/>
          <w:color w:val="05397D"/>
          <w:spacing w:val="-4"/>
        </w:rPr>
        <w:t>剂景气延续。20</w:t>
      </w:r>
      <w:r>
        <w:rPr>
          <w:spacing w:val="-4"/>
        </w:rPr>
        <w:t>23.11,氢氟碳化物配额总量设定与分配实施方案发布；</w:t>
      </w:r>
      <w:r>
        <w:rPr>
          <w:spacing w:val="17"/>
        </w:rPr>
        <w:t xml:space="preserve"> </w:t>
      </w:r>
      <w:r>
        <w:rPr>
          <w:spacing w:val="2"/>
        </w:rPr>
        <w:t>2024.01,三代制冷剂配额核发情况公</w:t>
      </w:r>
      <w:r>
        <w:rPr>
          <w:spacing w:val="1"/>
        </w:rPr>
        <w:t>示。受配额心态传导，叠加国内</w:t>
      </w:r>
      <w:r>
        <w:t xml:space="preserve"> </w:t>
      </w:r>
      <w:r>
        <w:rPr>
          <w:spacing w:val="-5"/>
        </w:rPr>
        <w:t>安全、环保检查力度增强、萤石矿山开工低迷等因素，三代制</w:t>
      </w:r>
      <w:r>
        <w:rPr>
          <w:spacing w:val="-6"/>
        </w:rPr>
        <w:t>冷剂景气</w:t>
      </w:r>
      <w:r>
        <w:t xml:space="preserve"> </w:t>
      </w:r>
      <w:r>
        <w:rPr>
          <w:spacing w:val="2"/>
        </w:rPr>
        <w:t>持续。据百川资讯，本周R32/R125/R134a/R4</w:t>
      </w:r>
      <w:r>
        <w:rPr>
          <w:spacing w:val="1"/>
        </w:rPr>
        <w:t>10a</w:t>
      </w:r>
      <w:r>
        <w:rPr>
          <w:spacing w:val="1"/>
        </w:rPr>
        <w:t xml:space="preserve">  </w:t>
      </w:r>
      <w:r>
        <w:rPr>
          <w:spacing w:val="1"/>
        </w:rPr>
        <w:t>制冷剂价格分别为</w:t>
      </w:r>
      <w:r>
        <w:t xml:space="preserve"> </w:t>
      </w:r>
      <w:r>
        <w:rPr>
          <w:spacing w:val="-4"/>
        </w:rPr>
        <w:t>24500/42000/32000/33000</w:t>
      </w:r>
      <w:r>
        <w:rPr>
          <w:spacing w:val="35"/>
        </w:rPr>
        <w:t xml:space="preserve">  </w:t>
      </w:r>
      <w:r>
        <w:rPr>
          <w:spacing w:val="-4"/>
        </w:rPr>
        <w:t>元</w:t>
      </w:r>
      <w:r>
        <w:rPr>
          <w:spacing w:val="-4"/>
        </w:rPr>
        <w:t xml:space="preserve"> </w:t>
      </w:r>
      <w:r>
        <w:rPr>
          <w:spacing w:val="-4"/>
        </w:rPr>
        <w:t>/</w:t>
      </w:r>
      <w:r>
        <w:rPr>
          <w:spacing w:val="-4"/>
        </w:rPr>
        <w:t xml:space="preserve"> </w:t>
      </w:r>
      <w:r>
        <w:rPr>
          <w:spacing w:val="-4"/>
        </w:rPr>
        <w:t>吨</w:t>
      </w:r>
      <w:r>
        <w:rPr>
          <w:spacing w:val="-4"/>
        </w:rPr>
        <w:t xml:space="preserve"> </w:t>
      </w:r>
      <w:r>
        <w:rPr>
          <w:spacing w:val="-4"/>
        </w:rPr>
        <w:t>，</w:t>
      </w:r>
      <w:r>
        <w:rPr>
          <w:spacing w:val="-35"/>
        </w:rPr>
        <w:t xml:space="preserve"> </w:t>
      </w:r>
      <w:r>
        <w:rPr>
          <w:spacing w:val="-4"/>
        </w:rPr>
        <w:t>较</w:t>
      </w:r>
      <w:r>
        <w:rPr>
          <w:spacing w:val="-4"/>
        </w:rPr>
        <w:t xml:space="preserve"> </w:t>
      </w:r>
      <w:r>
        <w:rPr>
          <w:spacing w:val="-4"/>
        </w:rPr>
        <w:t>之</w:t>
      </w:r>
      <w:r>
        <w:rPr>
          <w:spacing w:val="-4"/>
        </w:rPr>
        <w:t xml:space="preserve"> </w:t>
      </w:r>
      <w:r>
        <w:rPr>
          <w:spacing w:val="-4"/>
        </w:rPr>
        <w:t>前</w:t>
      </w:r>
      <w:r>
        <w:rPr>
          <w:spacing w:val="-4"/>
        </w:rPr>
        <w:t xml:space="preserve"> </w:t>
      </w:r>
      <w:r>
        <w:rPr>
          <w:spacing w:val="-4"/>
        </w:rPr>
        <w:t>一</w:t>
      </w:r>
      <w:r>
        <w:rPr>
          <w:spacing w:val="-4"/>
        </w:rPr>
        <w:t xml:space="preserve"> </w:t>
      </w:r>
      <w:r>
        <w:rPr>
          <w:spacing w:val="-4"/>
        </w:rPr>
        <w:t>周</w:t>
      </w:r>
      <w:r>
        <w:rPr>
          <w:spacing w:val="-4"/>
        </w:rPr>
        <w:t xml:space="preserve"> </w:t>
      </w:r>
      <w:r>
        <w:rPr>
          <w:spacing w:val="-4"/>
        </w:rPr>
        <w:t>价</w:t>
      </w:r>
      <w:r>
        <w:rPr>
          <w:spacing w:val="-4"/>
        </w:rPr>
        <w:t xml:space="preserve"> </w:t>
      </w:r>
      <w:r>
        <w:rPr>
          <w:spacing w:val="-4"/>
        </w:rPr>
        <w:t>格</w:t>
      </w:r>
      <w:r>
        <w:rPr>
          <w:spacing w:val="-4"/>
        </w:rPr>
        <w:t xml:space="preserve"> </w:t>
      </w:r>
      <w:r>
        <w:rPr>
          <w:spacing w:val="-4"/>
        </w:rPr>
        <w:t>变</w:t>
      </w:r>
      <w:r>
        <w:rPr>
          <w:spacing w:val="-4"/>
        </w:rPr>
        <w:t xml:space="preserve"> </w:t>
      </w:r>
      <w:r>
        <w:rPr>
          <w:spacing w:val="-4"/>
        </w:rPr>
        <w:t>动</w:t>
      </w:r>
      <w:r>
        <w:t xml:space="preserve"> </w:t>
      </w:r>
      <w:r>
        <w:rPr>
          <w:rFonts w:ascii="SimSun" w:eastAsia="SimSun" w:hAnsi="SimSun" w:cs="SimSun"/>
          <w:spacing w:val="-1"/>
        </w:rPr>
        <w:t>+4.26%/+5.00%/+1.59%/+3.13%。</w:t>
      </w:r>
    </w:p>
    <w:p>
      <w:pPr>
        <w:pStyle w:val="BodyText"/>
        <w:tabs>
          <w:tab w:val="left" w:pos="719"/>
        </w:tabs>
        <w:spacing w:before="54" w:line="276" w:lineRule="auto"/>
        <w:ind w:left="610" w:right="25" w:firstLine="3"/>
        <w:jc w:val="right"/>
      </w:pPr>
      <w:r>
        <w:rPr>
          <w:b/>
          <w:bCs/>
          <w:color w:val="05397D"/>
          <w:spacing w:val="-1"/>
        </w:rPr>
        <w:t>建议关注：</w:t>
      </w:r>
      <w:r>
        <w:rPr>
          <w:color w:val="05397D"/>
          <w:spacing w:val="56"/>
        </w:rPr>
        <w:t xml:space="preserve"> </w:t>
      </w:r>
      <w:r>
        <w:rPr>
          <w:spacing w:val="-1"/>
        </w:rPr>
        <w:t>(1)供给约束：资源品以油气(中国石油、中国石油股份、</w:t>
      </w:r>
      <w:r>
        <w:t xml:space="preserve"> </w:t>
      </w:r>
      <w:r>
        <w:rPr>
          <w:spacing w:val="1"/>
        </w:rPr>
        <w:t>中国海油、中国海洋石油)、矿藏(钛精矿-龙佰集团、天然碱-远兴能</w:t>
      </w:r>
      <w:r>
        <w:rPr>
          <w:spacing w:val="2"/>
        </w:rPr>
        <w:t xml:space="preserve">  </w:t>
      </w:r>
      <w:r>
        <w:rPr>
          <w:spacing w:val="-1"/>
        </w:rPr>
        <w:t>源、磷矿-川恒股份、钾矿-亚钾国际)为代表；制造端以</w:t>
      </w:r>
      <w:r>
        <w:rPr>
          <w:spacing w:val="-21"/>
        </w:rPr>
        <w:t xml:space="preserve"> </w:t>
      </w:r>
      <w:r>
        <w:rPr>
          <w:rFonts w:ascii="SimSun" w:eastAsia="SimSun" w:hAnsi="SimSun" w:cs="SimSun"/>
          <w:spacing w:val="-1"/>
        </w:rPr>
        <w:t xml:space="preserve">MDI </w:t>
      </w:r>
      <w:r>
        <w:rPr>
          <w:spacing w:val="-1"/>
        </w:rPr>
        <w:t>(万华化</w:t>
      </w:r>
      <w:r>
        <w:t xml:space="preserve">  </w:t>
      </w:r>
      <w:r>
        <w:rPr>
          <w:spacing w:val="12"/>
        </w:rPr>
        <w:t>学)、创制农药、尿素(华鲁恒升)、乙烷裂解</w:t>
      </w:r>
      <w:r>
        <w:rPr>
          <w:spacing w:val="11"/>
        </w:rPr>
        <w:t>(卫星化学)、制冷剂</w:t>
      </w:r>
      <w:r>
        <w:rPr>
          <w:spacing w:val="11"/>
        </w:rPr>
        <w:t xml:space="preserve"> </w:t>
      </w:r>
      <w:r>
        <w:tab/>
      </w:r>
      <w:r>
        <w:rPr>
          <w:spacing w:val="8"/>
        </w:rPr>
        <w:t>(巨化股份、永和股份、三美化工、昊华科技)为代表；(2)技术创</w:t>
      </w:r>
      <w:r>
        <w:rPr>
          <w:spacing w:val="8"/>
        </w:rPr>
        <w:t xml:space="preserve"> </w:t>
      </w:r>
      <w:r>
        <w:rPr>
          <w:spacing w:val="-3"/>
        </w:rPr>
        <w:t>新：合成生物、农药制剂出海(润丰股份)、润滑油添加剂(瑞丰新材)、</w:t>
      </w:r>
      <w:r>
        <w:rPr>
          <w:spacing w:val="12"/>
        </w:rPr>
        <w:t xml:space="preserve"> </w:t>
      </w:r>
      <w:r>
        <w:rPr>
          <w:spacing w:val="5"/>
        </w:rPr>
        <w:t>新材料(泰和新材、赛特新材、振华股份)、</w:t>
      </w:r>
      <w:r>
        <w:rPr>
          <w:spacing w:val="4"/>
        </w:rPr>
        <w:t>电子材料(万润股份、格</w:t>
      </w:r>
      <w:r>
        <w:t xml:space="preserve">  </w:t>
      </w:r>
      <w:r>
        <w:rPr>
          <w:spacing w:val="19"/>
        </w:rPr>
        <w:t>林达等)、车用材料(赛轮轮胎、海利得);(3)底部找拐点：出口</w:t>
      </w:r>
      <w:r>
        <w:rPr>
          <w:spacing w:val="11"/>
        </w:rPr>
        <w:t xml:space="preserve"> </w:t>
      </w:r>
      <w:r>
        <w:rPr>
          <w:spacing w:val="1"/>
        </w:rPr>
        <w:t>链的化纤(聚合顺、新凤鸣，桐昆股份、华峰化学、三友化工)、香精</w:t>
      </w:r>
      <w:r>
        <w:rPr>
          <w:spacing w:val="6"/>
        </w:rPr>
        <w:t xml:space="preserve">  </w:t>
      </w:r>
      <w:r>
        <w:rPr>
          <w:spacing w:val="8"/>
        </w:rPr>
        <w:t>香料(金禾实业、新和成、亚香股份)、农药</w:t>
      </w:r>
      <w:r>
        <w:rPr>
          <w:spacing w:val="7"/>
        </w:rPr>
        <w:t>(润丰股份等)、民营炼</w:t>
      </w:r>
      <w:r>
        <w:t xml:space="preserve">  </w:t>
      </w:r>
      <w:r>
        <w:rPr>
          <w:spacing w:val="-5"/>
        </w:rPr>
        <w:t>化(荣盛石化、恒力石化、东方盛虹)、地产</w:t>
      </w:r>
      <w:r>
        <w:rPr>
          <w:rFonts w:ascii="SimSun" w:eastAsia="SimSun" w:hAnsi="SimSun" w:cs="SimSun"/>
          <w:spacing w:val="-5"/>
        </w:rPr>
        <w:t>(</w:t>
      </w:r>
      <w:r>
        <w:rPr>
          <w:rFonts w:ascii="SimSun" w:eastAsia="SimSun" w:hAnsi="SimSun" w:cs="SimSun"/>
          <w:spacing w:val="-6"/>
        </w:rPr>
        <w:t>MDI、</w:t>
      </w:r>
      <w:r>
        <w:rPr>
          <w:rFonts w:ascii="SimSun" w:eastAsia="SimSun" w:hAnsi="SimSun" w:cs="SimSun"/>
          <w:spacing w:val="28"/>
        </w:rPr>
        <w:t xml:space="preserve"> </w:t>
      </w:r>
      <w:r>
        <w:rPr>
          <w:spacing w:val="-6"/>
        </w:rPr>
        <w:t>钛白粉、</w:t>
      </w:r>
      <w:r>
        <w:rPr>
          <w:rFonts w:ascii="SimSun" w:eastAsia="SimSun" w:hAnsi="SimSun" w:cs="SimSun"/>
          <w:spacing w:val="-6"/>
        </w:rPr>
        <w:t>PVC</w:t>
      </w:r>
      <w:r>
        <w:rPr>
          <w:rFonts w:ascii="SimSun" w:eastAsia="SimSun" w:hAnsi="SimSun" w:cs="SimSun"/>
          <w:spacing w:val="74"/>
        </w:rPr>
        <w:t xml:space="preserve"> </w:t>
      </w:r>
      <w:r>
        <w:rPr>
          <w:spacing w:val="-6"/>
        </w:rPr>
        <w:t>等)。</w:t>
      </w:r>
    </w:p>
    <w:p>
      <w:pPr>
        <w:pStyle w:val="BodyText"/>
        <w:spacing w:before="62" w:line="239" w:lineRule="auto"/>
        <w:ind w:left="610" w:right="93" w:hanging="27"/>
      </w:pPr>
      <w:r>
        <w:rPr>
          <w:b/>
          <w:bCs/>
          <w:color w:val="05397D"/>
          <w:spacing w:val="-4"/>
        </w:rPr>
        <w:t>风险提示：</w:t>
      </w:r>
      <w:r>
        <w:rPr>
          <w:spacing w:val="-4"/>
        </w:rPr>
        <w:t>宏观层面：宏观经济下行，相关化工品的需求萎缩；行业层</w:t>
      </w:r>
      <w:r>
        <w:rPr>
          <w:spacing w:val="5"/>
        </w:rPr>
        <w:t xml:space="preserve"> </w:t>
      </w:r>
      <w:r>
        <w:rPr>
          <w:spacing w:val="-2"/>
        </w:rPr>
        <w:t>面：大宗原材料价格剧烈波动等；公司层面：项目进展不及预期等。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tbl>
      <w:tblPr>
        <w:tblStyle w:val="TableNormal"/>
        <w:tblW w:w="3509" w:type="dxa"/>
        <w:tblInd w:w="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001"/>
        <w:gridCol w:w="1508"/>
      </w:tblGrid>
      <w:tr>
        <w:tblPrEx>
          <w:tblW w:w="3509" w:type="dxa"/>
          <w:tblInd w:w="4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98"/>
        </w:trPr>
        <w:tc>
          <w:tcPr>
            <w:tcW w:w="2001" w:type="dxa"/>
            <w:tcBorders>
              <w:right w:val="nil"/>
            </w:tcBorders>
            <w:vAlign w:val="top"/>
          </w:tcPr>
          <w:p>
            <w:pPr>
              <w:spacing w:before="111" w:line="213" w:lineRule="auto"/>
              <w:ind w:left="98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color w:val="002F6C"/>
                <w:spacing w:val="-1"/>
                <w:sz w:val="24"/>
                <w:szCs w:val="24"/>
              </w:rPr>
              <w:t>行业评级</w:t>
            </w:r>
          </w:p>
        </w:tc>
        <w:tc>
          <w:tcPr>
            <w:tcW w:w="1508" w:type="dxa"/>
            <w:tcBorders>
              <w:left w:val="nil"/>
            </w:tcBorders>
            <w:vAlign w:val="top"/>
          </w:tcPr>
          <w:p>
            <w:pPr>
              <w:spacing w:before="111" w:line="213" w:lineRule="auto"/>
              <w:ind w:left="932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color w:val="00306F"/>
                <w:spacing w:val="-1"/>
                <w:sz w:val="24"/>
                <w:szCs w:val="24"/>
              </w:rPr>
              <w:t>买入</w:t>
            </w:r>
          </w:p>
        </w:tc>
      </w:tr>
    </w:tbl>
    <w:p>
      <w:pPr>
        <w:spacing w:before="72" w:line="376" w:lineRule="exact"/>
        <w:ind w:left="3089"/>
        <w:rPr>
          <w:rFonts w:ascii="SimSun" w:eastAsia="SimSun" w:hAnsi="SimSun" w:cs="SimSun"/>
          <w:sz w:val="18"/>
          <w:szCs w:val="18"/>
        </w:rPr>
      </w:pPr>
      <w:r>
        <w:pict>
          <v:shape id="_x0000_s1028" type="#_x0000_t202" style="width:39.1pt;height:29.1pt;margin-top:3.11pt;margin-left:6pt;position:absolute;z-index:251659264" filled="f" stroked="f">
            <o:lock v:ext="edit" aspectratio="f"/>
            <v:textbox inset="0,0,0,0">
              <w:txbxContent>
                <w:p>
                  <w:pPr>
                    <w:spacing w:before="20" w:line="277" w:lineRule="auto"/>
                    <w:ind w:left="20" w:right="20" w:firstLine="10"/>
                    <w:rPr>
                      <w:rFonts w:ascii="SimSun" w:eastAsia="SimSun" w:hAnsi="SimSun" w:cs="SimSun"/>
                      <w:sz w:val="18"/>
                      <w:szCs w:val="18"/>
                    </w:rPr>
                  </w:pPr>
                  <w:r>
                    <w:rPr>
                      <w:rFonts w:ascii="SimSun" w:eastAsia="SimSun" w:hAnsi="SimSun" w:cs="SimSun"/>
                      <w:spacing w:val="2"/>
                      <w:sz w:val="18"/>
                      <w:szCs w:val="18"/>
                    </w:rPr>
                    <w:t xml:space="preserve">前次评级 </w:t>
                  </w:r>
                  <w:r>
                    <w:rPr>
                      <w:rFonts w:ascii="SimSun" w:eastAsia="SimSun" w:hAnsi="SimSun" w:cs="SimSun"/>
                      <w:spacing w:val="-2"/>
                      <w:sz w:val="18"/>
                      <w:szCs w:val="18"/>
                    </w:rPr>
                    <w:t>报告日期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3"/>
          <w:position w:val="15"/>
          <w:sz w:val="18"/>
          <w:szCs w:val="18"/>
        </w:rPr>
        <w:t>买入</w:t>
      </w:r>
    </w:p>
    <w:p>
      <w:pPr>
        <w:spacing w:line="183" w:lineRule="auto"/>
        <w:ind w:left="2519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spacing w:val="-1"/>
          <w:sz w:val="18"/>
          <w:szCs w:val="18"/>
        </w:rPr>
        <w:t>2024-03-03</w:t>
      </w:r>
    </w:p>
    <w:p>
      <w:pPr>
        <w:spacing w:before="25"/>
      </w:pPr>
    </w:p>
    <w:p>
      <w:pPr>
        <w:spacing w:before="25"/>
      </w:pPr>
    </w:p>
    <w:p>
      <w:pPr>
        <w:spacing w:before="25"/>
      </w:pPr>
    </w:p>
    <w:tbl>
      <w:tblPr>
        <w:tblStyle w:val="TableNormal"/>
        <w:tblW w:w="3141" w:type="dxa"/>
        <w:tblInd w:w="1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92"/>
        <w:gridCol w:w="2349"/>
      </w:tblGrid>
      <w:tr>
        <w:tblPrEx>
          <w:tblW w:w="3141" w:type="dxa"/>
          <w:tblInd w:w="122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835"/>
        </w:trPr>
        <w:tc>
          <w:tcPr>
            <w:tcW w:w="792" w:type="dxa"/>
            <w:vAlign w:val="top"/>
          </w:tcPr>
          <w:p>
            <w:pPr>
              <w:spacing w:line="221" w:lineRule="auto"/>
              <w:rPr>
                <w:rFonts w:ascii="FangSong" w:eastAsia="FangSong" w:hAnsi="FangSong" w:cs="FangSong"/>
                <w:sz w:val="17"/>
                <w:szCs w:val="17"/>
              </w:rPr>
            </w:pPr>
            <w:r>
              <w:rPr>
                <w:rFonts w:ascii="FangSong" w:eastAsia="FangSong" w:hAnsi="FangSong" w:cs="FangSong"/>
                <w:b/>
                <w:bCs/>
                <w:color w:val="05397D"/>
                <w:spacing w:val="-2"/>
                <w:sz w:val="17"/>
                <w:szCs w:val="17"/>
              </w:rPr>
              <w:t>分析师：</w:t>
            </w:r>
          </w:p>
          <w:p>
            <w:pPr>
              <w:spacing w:before="133" w:line="430" w:lineRule="exact"/>
              <w:ind w:firstLine="137"/>
            </w:pPr>
            <w:r>
              <w:rPr>
                <w:position w:val="-8"/>
              </w:rPr>
              <w:drawing>
                <wp:inline distT="0" distB="0" distL="0" distR="0">
                  <wp:extent cx="304782" cy="273108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82" cy="273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before="55" w:line="204" w:lineRule="auto"/>
              <w:rPr>
                <w:rFonts w:ascii="FangSong" w:eastAsia="FangSong" w:hAnsi="FangSong" w:cs="FangSong"/>
                <w:sz w:val="17"/>
                <w:szCs w:val="17"/>
              </w:rPr>
            </w:pPr>
            <w:r>
              <w:rPr>
                <w:rFonts w:ascii="FangSong" w:eastAsia="FangSong" w:hAnsi="FangSong" w:cs="FangSong"/>
                <w:b/>
                <w:bCs/>
                <w:color w:val="05397D"/>
                <w:spacing w:val="-8"/>
                <w:sz w:val="17"/>
                <w:szCs w:val="17"/>
              </w:rPr>
              <w:t>分析师；</w:t>
            </w:r>
          </w:p>
          <w:p>
            <w:pPr>
              <w:spacing w:line="189" w:lineRule="auto"/>
              <w:ind w:left="197"/>
              <w:rPr>
                <w:rFonts w:ascii="SimHei" w:eastAsia="SimHei" w:hAnsi="SimHei" w:cs="SimHei"/>
                <w:sz w:val="37"/>
                <w:szCs w:val="37"/>
              </w:rPr>
            </w:pPr>
            <w:r>
              <w:rPr>
                <w:rFonts w:ascii="SimHei" w:eastAsia="SimHei" w:hAnsi="SimHei" w:cs="SimHei"/>
                <w:sz w:val="37"/>
                <w:szCs w:val="37"/>
              </w:rPr>
              <w:t>丽</w:t>
            </w:r>
          </w:p>
          <w:p>
            <w:pPr>
              <w:pStyle w:val="TableText"/>
              <w:spacing w:before="1" w:line="231" w:lineRule="auto"/>
              <w:ind w:left="26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宜</w:t>
            </w:r>
          </w:p>
        </w:tc>
        <w:tc>
          <w:tcPr>
            <w:tcW w:w="2349" w:type="dxa"/>
            <w:vAlign w:val="top"/>
          </w:tcPr>
          <w:p>
            <w:pPr>
              <w:pStyle w:val="TableText"/>
              <w:spacing w:before="37" w:line="230" w:lineRule="auto"/>
              <w:ind w:left="175"/>
            </w:pPr>
            <w:r>
              <w:rPr>
                <w:spacing w:val="10"/>
              </w:rPr>
              <w:t>吴鑫然</w:t>
            </w:r>
          </w:p>
          <w:p>
            <w:pPr>
              <w:pStyle w:val="TableText"/>
              <w:spacing w:before="73" w:line="225" w:lineRule="auto"/>
              <w:ind w:right="8"/>
              <w:jc w:val="right"/>
            </w:pPr>
            <w:r>
              <w:rPr>
                <w:rFonts w:ascii="SimSun" w:eastAsia="SimSun" w:hAnsi="SimSun" w:cs="SimSun"/>
                <w:spacing w:val="-7"/>
              </w:rPr>
              <w:t>SAC</w:t>
            </w:r>
            <w:r>
              <w:rPr>
                <w:rFonts w:ascii="SimSun" w:eastAsia="SimSun" w:hAnsi="SimSun" w:cs="SimSun"/>
                <w:spacing w:val="63"/>
              </w:rPr>
              <w:t xml:space="preserve"> </w:t>
            </w:r>
            <w:r>
              <w:rPr>
                <w:spacing w:val="-7"/>
              </w:rPr>
              <w:t>执证号：</w:t>
            </w:r>
            <w:r>
              <w:rPr>
                <w:spacing w:val="-48"/>
              </w:rPr>
              <w:t xml:space="preserve"> </w:t>
            </w:r>
            <w:r>
              <w:rPr>
                <w:spacing w:val="-7"/>
              </w:rPr>
              <w:t>S0260519070004</w:t>
            </w:r>
          </w:p>
          <w:p>
            <w:pPr>
              <w:spacing w:before="160" w:line="309" w:lineRule="exact"/>
              <w:ind w:left="1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9"/>
                <w:position w:val="12"/>
                <w:sz w:val="17"/>
                <w:szCs w:val="17"/>
              </w:rPr>
              <w:t>SFC CE</w:t>
            </w:r>
            <w:r>
              <w:rPr>
                <w:rFonts w:ascii="Arial" w:eastAsia="Arial" w:hAnsi="Arial" w:cs="Arial"/>
                <w:spacing w:val="22"/>
                <w:position w:val="1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-9"/>
                <w:position w:val="12"/>
                <w:sz w:val="17"/>
                <w:szCs w:val="17"/>
              </w:rPr>
              <w:t>No.BPW070</w:t>
            </w:r>
          </w:p>
          <w:p>
            <w:pPr>
              <w:spacing w:line="183" w:lineRule="auto"/>
              <w:ind w:left="17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6"/>
                <w:sz w:val="21"/>
                <w:szCs w:val="21"/>
              </w:rPr>
              <w:t>0755-23942150</w:t>
            </w:r>
          </w:p>
          <w:p>
            <w:pPr>
              <w:spacing w:before="57" w:line="383" w:lineRule="exact"/>
              <w:ind w:left="1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7"/>
                <w:position w:val="15"/>
                <w:sz w:val="17"/>
                <w:szCs w:val="17"/>
              </w:rPr>
              <w:t>wuxr@gf</w:t>
            </w:r>
            <w:r>
              <w:rPr>
                <w:rFonts w:ascii="Arial" w:eastAsia="Arial" w:hAnsi="Arial" w:cs="Arial"/>
                <w:spacing w:val="34"/>
                <w:w w:val="101"/>
                <w:position w:val="15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color w:val="DB5932"/>
                <w:spacing w:val="-7"/>
                <w:position w:val="15"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spacing w:val="-7"/>
                <w:position w:val="15"/>
                <w:sz w:val="17"/>
                <w:szCs w:val="17"/>
              </w:rPr>
              <w:t>com.cn</w:t>
            </w:r>
          </w:p>
          <w:p>
            <w:pPr>
              <w:pStyle w:val="TableText"/>
              <w:spacing w:before="1" w:line="232" w:lineRule="auto"/>
              <w:ind w:left="175"/>
            </w:pPr>
            <w:r>
              <w:rPr>
                <w:spacing w:val="5"/>
              </w:rPr>
              <w:t>丁续</w:t>
            </w:r>
          </w:p>
          <w:p>
            <w:pPr>
              <w:pStyle w:val="TableText"/>
              <w:spacing w:before="139" w:line="225" w:lineRule="auto"/>
              <w:jc w:val="right"/>
            </w:pPr>
            <w:r>
              <w:rPr>
                <w:rFonts w:ascii="SimSun" w:eastAsia="SimSun" w:hAnsi="SimSun" w:cs="SimSun"/>
                <w:spacing w:val="-5"/>
              </w:rPr>
              <w:t>SAC</w:t>
            </w:r>
            <w:r>
              <w:rPr>
                <w:rFonts w:ascii="SimSun" w:eastAsia="SimSun" w:hAnsi="SimSun" w:cs="SimSun"/>
                <w:spacing w:val="67"/>
              </w:rPr>
              <w:t xml:space="preserve"> </w:t>
            </w:r>
            <w:r>
              <w:rPr>
                <w:spacing w:val="-5"/>
              </w:rPr>
              <w:t>执证号：S0260523070003</w:t>
            </w:r>
          </w:p>
          <w:p>
            <w:pPr>
              <w:spacing w:before="158" w:line="184" w:lineRule="auto"/>
              <w:ind w:left="1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021-38003762</w:t>
            </w:r>
          </w:p>
          <w:p>
            <w:pPr>
              <w:spacing w:before="56" w:line="232" w:lineRule="exact"/>
              <w:ind w:left="1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position w:val="3"/>
                <w:sz w:val="17"/>
                <w:szCs w:val="17"/>
              </w:rPr>
              <w:t>dingxu@gf.com.cn</w:t>
            </w:r>
          </w:p>
        </w:tc>
      </w:tr>
    </w:tbl>
    <w:p>
      <w:pPr>
        <w:pStyle w:val="BodyText"/>
        <w:spacing w:before="42" w:line="213" w:lineRule="auto"/>
        <w:ind w:left="119" w:right="194"/>
        <w:rPr>
          <w:sz w:val="17"/>
          <w:szCs w:val="17"/>
        </w:rPr>
      </w:pPr>
      <w:r>
        <w:rPr>
          <w:spacing w:val="-13"/>
          <w:w w:val="84"/>
          <w:sz w:val="17"/>
          <w:szCs w:val="17"/>
        </w:rPr>
        <w:t>请注意，丁续并非香港证券及期货事务监察委员会的注册</w:t>
      </w:r>
      <w:r>
        <w:rPr>
          <w:spacing w:val="9"/>
          <w:sz w:val="17"/>
          <w:szCs w:val="17"/>
        </w:rPr>
        <w:t xml:space="preserve"> </w:t>
      </w:r>
      <w:r>
        <w:rPr>
          <w:spacing w:val="-13"/>
          <w:w w:val="85"/>
          <w:sz w:val="17"/>
          <w:szCs w:val="17"/>
        </w:rPr>
        <w:t>持牌人，不可在香港从事受监</w:t>
      </w:r>
      <w:r>
        <w:rPr>
          <w:color w:val="298EE6"/>
          <w:spacing w:val="-13"/>
          <w:w w:val="85"/>
          <w:sz w:val="17"/>
          <w:szCs w:val="17"/>
        </w:rPr>
        <w:t>管</w:t>
      </w:r>
      <w:r>
        <w:rPr>
          <w:spacing w:val="-13"/>
          <w:w w:val="85"/>
          <w:sz w:val="17"/>
          <w:szCs w:val="17"/>
        </w:rPr>
        <w:t>活动</w:t>
      </w:r>
      <w:r>
        <w:rPr>
          <w:color w:val="298EE6"/>
          <w:spacing w:val="-13"/>
          <w:w w:val="85"/>
          <w:sz w:val="17"/>
          <w:szCs w:val="17"/>
        </w:rPr>
        <w:t>。</w:t>
      </w:r>
    </w:p>
    <w:p>
      <w:pPr>
        <w:spacing w:line="348" w:lineRule="auto"/>
        <w:rPr>
          <w:rFonts w:ascii="Arial"/>
          <w:sz w:val="21"/>
        </w:rPr>
      </w:pPr>
    </w:p>
    <w:p>
      <w:pPr>
        <w:pStyle w:val="BodyText"/>
        <w:spacing w:before="68" w:line="232" w:lineRule="auto"/>
        <w:ind w:left="122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72330</wp:posOffset>
            </wp:positionH>
            <wp:positionV relativeFrom="paragraph">
              <wp:posOffset>170180</wp:posOffset>
            </wp:positionV>
            <wp:extent cx="2181852" cy="6667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1852" cy="6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5397D"/>
          <w:spacing w:val="-12"/>
        </w:rPr>
        <w:t>相</w:t>
      </w:r>
      <w:r>
        <w:rPr>
          <w:color w:val="05397D"/>
          <w:spacing w:val="10"/>
        </w:rPr>
        <w:t xml:space="preserve"> </w:t>
      </w:r>
      <w:r>
        <w:rPr>
          <w:b/>
          <w:bCs/>
          <w:color w:val="05397D"/>
          <w:spacing w:val="-12"/>
        </w:rPr>
        <w:t>关</w:t>
      </w:r>
      <w:r>
        <w:rPr>
          <w:color w:val="05397D"/>
          <w:spacing w:val="-12"/>
        </w:rPr>
        <w:t xml:space="preserve"> </w:t>
      </w:r>
      <w:r>
        <w:rPr>
          <w:b/>
          <w:bCs/>
          <w:color w:val="05397D"/>
          <w:spacing w:val="-12"/>
        </w:rPr>
        <w:t>研</w:t>
      </w:r>
      <w:r>
        <w:rPr>
          <w:color w:val="05397D"/>
          <w:spacing w:val="14"/>
        </w:rPr>
        <w:t xml:space="preserve"> </w:t>
      </w:r>
      <w:r>
        <w:rPr>
          <w:b/>
          <w:bCs/>
          <w:color w:val="05397D"/>
          <w:spacing w:val="-12"/>
        </w:rPr>
        <w:t>究</w:t>
      </w:r>
      <w:r>
        <w:rPr>
          <w:color w:val="05397D"/>
          <w:spacing w:val="-12"/>
        </w:rPr>
        <w:t xml:space="preserve"> </w:t>
      </w:r>
      <w:r>
        <w:rPr>
          <w:b/>
          <w:bCs/>
          <w:color w:val="05397D"/>
          <w:spacing w:val="-12"/>
        </w:rPr>
        <w:t>：</w:t>
      </w:r>
    </w:p>
    <w:p>
      <w:pPr>
        <w:spacing w:line="92" w:lineRule="exact"/>
      </w:pPr>
    </w:p>
    <w:tbl>
      <w:tblPr>
        <w:tblStyle w:val="TableNormal"/>
        <w:tblW w:w="3309" w:type="dxa"/>
        <w:tblInd w:w="1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363"/>
        <w:gridCol w:w="946"/>
      </w:tblGrid>
      <w:tr>
        <w:tblPrEx>
          <w:tblW w:w="3309" w:type="dxa"/>
          <w:tblInd w:w="11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092"/>
        </w:trPr>
        <w:tc>
          <w:tcPr>
            <w:tcW w:w="2363" w:type="dxa"/>
            <w:vAlign w:val="top"/>
          </w:tcPr>
          <w:p>
            <w:pPr>
              <w:pStyle w:val="TableText"/>
              <w:spacing w:before="2" w:line="317" w:lineRule="auto"/>
              <w:ind w:right="175"/>
            </w:pPr>
            <w:r>
              <w:t>基础化工行业：</w:t>
            </w:r>
            <w:r>
              <w:rPr>
                <w:rFonts w:ascii="Arial" w:eastAsia="Arial" w:hAnsi="Arial" w:cs="Arial"/>
              </w:rPr>
              <w:t>MDI</w:t>
            </w:r>
            <w:r>
              <w:rPr>
                <w:rFonts w:ascii="SimSun" w:eastAsia="SimSun" w:hAnsi="SimSun" w:cs="SimSun"/>
              </w:rPr>
              <w:t>、钛白粉</w:t>
            </w:r>
            <w:r>
              <w:rPr>
                <w:rFonts w:ascii="SimSun" w:eastAsia="SimSun" w:hAnsi="SimSun" w:cs="SimSun"/>
                <w:spacing w:val="4"/>
              </w:rPr>
              <w:t xml:space="preserve"> </w:t>
            </w:r>
            <w:r>
              <w:rPr>
                <w:spacing w:val="-2"/>
              </w:rPr>
              <w:t>市场持续提价，</w:t>
            </w:r>
            <w:r>
              <w:rPr>
                <w:spacing w:val="40"/>
              </w:rPr>
              <w:t xml:space="preserve"> </w:t>
            </w:r>
            <w:r>
              <w:rPr>
                <w:color w:val="008BF7"/>
                <w:spacing w:val="-2"/>
              </w:rPr>
              <w:t>三</w:t>
            </w:r>
            <w:r>
              <w:rPr>
                <w:spacing w:val="-2"/>
              </w:rPr>
              <w:t>代制冷剂</w:t>
            </w:r>
            <w:r>
              <w:t xml:space="preserve"> </w:t>
            </w:r>
            <w:r>
              <w:rPr>
                <w:spacing w:val="6"/>
              </w:rPr>
              <w:t>高景气延续</w:t>
            </w:r>
          </w:p>
          <w:p>
            <w:pPr>
              <w:pStyle w:val="TableText"/>
              <w:spacing w:before="103" w:line="308" w:lineRule="auto"/>
              <w:ind w:right="224"/>
            </w:pPr>
            <w:r>
              <w:rPr>
                <w:spacing w:val="-8"/>
              </w:rPr>
              <w:t>基础化工行业：23</w:t>
            </w:r>
            <w:r>
              <w:rPr>
                <w:rFonts w:ascii="SimSun" w:eastAsia="SimSun" w:hAnsi="SimSun" w:cs="SimSun"/>
                <w:spacing w:val="-8"/>
              </w:rPr>
              <w:t>Q4</w:t>
            </w:r>
            <w:r>
              <w:rPr>
                <w:rFonts w:ascii="SimSun" w:eastAsia="SimSun" w:hAnsi="SimSun" w:cs="SimSun"/>
                <w:spacing w:val="19"/>
              </w:rPr>
              <w:t xml:space="preserve">  </w:t>
            </w:r>
            <w:r>
              <w:rPr>
                <w:spacing w:val="-8"/>
              </w:rPr>
              <w:t>行业归</w:t>
            </w:r>
            <w:r>
              <w:rPr>
                <w:spacing w:val="1"/>
              </w:rPr>
              <w:t xml:space="preserve"> </w:t>
            </w:r>
            <w:r>
              <w:t>母净利润同比扭亏，</w:t>
            </w:r>
            <w:r>
              <w:rPr>
                <w:spacing w:val="-21"/>
              </w:rPr>
              <w:t xml:space="preserve"> </w:t>
            </w:r>
            <w:r>
              <w:rPr>
                <w:rFonts w:ascii="SimSun" w:eastAsia="SimSun" w:hAnsi="SimSun" w:cs="SimSun"/>
              </w:rPr>
              <w:t>MDI</w:t>
            </w:r>
            <w:r>
              <w:rPr>
                <w:rFonts w:ascii="SimSun" w:eastAsia="SimSun" w:hAnsi="SimSun" w:cs="SimSun"/>
                <w:spacing w:val="21"/>
              </w:rPr>
              <w:t xml:space="preserve"> </w:t>
            </w:r>
            <w:r>
              <w:t>价</w:t>
            </w:r>
            <w:r>
              <w:t xml:space="preserve"> </w:t>
            </w:r>
            <w:r>
              <w:rPr>
                <w:spacing w:val="10"/>
              </w:rPr>
              <w:t>格底部回升</w:t>
            </w:r>
          </w:p>
          <w:p>
            <w:pPr>
              <w:pStyle w:val="TableText"/>
              <w:spacing w:before="126" w:line="289" w:lineRule="auto"/>
              <w:ind w:right="180"/>
            </w:pPr>
            <w:r>
              <w:rPr>
                <w:spacing w:val="-3"/>
              </w:rPr>
              <w:t>基础化工行业：行业整体归母</w:t>
            </w:r>
            <w:r>
              <w:rPr>
                <w:spacing w:val="10"/>
              </w:rPr>
              <w:t xml:space="preserve"> </w:t>
            </w:r>
            <w:r>
              <w:rPr>
                <w:spacing w:val="18"/>
              </w:rPr>
              <w:t>净利润2023年同比预减</w:t>
            </w:r>
          </w:p>
          <w:p>
            <w:pPr>
              <w:pStyle w:val="TableText"/>
              <w:spacing w:before="113" w:line="259" w:lineRule="auto"/>
              <w:ind w:right="97"/>
            </w:pPr>
            <w:r>
              <w:rPr>
                <w:spacing w:val="2"/>
              </w:rPr>
              <w:t>54%,23Q4</w:t>
            </w:r>
            <w:r>
              <w:rPr>
                <w:spacing w:val="2"/>
              </w:rPr>
              <w:t xml:space="preserve">    </w:t>
            </w:r>
            <w:r>
              <w:rPr>
                <w:spacing w:val="2"/>
              </w:rPr>
              <w:t>预计同比扭亏、</w:t>
            </w:r>
            <w:r>
              <w:rPr>
                <w:spacing w:val="16"/>
              </w:rPr>
              <w:t xml:space="preserve"> </w:t>
            </w:r>
            <w:r>
              <w:rPr>
                <w:spacing w:val="5"/>
              </w:rPr>
              <w:t>环比预减</w:t>
            </w:r>
          </w:p>
        </w:tc>
        <w:tc>
          <w:tcPr>
            <w:tcW w:w="946" w:type="dxa"/>
            <w:vAlign w:val="top"/>
          </w:tcPr>
          <w:p>
            <w:pPr>
              <w:spacing w:before="14" w:line="183" w:lineRule="auto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9"/>
                <w:sz w:val="17"/>
                <w:szCs w:val="17"/>
              </w:rPr>
              <w:t>2024-02-25</w:t>
            </w: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55" w:line="184" w:lineRule="auto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9"/>
                <w:sz w:val="17"/>
                <w:szCs w:val="17"/>
              </w:rPr>
              <w:t>2024-02-18</w:t>
            </w: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55" w:line="183" w:lineRule="auto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9"/>
                <w:sz w:val="17"/>
                <w:szCs w:val="17"/>
              </w:rPr>
              <w:t>2024-02-05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10"/>
          <w:footerReference w:type="default" r:id="rId11"/>
          <w:type w:val="continuous"/>
          <w:pgSz w:w="11910" w:h="16840"/>
          <w:pgMar w:top="1646" w:right="630" w:bottom="970" w:left="539" w:header="830" w:footer="764" w:gutter="0"/>
          <w:pgNumType w:start="2"/>
          <w:cols w:num="2" w:space="708" w:equalWidth="0">
            <w:col w:w="7081" w:space="90"/>
            <w:col w:w="3570" w:space="0"/>
          </w:cols>
        </w:sectPr>
      </w:pPr>
    </w:p>
    <w:p>
      <w:pPr>
        <w:spacing w:line="241" w:lineRule="auto"/>
        <w:rPr>
          <w:rFonts w:ascii="Arial"/>
          <w:sz w:val="21"/>
        </w:rPr>
        <w:sectPr>
          <w:headerReference w:type="default" r:id="rId12"/>
          <w:footerReference w:type="default" r:id="rId13"/>
          <w:type w:val="continuous"/>
          <w:pgSz w:w="11910" w:h="16840"/>
          <w:pgMar w:top="1646" w:right="630" w:bottom="970" w:left="539" w:header="830" w:footer="764" w:gutter="0"/>
          <w:pgNumType w:start="3"/>
          <w:cols w:num="1" w:space="708" w:equalWidth="0">
            <w:col w:w="10740" w:space="0"/>
          </w:cols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0" w:lineRule="exact"/>
        <w:ind w:firstLine="60"/>
      </w:pPr>
      <w:r>
        <w:drawing>
          <wp:inline distT="0" distB="0" distL="0" distR="0">
            <wp:extent cx="6756348" cy="1272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56348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" w:lineRule="exact"/>
      </w:pPr>
    </w:p>
    <w:p>
      <w:pPr>
        <w:spacing w:line="32" w:lineRule="exact"/>
        <w:sectPr>
          <w:headerReference w:type="default" r:id="rId15"/>
          <w:footerReference w:type="default" r:id="rId16"/>
          <w:type w:val="nextPage"/>
          <w:pgSz w:w="11910" w:h="16840"/>
          <w:pgMar w:top="1646" w:right="630" w:bottom="970" w:left="539" w:header="830" w:footer="764" w:gutter="0"/>
          <w:pgNumType w:start="4"/>
          <w:cols w:num="1" w:space="708" w:equalWidth="0">
            <w:col w:w="10740" w:space="0"/>
          </w:cols>
          <w:titlePg w:val="0"/>
        </w:sectPr>
      </w:pPr>
    </w:p>
    <w:p>
      <w:pPr>
        <w:spacing w:before="35" w:line="195" w:lineRule="auto"/>
        <w:ind w:left="82"/>
        <w:rPr>
          <w:rFonts w:ascii="SimHei" w:eastAsia="SimHei" w:hAnsi="SimHei" w:cs="SimHei"/>
          <w:sz w:val="17"/>
          <w:szCs w:val="17"/>
        </w:rPr>
      </w:pPr>
      <w:r>
        <w:rPr>
          <w:rFonts w:ascii="SimHei" w:eastAsia="SimHei" w:hAnsi="SimHei" w:cs="SimHei"/>
          <w:b/>
          <w:bCs/>
          <w:spacing w:val="8"/>
          <w:sz w:val="17"/>
          <w:szCs w:val="17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1" w:line="187" w:lineRule="auto"/>
        <w:rPr>
          <w:rFonts w:ascii="SimHei" w:eastAsia="SimHei" w:hAnsi="SimHei" w:cs="SimHei"/>
          <w:sz w:val="17"/>
          <w:szCs w:val="17"/>
        </w:rPr>
      </w:pPr>
      <w:r>
        <w:rPr>
          <w:rFonts w:ascii="SimHei" w:eastAsia="SimHei" w:hAnsi="SimHei" w:cs="SimHei"/>
          <w:b/>
          <w:bCs/>
          <w:spacing w:val="7"/>
          <w:sz w:val="17"/>
          <w:szCs w:val="17"/>
        </w:rPr>
        <w:t>请务必阅读末页的免责声明</w:t>
      </w:r>
    </w:p>
    <w:p>
      <w:pPr>
        <w:spacing w:line="187" w:lineRule="auto"/>
        <w:rPr>
          <w:rFonts w:ascii="SimHei" w:eastAsia="SimHei" w:hAnsi="SimHei" w:cs="SimHei"/>
          <w:sz w:val="17"/>
          <w:szCs w:val="17"/>
        </w:rPr>
        <w:sectPr>
          <w:headerReference w:type="default" r:id="rId17"/>
          <w:footerReference w:type="default" r:id="rId18"/>
          <w:type w:val="continuous"/>
          <w:pgSz w:w="11910" w:h="16840"/>
          <w:pgMar w:top="1646" w:right="630" w:bottom="970" w:left="539" w:header="830" w:footer="764" w:gutter="0"/>
          <w:pgNumType w:start="5"/>
          <w:cols w:num="2" w:space="708" w:equalWidth="0">
            <w:col w:w="8453" w:space="100"/>
            <w:col w:w="2188" w:space="0"/>
          </w:cols>
        </w:sectPr>
      </w:pPr>
    </w:p>
    <w:p>
      <w:pPr>
        <w:spacing w:line="314" w:lineRule="auto"/>
        <w:rPr>
          <w:rFonts w:ascii="Arial"/>
          <w:sz w:val="21"/>
        </w:rPr>
      </w:pPr>
      <w:r>
        <w:drawing>
          <wp:anchor distT="0" distB="0" distL="0" distR="0" simplePos="0" relativeHeight="251661312" behindDoc="1" locked="0" layoutInCell="0" allowOverlap="1">
            <wp:simplePos x="0" y="0"/>
            <wp:positionH relativeFrom="page">
              <wp:posOffset>355605</wp:posOffset>
            </wp:positionH>
            <wp:positionV relativeFrom="page">
              <wp:posOffset>482593</wp:posOffset>
            </wp:positionV>
            <wp:extent cx="1225559" cy="400039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25559" cy="400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65" w:line="217" w:lineRule="auto"/>
        <w:ind w:left="843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5"/>
          <w:sz w:val="20"/>
          <w:szCs w:val="20"/>
        </w:rPr>
        <w:t>投资策略周报|基础化工</w:t>
      </w:r>
    </w:p>
    <w:tbl>
      <w:tblPr>
        <w:tblStyle w:val="TableNormal0"/>
        <w:tblW w:w="10649" w:type="dxa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59"/>
        <w:gridCol w:w="1451"/>
        <w:gridCol w:w="700"/>
        <w:gridCol w:w="854"/>
        <w:gridCol w:w="531"/>
        <w:gridCol w:w="793"/>
        <w:gridCol w:w="1334"/>
        <w:gridCol w:w="728"/>
        <w:gridCol w:w="707"/>
        <w:gridCol w:w="702"/>
        <w:gridCol w:w="625"/>
        <w:gridCol w:w="675"/>
        <w:gridCol w:w="690"/>
      </w:tblGrid>
      <w:tr>
        <w:tblPrEx>
          <w:tblW w:w="10649" w:type="dxa"/>
          <w:tblInd w:w="3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609"/>
        </w:trPr>
        <w:tc>
          <w:tcPr>
            <w:tcW w:w="10649" w:type="dxa"/>
            <w:gridSpan w:val="13"/>
            <w:tcBorders>
              <w:top w:val="single" w:sz="8" w:space="0" w:color="00FFFF"/>
              <w:bottom w:val="single" w:sz="4" w:space="0" w:color="000000"/>
            </w:tcBorders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199" w:lineRule="auto"/>
              <w:ind w:left="112"/>
              <w:rPr>
                <w:sz w:val="20"/>
                <w:szCs w:val="20"/>
              </w:rPr>
            </w:pPr>
            <w:r>
              <w:rPr>
                <w:b/>
                <w:bCs/>
                <w:spacing w:val="7"/>
                <w:sz w:val="20"/>
                <w:szCs w:val="20"/>
              </w:rPr>
              <w:t>重点公司估值和财务分析表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649"/>
        </w:trPr>
        <w:tc>
          <w:tcPr>
            <w:tcW w:w="231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spacing w:before="295" w:line="219" w:lineRule="auto"/>
              <w:ind w:left="3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color w:val="003E8F"/>
                <w:spacing w:val="-2"/>
                <w:sz w:val="18"/>
                <w:szCs w:val="18"/>
              </w:rPr>
              <w:t>股票简称</w:t>
            </w:r>
            <w:r>
              <w:rPr>
                <w:rFonts w:ascii="SimSun" w:eastAsia="SimSun" w:hAnsi="SimSun" w:cs="SimSun"/>
                <w:color w:val="003E8F"/>
                <w:spacing w:val="34"/>
                <w:sz w:val="18"/>
                <w:szCs w:val="18"/>
              </w:rPr>
              <w:t xml:space="preserve">  </w:t>
            </w:r>
            <w:r>
              <w:rPr>
                <w:rFonts w:ascii="SimSun" w:eastAsia="SimSun" w:hAnsi="SimSun" w:cs="SimSun"/>
                <w:b/>
                <w:bCs/>
                <w:color w:val="00367D"/>
                <w:spacing w:val="-2"/>
                <w:sz w:val="18"/>
                <w:szCs w:val="18"/>
              </w:rPr>
              <w:t>股票代码</w:t>
            </w:r>
            <w:r>
              <w:rPr>
                <w:rFonts w:ascii="SimSun" w:eastAsia="SimSun" w:hAnsi="SimSun" w:cs="SimSun"/>
                <w:color w:val="00367D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color w:val="003E90"/>
                <w:spacing w:val="-2"/>
                <w:sz w:val="18"/>
                <w:szCs w:val="18"/>
              </w:rPr>
              <w:t>货币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spacing w:before="95" w:line="219" w:lineRule="auto"/>
              <w:ind w:left="18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color w:val="003B89"/>
                <w:spacing w:val="-5"/>
                <w:sz w:val="18"/>
                <w:szCs w:val="18"/>
              </w:rPr>
              <w:t>最新</w:t>
            </w:r>
          </w:p>
          <w:p>
            <w:pPr>
              <w:spacing w:before="124" w:line="210" w:lineRule="auto"/>
              <w:ind w:left="9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color w:val="003D8D"/>
                <w:spacing w:val="-5"/>
                <w:sz w:val="18"/>
                <w:szCs w:val="18"/>
              </w:rPr>
              <w:t>收盘价</w:t>
            </w:r>
          </w:p>
        </w:tc>
        <w:tc>
          <w:tcPr>
            <w:tcW w:w="854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spacing w:before="95" w:line="219" w:lineRule="auto"/>
              <w:ind w:left="26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color w:val="00428E"/>
                <w:spacing w:val="-5"/>
                <w:sz w:val="18"/>
                <w:szCs w:val="18"/>
              </w:rPr>
              <w:t>最近</w:t>
            </w:r>
          </w:p>
          <w:p>
            <w:pPr>
              <w:spacing w:before="124" w:line="210" w:lineRule="auto"/>
              <w:ind w:left="8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color w:val="00428D"/>
                <w:spacing w:val="-3"/>
                <w:sz w:val="18"/>
                <w:szCs w:val="18"/>
              </w:rPr>
              <w:t>报告日期</w:t>
            </w:r>
          </w:p>
        </w:tc>
        <w:tc>
          <w:tcPr>
            <w:tcW w:w="531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spacing w:before="236" w:line="220" w:lineRule="auto"/>
              <w:ind w:left="5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color w:val="003E8F"/>
                <w:spacing w:val="-4"/>
                <w:sz w:val="18"/>
                <w:szCs w:val="18"/>
              </w:rPr>
              <w:t>评级</w:t>
            </w:r>
          </w:p>
        </w:tc>
        <w:tc>
          <w:tcPr>
            <w:tcW w:w="793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spacing w:before="114" w:line="218" w:lineRule="auto"/>
              <w:ind w:left="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color w:val="00449E"/>
                <w:spacing w:val="-4"/>
                <w:sz w:val="18"/>
                <w:szCs w:val="18"/>
              </w:rPr>
              <w:t>合理价值</w:t>
            </w:r>
          </w:p>
          <w:p>
            <w:pPr>
              <w:spacing w:before="129" w:line="187" w:lineRule="auto"/>
              <w:ind w:left="4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color w:val="003E8E"/>
                <w:spacing w:val="4"/>
                <w:sz w:val="18"/>
                <w:szCs w:val="18"/>
              </w:rPr>
              <w:t>(元/股)</w:t>
            </w:r>
          </w:p>
        </w:tc>
        <w:tc>
          <w:tcPr>
            <w:tcW w:w="1334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spacing w:before="116" w:line="220" w:lineRule="auto"/>
              <w:ind w:left="36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EPS</w:t>
            </w:r>
            <w:r>
              <w:rPr>
                <w:rFonts w:ascii="SimSun" w:eastAsia="SimSun" w:hAnsi="SimSun" w:cs="SimSun"/>
                <w:b/>
                <w:bCs/>
                <w:spacing w:val="7"/>
                <w:sz w:val="18"/>
                <w:szCs w:val="18"/>
              </w:rPr>
              <w:t>(元)</w:t>
            </w:r>
          </w:p>
          <w:p>
            <w:pPr>
              <w:spacing w:before="162" w:line="146" w:lineRule="exact"/>
              <w:ind w:left="7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8"/>
                <w:szCs w:val="18"/>
              </w:rPr>
              <w:t>2023E</w:t>
            </w:r>
            <w:r>
              <w:rPr>
                <w:rFonts w:ascii="SimSun" w:eastAsia="SimSun" w:hAnsi="SimSun" w:cs="SimSun"/>
                <w:spacing w:val="36"/>
                <w:position w:val="-2"/>
                <w:sz w:val="18"/>
                <w:szCs w:val="18"/>
              </w:rPr>
              <w:t xml:space="preserve">  </w:t>
            </w: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8"/>
                <w:szCs w:val="18"/>
              </w:rPr>
              <w:t>2024E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spacing w:before="118" w:line="222" w:lineRule="auto"/>
              <w:ind w:left="55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color w:val="00388D"/>
                <w:spacing w:val="-3"/>
                <w:sz w:val="18"/>
                <w:szCs w:val="18"/>
              </w:rPr>
              <w:t>PE(x)</w:t>
            </w:r>
          </w:p>
          <w:p>
            <w:pPr>
              <w:spacing w:before="158" w:line="145" w:lineRule="exact"/>
              <w:ind w:left="1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8"/>
                <w:szCs w:val="18"/>
              </w:rPr>
              <w:t>2023E</w:t>
            </w:r>
            <w:r>
              <w:rPr>
                <w:rFonts w:ascii="SimSun" w:eastAsia="SimSun" w:hAnsi="SimSun" w:cs="SimSun"/>
                <w:spacing w:val="36"/>
                <w:position w:val="-2"/>
                <w:sz w:val="18"/>
                <w:szCs w:val="18"/>
              </w:rPr>
              <w:t xml:space="preserve">  </w:t>
            </w:r>
            <w:r>
              <w:rPr>
                <w:rFonts w:ascii="SimSun" w:eastAsia="SimSun" w:hAnsi="SimSun" w:cs="SimSun"/>
                <w:b/>
                <w:bCs/>
                <w:color w:val="003686"/>
                <w:spacing w:val="-4"/>
                <w:position w:val="-2"/>
                <w:sz w:val="18"/>
                <w:szCs w:val="18"/>
              </w:rPr>
              <w:t>2024E</w:t>
            </w:r>
          </w:p>
        </w:tc>
        <w:tc>
          <w:tcPr>
            <w:tcW w:w="132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spacing w:before="128" w:line="222" w:lineRule="auto"/>
              <w:ind w:left="21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color w:val="003D99"/>
                <w:spacing w:val="-3"/>
                <w:sz w:val="18"/>
                <w:szCs w:val="18"/>
              </w:rPr>
              <w:t>EV/EBITDA(x)</w:t>
            </w:r>
          </w:p>
          <w:p>
            <w:pPr>
              <w:spacing w:before="148" w:line="145" w:lineRule="exact"/>
              <w:ind w:left="13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8"/>
                <w:szCs w:val="18"/>
              </w:rPr>
              <w:t>2023E</w:t>
            </w:r>
            <w:r>
              <w:rPr>
                <w:rFonts w:ascii="SimSun" w:eastAsia="SimSun" w:hAnsi="SimSun" w:cs="SimSun"/>
                <w:spacing w:val="-3"/>
                <w:position w:val="-2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b/>
                <w:bCs/>
                <w:color w:val="003686"/>
                <w:spacing w:val="-3"/>
                <w:position w:val="-2"/>
                <w:sz w:val="18"/>
                <w:szCs w:val="18"/>
              </w:rPr>
              <w:t>2024E</w:t>
            </w:r>
          </w:p>
        </w:tc>
        <w:tc>
          <w:tcPr>
            <w:tcW w:w="136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spacing w:before="105" w:line="219" w:lineRule="auto"/>
              <w:ind w:left="24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color w:val="003E8E"/>
                <w:spacing w:val="-3"/>
                <w:sz w:val="18"/>
                <w:szCs w:val="18"/>
              </w:rPr>
              <w:t>加权ROE(%</w:t>
            </w:r>
          </w:p>
          <w:p>
            <w:pPr>
              <w:spacing w:before="164" w:line="159" w:lineRule="auto"/>
              <w:ind w:left="15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color w:val="003B94"/>
                <w:spacing w:val="-4"/>
                <w:sz w:val="18"/>
                <w:szCs w:val="18"/>
              </w:rPr>
              <w:t>2023E</w:t>
            </w:r>
            <w:r>
              <w:rPr>
                <w:rFonts w:ascii="SimSun" w:eastAsia="SimSun" w:hAnsi="SimSun" w:cs="SimSun"/>
                <w:color w:val="003B94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color w:val="003B94"/>
                <w:spacing w:val="-4"/>
                <w:sz w:val="18"/>
                <w:szCs w:val="18"/>
              </w:rPr>
              <w:t>2024E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96"/>
        </w:trPr>
        <w:tc>
          <w:tcPr>
            <w:tcW w:w="10649" w:type="dxa"/>
            <w:gridSpan w:val="13"/>
            <w:tcBorders>
              <w:top w:val="single" w:sz="4" w:space="0" w:color="000000"/>
            </w:tcBorders>
            <w:vAlign w:val="top"/>
          </w:tcPr>
          <w:p>
            <w:pPr>
              <w:spacing w:before="149" w:line="220" w:lineRule="auto"/>
              <w:ind w:left="15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EA8"/>
                <w:position w:val="1"/>
                <w:sz w:val="18"/>
                <w:szCs w:val="18"/>
              </w:rPr>
              <w:t xml:space="preserve">中国海油600938.SH  CNY   </w:t>
            </w:r>
            <w:r>
              <w:rPr>
                <w:rFonts w:ascii="SimSun" w:eastAsia="SimSun" w:hAnsi="SimSun" w:cs="SimSun"/>
                <w:color w:val="003EA8"/>
                <w:sz w:val="18"/>
                <w:szCs w:val="18"/>
              </w:rPr>
              <w:t>25</w:t>
            </w:r>
            <w:r>
              <w:rPr>
                <w:rFonts w:ascii="SimSun" w:eastAsia="SimSun" w:hAnsi="SimSun" w:cs="SimSun"/>
                <w:color w:val="003EA8"/>
                <w:spacing w:val="-1"/>
                <w:sz w:val="18"/>
                <w:szCs w:val="18"/>
              </w:rPr>
              <w:t xml:space="preserve">.13  </w:t>
            </w:r>
            <w:r>
              <w:rPr>
                <w:rFonts w:ascii="SimSun" w:eastAsia="SimSun" w:hAnsi="SimSun" w:cs="SimSun"/>
                <w:color w:val="003C97"/>
                <w:spacing w:val="-1"/>
                <w:sz w:val="18"/>
                <w:szCs w:val="18"/>
              </w:rPr>
              <w:t>2024/1/29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 xml:space="preserve">买入   </w:t>
            </w:r>
            <w:r>
              <w:rPr>
                <w:rFonts w:ascii="SimSun" w:eastAsia="SimSun" w:hAnsi="SimSun" w:cs="SimSun"/>
                <w:color w:val="003BA1"/>
                <w:spacing w:val="-1"/>
                <w:sz w:val="18"/>
                <w:szCs w:val="18"/>
              </w:rPr>
              <w:t xml:space="preserve">25.30    </w:t>
            </w:r>
            <w:r>
              <w:rPr>
                <w:rFonts w:ascii="SimSun" w:eastAsia="SimSun" w:hAnsi="SimSun" w:cs="SimSun"/>
                <w:color w:val="0043A7"/>
                <w:spacing w:val="-1"/>
                <w:position w:val="-1"/>
                <w:sz w:val="18"/>
                <w:szCs w:val="18"/>
              </w:rPr>
              <w:t xml:space="preserve">2.81    </w:t>
            </w:r>
            <w:r>
              <w:rPr>
                <w:rFonts w:ascii="SimSun" w:eastAsia="SimSun" w:hAnsi="SimSun" w:cs="SimSun"/>
                <w:color w:val="003A9F"/>
                <w:spacing w:val="-1"/>
                <w:sz w:val="18"/>
                <w:szCs w:val="18"/>
              </w:rPr>
              <w:t xml:space="preserve">2.97    8.94    </w:t>
            </w:r>
            <w:r>
              <w:rPr>
                <w:rFonts w:ascii="SimSun" w:eastAsia="SimSun" w:hAnsi="SimSun" w:cs="SimSun"/>
                <w:color w:val="003A9D"/>
                <w:spacing w:val="-1"/>
                <w:sz w:val="18"/>
                <w:szCs w:val="18"/>
              </w:rPr>
              <w:t xml:space="preserve">8.46    </w:t>
            </w:r>
            <w:r>
              <w:rPr>
                <w:rFonts w:ascii="SimSun" w:eastAsia="SimSun" w:hAnsi="SimSun" w:cs="SimSun"/>
                <w:color w:val="003A9F"/>
                <w:spacing w:val="-1"/>
                <w:sz w:val="18"/>
                <w:szCs w:val="18"/>
              </w:rPr>
              <w:t xml:space="preserve">2.50    </w:t>
            </w:r>
            <w:r>
              <w:rPr>
                <w:rFonts w:ascii="SimSun" w:eastAsia="SimSun" w:hAnsi="SimSun" w:cs="SimSun"/>
                <w:color w:val="00399B"/>
                <w:spacing w:val="-1"/>
                <w:sz w:val="18"/>
                <w:szCs w:val="18"/>
              </w:rPr>
              <w:t xml:space="preserve">2.29  </w:t>
            </w:r>
            <w:r>
              <w:rPr>
                <w:rFonts w:ascii="SimSun" w:eastAsia="SimSun" w:hAnsi="SimSun" w:cs="SimSun"/>
                <w:color w:val="0036A1"/>
                <w:spacing w:val="-1"/>
                <w:position w:val="-1"/>
                <w:sz w:val="18"/>
                <w:szCs w:val="18"/>
              </w:rPr>
              <w:t xml:space="preserve">20.10   </w:t>
            </w:r>
            <w:r>
              <w:rPr>
                <w:rFonts w:ascii="SimSun" w:eastAsia="SimSun" w:hAnsi="SimSun" w:cs="SimSun"/>
                <w:color w:val="003BA2"/>
                <w:spacing w:val="-1"/>
                <w:position w:val="-1"/>
                <w:sz w:val="18"/>
                <w:szCs w:val="18"/>
              </w:rPr>
              <w:t>19.20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86"/>
        </w:trPr>
        <w:tc>
          <w:tcPr>
            <w:tcW w:w="859" w:type="dxa"/>
            <w:vAlign w:val="top"/>
          </w:tcPr>
          <w:p>
            <w:pPr>
              <w:spacing w:before="64" w:line="220" w:lineRule="auto"/>
              <w:ind w:left="3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2"/>
                <w:sz w:val="18"/>
                <w:szCs w:val="18"/>
              </w:rPr>
              <w:t>中国海洋</w:t>
            </w:r>
          </w:p>
        </w:tc>
        <w:tc>
          <w:tcPr>
            <w:tcW w:w="3536" w:type="dxa"/>
            <w:gridSpan w:val="4"/>
            <w:vAlign w:val="top"/>
          </w:tcPr>
          <w:p>
            <w:pPr>
              <w:spacing w:before="194" w:line="176" w:lineRule="auto"/>
              <w:ind w:left="10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CA4"/>
                <w:position w:val="-1"/>
                <w:sz w:val="18"/>
                <w:szCs w:val="18"/>
              </w:rPr>
              <w:t xml:space="preserve">00883.HK  </w:t>
            </w:r>
            <w:r>
              <w:rPr>
                <w:rFonts w:ascii="SimSun" w:eastAsia="SimSun" w:hAnsi="SimSun" w:cs="SimSun"/>
                <w:color w:val="003DA7"/>
                <w:position w:val="-1"/>
                <w:sz w:val="18"/>
                <w:szCs w:val="18"/>
              </w:rPr>
              <w:t>HKD</w:t>
            </w:r>
            <w:r>
              <w:rPr>
                <w:rFonts w:ascii="SimSun" w:eastAsia="SimSun" w:hAnsi="SimSun" w:cs="SimSun"/>
                <w:color w:val="003DA7"/>
                <w:spacing w:val="17"/>
                <w:position w:val="-1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41A3"/>
                <w:position w:val="-1"/>
                <w:sz w:val="18"/>
                <w:szCs w:val="18"/>
              </w:rPr>
              <w:t xml:space="preserve">16.16  </w:t>
            </w:r>
            <w:r>
              <w:rPr>
                <w:rFonts w:ascii="SimSun" w:eastAsia="SimSun" w:hAnsi="SimSun" w:cs="SimSun"/>
                <w:color w:val="003898"/>
                <w:sz w:val="18"/>
                <w:szCs w:val="18"/>
              </w:rPr>
              <w:t>2024</w:t>
            </w:r>
            <w:r>
              <w:rPr>
                <w:rFonts w:ascii="SimSun" w:eastAsia="SimSun" w:hAnsi="SimSun" w:cs="SimSun"/>
                <w:color w:val="003898"/>
                <w:spacing w:val="-1"/>
                <w:sz w:val="18"/>
                <w:szCs w:val="18"/>
              </w:rPr>
              <w:t>/1/29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239" w:line="136" w:lineRule="exact"/>
              <w:ind w:left="1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DA6"/>
                <w:spacing w:val="-3"/>
                <w:position w:val="-2"/>
                <w:sz w:val="18"/>
                <w:szCs w:val="18"/>
              </w:rPr>
              <w:t xml:space="preserve">16.29    </w:t>
            </w:r>
            <w:r>
              <w:rPr>
                <w:rFonts w:ascii="SimSun" w:eastAsia="SimSun" w:hAnsi="SimSun" w:cs="SimSun"/>
                <w:color w:val="003A9F"/>
                <w:spacing w:val="-3"/>
                <w:position w:val="-2"/>
                <w:sz w:val="18"/>
                <w:szCs w:val="18"/>
              </w:rPr>
              <w:t xml:space="preserve">2.81    </w:t>
            </w:r>
            <w:r>
              <w:rPr>
                <w:rFonts w:ascii="SimSun" w:eastAsia="SimSun" w:hAnsi="SimSun" w:cs="SimSun"/>
                <w:color w:val="003A9E"/>
                <w:spacing w:val="-3"/>
                <w:position w:val="-2"/>
                <w:sz w:val="18"/>
                <w:szCs w:val="18"/>
              </w:rPr>
              <w:t>2.97</w:t>
            </w:r>
          </w:p>
        </w:tc>
        <w:tc>
          <w:tcPr>
            <w:tcW w:w="728" w:type="dxa"/>
            <w:vAlign w:val="top"/>
          </w:tcPr>
          <w:p>
            <w:pPr>
              <w:spacing w:before="241" w:line="134" w:lineRule="exact"/>
              <w:ind w:left="20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C97"/>
                <w:spacing w:val="-2"/>
                <w:position w:val="-2"/>
                <w:sz w:val="18"/>
                <w:szCs w:val="18"/>
              </w:rPr>
              <w:t>5.75</w:t>
            </w:r>
          </w:p>
        </w:tc>
        <w:tc>
          <w:tcPr>
            <w:tcW w:w="707" w:type="dxa"/>
            <w:vAlign w:val="top"/>
          </w:tcPr>
          <w:p>
            <w:pPr>
              <w:spacing w:before="239" w:line="136" w:lineRule="exact"/>
              <w:ind w:left="1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09F"/>
                <w:spacing w:val="-2"/>
                <w:position w:val="-2"/>
                <w:sz w:val="18"/>
                <w:szCs w:val="18"/>
              </w:rPr>
              <w:t>5.44</w:t>
            </w:r>
          </w:p>
        </w:tc>
        <w:tc>
          <w:tcPr>
            <w:tcW w:w="702" w:type="dxa"/>
            <w:vAlign w:val="top"/>
          </w:tcPr>
          <w:p>
            <w:pPr>
              <w:spacing w:before="239" w:line="136" w:lineRule="exact"/>
              <w:ind w:left="19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A9D"/>
                <w:spacing w:val="-2"/>
                <w:position w:val="-2"/>
                <w:sz w:val="18"/>
                <w:szCs w:val="18"/>
              </w:rPr>
              <w:t>2.81</w:t>
            </w:r>
          </w:p>
        </w:tc>
        <w:tc>
          <w:tcPr>
            <w:tcW w:w="625" w:type="dxa"/>
            <w:vAlign w:val="top"/>
          </w:tcPr>
          <w:p>
            <w:pPr>
              <w:spacing w:before="239" w:line="136" w:lineRule="exact"/>
              <w:ind w:left="1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795"/>
                <w:spacing w:val="-2"/>
                <w:position w:val="-2"/>
                <w:sz w:val="18"/>
                <w:szCs w:val="18"/>
              </w:rPr>
              <w:t>2.59</w:t>
            </w:r>
          </w:p>
        </w:tc>
        <w:tc>
          <w:tcPr>
            <w:tcW w:w="675" w:type="dxa"/>
            <w:vAlign w:val="top"/>
          </w:tcPr>
          <w:p>
            <w:pPr>
              <w:spacing w:before="239" w:line="136" w:lineRule="exact"/>
              <w:ind w:left="7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6A1"/>
                <w:spacing w:val="-2"/>
                <w:position w:val="-2"/>
                <w:sz w:val="18"/>
                <w:szCs w:val="18"/>
              </w:rPr>
              <w:t>20.10</w:t>
            </w:r>
          </w:p>
        </w:tc>
        <w:tc>
          <w:tcPr>
            <w:tcW w:w="690" w:type="dxa"/>
            <w:vAlign w:val="top"/>
          </w:tcPr>
          <w:p>
            <w:pPr>
              <w:spacing w:before="239" w:line="136" w:lineRule="exact"/>
              <w:ind w:left="12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BA2"/>
                <w:spacing w:val="-4"/>
                <w:position w:val="-2"/>
                <w:sz w:val="18"/>
                <w:szCs w:val="18"/>
              </w:rPr>
              <w:t>19.20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249"/>
        </w:trPr>
        <w:tc>
          <w:tcPr>
            <w:tcW w:w="4395" w:type="dxa"/>
            <w:gridSpan w:val="5"/>
            <w:vAlign w:val="top"/>
          </w:tcPr>
          <w:p>
            <w:pPr>
              <w:spacing w:before="20" w:line="222" w:lineRule="auto"/>
              <w:ind w:left="2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9B7"/>
                <w:spacing w:val="9"/>
                <w:sz w:val="18"/>
                <w:szCs w:val="18"/>
              </w:rPr>
              <w:t>石油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</w:p>
        </w:tc>
        <w:tc>
          <w:tcPr>
            <w:tcW w:w="728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</w:p>
        </w:tc>
        <w:tc>
          <w:tcPr>
            <w:tcW w:w="707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</w:p>
        </w:tc>
        <w:tc>
          <w:tcPr>
            <w:tcW w:w="702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</w:p>
        </w:tc>
        <w:tc>
          <w:tcPr>
            <w:tcW w:w="625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</w:p>
        </w:tc>
        <w:tc>
          <w:tcPr>
            <w:tcW w:w="675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</w:p>
        </w:tc>
        <w:tc>
          <w:tcPr>
            <w:tcW w:w="690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19"/>
        </w:trPr>
        <w:tc>
          <w:tcPr>
            <w:tcW w:w="4395" w:type="dxa"/>
            <w:gridSpan w:val="5"/>
            <w:vAlign w:val="top"/>
          </w:tcPr>
          <w:p>
            <w:pPr>
              <w:spacing w:before="58" w:line="220" w:lineRule="auto"/>
              <w:ind w:left="3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DB8"/>
                <w:spacing w:val="-1"/>
                <w:sz w:val="18"/>
                <w:szCs w:val="18"/>
              </w:rPr>
              <w:t>亚香股份</w:t>
            </w:r>
            <w:r>
              <w:rPr>
                <w:rFonts w:ascii="SimSun" w:eastAsia="SimSun" w:hAnsi="SimSun" w:cs="SimSun"/>
                <w:color w:val="003DB8"/>
                <w:spacing w:val="20"/>
                <w:sz w:val="18"/>
                <w:szCs w:val="18"/>
              </w:rPr>
              <w:t xml:space="preserve">  </w:t>
            </w:r>
            <w:r>
              <w:rPr>
                <w:rFonts w:ascii="SimSun" w:eastAsia="SimSun" w:hAnsi="SimSun" w:cs="SimSun"/>
                <w:color w:val="003BA1"/>
                <w:spacing w:val="-1"/>
                <w:position w:val="-1"/>
                <w:sz w:val="18"/>
                <w:szCs w:val="18"/>
              </w:rPr>
              <w:t xml:space="preserve">301220.SZ </w:t>
            </w:r>
            <w:r>
              <w:rPr>
                <w:rFonts w:ascii="SimSun" w:eastAsia="SimSun" w:hAnsi="SimSun" w:cs="SimSun"/>
                <w:color w:val="00399B"/>
                <w:spacing w:val="-1"/>
                <w:position w:val="-1"/>
                <w:sz w:val="18"/>
                <w:szCs w:val="18"/>
              </w:rPr>
              <w:t>CNY</w:t>
            </w:r>
            <w:r>
              <w:rPr>
                <w:rFonts w:ascii="SimSun" w:eastAsia="SimSun" w:hAnsi="SimSun" w:cs="SimSun"/>
                <w:color w:val="00399B"/>
                <w:spacing w:val="18"/>
                <w:position w:val="-1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399C"/>
                <w:spacing w:val="-1"/>
                <w:position w:val="-1"/>
                <w:sz w:val="18"/>
                <w:szCs w:val="18"/>
              </w:rPr>
              <w:t xml:space="preserve">28.70  </w:t>
            </w:r>
            <w:r>
              <w:rPr>
                <w:rFonts w:ascii="SimSun" w:eastAsia="SimSun" w:hAnsi="SimSun" w:cs="SimSun"/>
                <w:color w:val="003DA7"/>
                <w:spacing w:val="-1"/>
                <w:sz w:val="18"/>
                <w:szCs w:val="18"/>
              </w:rPr>
              <w:t>2024/0101买入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104" w:line="183" w:lineRule="auto"/>
              <w:ind w:left="1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99C"/>
                <w:spacing w:val="-4"/>
                <w:sz w:val="18"/>
                <w:szCs w:val="18"/>
              </w:rPr>
              <w:t xml:space="preserve">38.35    </w:t>
            </w:r>
            <w:r>
              <w:rPr>
                <w:rFonts w:ascii="SimSun" w:eastAsia="SimSun" w:hAnsi="SimSun" w:cs="SimSun"/>
                <w:color w:val="0042A4"/>
                <w:spacing w:val="-4"/>
                <w:sz w:val="18"/>
                <w:szCs w:val="18"/>
              </w:rPr>
              <w:t>1.28</w:t>
            </w:r>
            <w:r>
              <w:rPr>
                <w:rFonts w:ascii="SimSun" w:eastAsia="SimSun" w:hAnsi="SimSun" w:cs="SimSun"/>
                <w:color w:val="0042A4"/>
                <w:spacing w:val="2"/>
                <w:sz w:val="18"/>
                <w:szCs w:val="18"/>
              </w:rPr>
              <w:t xml:space="preserve">    </w:t>
            </w:r>
            <w:r>
              <w:rPr>
                <w:rFonts w:ascii="SimSun" w:eastAsia="SimSun" w:hAnsi="SimSun" w:cs="SimSun"/>
                <w:color w:val="003A9F"/>
                <w:spacing w:val="-4"/>
                <w:sz w:val="18"/>
                <w:szCs w:val="18"/>
              </w:rPr>
              <w:t>1.92</w:t>
            </w:r>
          </w:p>
        </w:tc>
        <w:tc>
          <w:tcPr>
            <w:tcW w:w="728" w:type="dxa"/>
            <w:vAlign w:val="top"/>
          </w:tcPr>
          <w:p>
            <w:pPr>
              <w:spacing w:before="104" w:line="183" w:lineRule="auto"/>
              <w:ind w:left="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2A6"/>
                <w:spacing w:val="-2"/>
                <w:sz w:val="18"/>
                <w:szCs w:val="18"/>
              </w:rPr>
              <w:t>22.42</w:t>
            </w:r>
          </w:p>
        </w:tc>
        <w:tc>
          <w:tcPr>
            <w:tcW w:w="707" w:type="dxa"/>
            <w:vAlign w:val="top"/>
          </w:tcPr>
          <w:p>
            <w:pPr>
              <w:spacing w:before="103" w:line="184" w:lineRule="auto"/>
              <w:ind w:left="1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0A1"/>
                <w:spacing w:val="-4"/>
                <w:sz w:val="18"/>
                <w:szCs w:val="18"/>
              </w:rPr>
              <w:t>14.95</w:t>
            </w:r>
          </w:p>
        </w:tc>
        <w:tc>
          <w:tcPr>
            <w:tcW w:w="702" w:type="dxa"/>
            <w:vAlign w:val="top"/>
          </w:tcPr>
          <w:p>
            <w:pPr>
              <w:spacing w:before="103" w:line="184" w:lineRule="auto"/>
              <w:ind w:left="14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1A2"/>
                <w:spacing w:val="-4"/>
                <w:sz w:val="18"/>
                <w:szCs w:val="18"/>
              </w:rPr>
              <w:t>12.98</w:t>
            </w:r>
          </w:p>
        </w:tc>
        <w:tc>
          <w:tcPr>
            <w:tcW w:w="625" w:type="dxa"/>
            <w:vAlign w:val="top"/>
          </w:tcPr>
          <w:p>
            <w:pPr>
              <w:spacing w:before="104" w:line="183" w:lineRule="auto"/>
              <w:ind w:left="1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BA1"/>
                <w:spacing w:val="-2"/>
                <w:sz w:val="18"/>
                <w:szCs w:val="18"/>
              </w:rPr>
              <w:t>8.82</w:t>
            </w:r>
          </w:p>
        </w:tc>
        <w:tc>
          <w:tcPr>
            <w:tcW w:w="675" w:type="dxa"/>
            <w:vAlign w:val="top"/>
          </w:tcPr>
          <w:p>
            <w:pPr>
              <w:spacing w:before="104" w:line="183" w:lineRule="auto"/>
              <w:ind w:left="24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0A1"/>
                <w:spacing w:val="-2"/>
                <w:sz w:val="18"/>
                <w:szCs w:val="18"/>
              </w:rPr>
              <w:t>6.50</w:t>
            </w:r>
          </w:p>
        </w:tc>
        <w:tc>
          <w:tcPr>
            <w:tcW w:w="690" w:type="dxa"/>
            <w:vAlign w:val="top"/>
          </w:tcPr>
          <w:p>
            <w:pPr>
              <w:spacing w:before="104" w:line="183" w:lineRule="auto"/>
              <w:ind w:left="1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89A"/>
                <w:spacing w:val="-2"/>
                <w:sz w:val="18"/>
                <w:szCs w:val="18"/>
              </w:rPr>
              <w:t>9.20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49"/>
        </w:trPr>
        <w:tc>
          <w:tcPr>
            <w:tcW w:w="4395" w:type="dxa"/>
            <w:gridSpan w:val="5"/>
            <w:vAlign w:val="top"/>
          </w:tcPr>
          <w:p>
            <w:pPr>
              <w:spacing w:before="89" w:line="220" w:lineRule="auto"/>
              <w:ind w:left="19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CA4"/>
                <w:sz w:val="18"/>
                <w:szCs w:val="18"/>
              </w:rPr>
              <w:t xml:space="preserve">百龙创园605016.SH CNY    </w:t>
            </w:r>
            <w:r>
              <w:rPr>
                <w:rFonts w:ascii="SimSun" w:eastAsia="SimSun" w:hAnsi="SimSun" w:cs="SimSun"/>
                <w:color w:val="003A9E"/>
                <w:position w:val="-1"/>
                <w:sz w:val="18"/>
                <w:szCs w:val="18"/>
              </w:rPr>
              <w:t xml:space="preserve">26.40  </w:t>
            </w:r>
            <w:r>
              <w:rPr>
                <w:rFonts w:ascii="SimSun" w:eastAsia="SimSun" w:hAnsi="SimSun" w:cs="SimSun"/>
                <w:color w:val="003795"/>
                <w:sz w:val="18"/>
                <w:szCs w:val="18"/>
              </w:rPr>
              <w:t>2024/01</w:t>
            </w:r>
            <w:r>
              <w:rPr>
                <w:rFonts w:ascii="SimSun" w:eastAsia="SimSun" w:hAnsi="SimSun" w:cs="SimSun"/>
                <w:color w:val="003795"/>
                <w:spacing w:val="-1"/>
                <w:sz w:val="18"/>
                <w:szCs w:val="18"/>
              </w:rPr>
              <w:t>02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135" w:line="193" w:lineRule="auto"/>
              <w:ind w:left="1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A9D"/>
                <w:spacing w:val="-3"/>
                <w:sz w:val="18"/>
                <w:szCs w:val="18"/>
              </w:rPr>
              <w:t xml:space="preserve">33.53    </w:t>
            </w:r>
            <w:r>
              <w:rPr>
                <w:rFonts w:ascii="SimSun" w:eastAsia="SimSun" w:hAnsi="SimSun" w:cs="SimSun"/>
                <w:color w:val="003A9E"/>
                <w:spacing w:val="-3"/>
                <w:sz w:val="18"/>
                <w:szCs w:val="18"/>
              </w:rPr>
              <w:t xml:space="preserve">0.77    </w:t>
            </w:r>
            <w:r>
              <w:rPr>
                <w:rFonts w:ascii="SimSun" w:eastAsia="SimSun" w:hAnsi="SimSun" w:cs="SimSun"/>
                <w:color w:val="004AAB"/>
                <w:spacing w:val="-3"/>
                <w:sz w:val="18"/>
                <w:szCs w:val="18"/>
              </w:rPr>
              <w:t>1.34</w:t>
            </w:r>
          </w:p>
        </w:tc>
        <w:tc>
          <w:tcPr>
            <w:tcW w:w="728" w:type="dxa"/>
            <w:vAlign w:val="top"/>
          </w:tcPr>
          <w:p>
            <w:pPr>
              <w:spacing w:before="145" w:line="183" w:lineRule="auto"/>
              <w:ind w:left="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A9E"/>
                <w:spacing w:val="-2"/>
                <w:sz w:val="18"/>
                <w:szCs w:val="18"/>
              </w:rPr>
              <w:t>34.29</w:t>
            </w:r>
          </w:p>
        </w:tc>
        <w:tc>
          <w:tcPr>
            <w:tcW w:w="707" w:type="dxa"/>
            <w:vAlign w:val="top"/>
          </w:tcPr>
          <w:p>
            <w:pPr>
              <w:spacing w:before="154" w:line="184" w:lineRule="auto"/>
              <w:ind w:left="1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DA6"/>
                <w:spacing w:val="-4"/>
                <w:sz w:val="18"/>
                <w:szCs w:val="18"/>
              </w:rPr>
              <w:t>19.70</w:t>
            </w:r>
          </w:p>
        </w:tc>
        <w:tc>
          <w:tcPr>
            <w:tcW w:w="702" w:type="dxa"/>
            <w:vAlign w:val="top"/>
          </w:tcPr>
          <w:p>
            <w:pPr>
              <w:spacing w:before="115" w:line="183" w:lineRule="auto"/>
              <w:ind w:left="14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1A2"/>
                <w:spacing w:val="-2"/>
                <w:sz w:val="18"/>
                <w:szCs w:val="18"/>
              </w:rPr>
              <w:t>23.55</w:t>
            </w:r>
          </w:p>
        </w:tc>
        <w:tc>
          <w:tcPr>
            <w:tcW w:w="625" w:type="dxa"/>
            <w:vAlign w:val="top"/>
          </w:tcPr>
          <w:p>
            <w:pPr>
              <w:spacing w:before="154" w:line="184" w:lineRule="auto"/>
              <w:ind w:left="13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2A6"/>
                <w:spacing w:val="-4"/>
                <w:sz w:val="18"/>
                <w:szCs w:val="18"/>
              </w:rPr>
              <w:t>14.40</w:t>
            </w:r>
          </w:p>
        </w:tc>
        <w:tc>
          <w:tcPr>
            <w:tcW w:w="675" w:type="dxa"/>
            <w:vAlign w:val="top"/>
          </w:tcPr>
          <w:p>
            <w:pPr>
              <w:spacing w:before="154" w:line="184" w:lineRule="auto"/>
              <w:ind w:left="15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4AA"/>
                <w:spacing w:val="-4"/>
                <w:sz w:val="18"/>
                <w:szCs w:val="18"/>
              </w:rPr>
              <w:t>12.80</w:t>
            </w:r>
          </w:p>
        </w:tc>
        <w:tc>
          <w:tcPr>
            <w:tcW w:w="690" w:type="dxa"/>
            <w:vAlign w:val="top"/>
          </w:tcPr>
          <w:p>
            <w:pPr>
              <w:spacing w:before="154" w:line="184" w:lineRule="auto"/>
              <w:ind w:left="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EA8"/>
                <w:spacing w:val="-4"/>
                <w:sz w:val="18"/>
                <w:szCs w:val="18"/>
              </w:rPr>
              <w:t>18.10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30"/>
        </w:trPr>
        <w:tc>
          <w:tcPr>
            <w:tcW w:w="4395" w:type="dxa"/>
            <w:gridSpan w:val="5"/>
            <w:vAlign w:val="top"/>
          </w:tcPr>
          <w:p>
            <w:pPr>
              <w:spacing w:before="69" w:line="242" w:lineRule="auto"/>
              <w:ind w:left="11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position w:val="1"/>
                <w:sz w:val="18"/>
                <w:szCs w:val="18"/>
              </w:rPr>
              <w:t>泰和新材</w:t>
            </w:r>
            <w:r>
              <w:rPr>
                <w:rFonts w:ascii="SimSun" w:eastAsia="SimSun" w:hAnsi="SimSun" w:cs="SimSun"/>
                <w:color w:val="003DA6"/>
                <w:spacing w:val="-1"/>
                <w:position w:val="1"/>
                <w:sz w:val="18"/>
                <w:szCs w:val="18"/>
              </w:rPr>
              <w:t xml:space="preserve">002254.SZ </w:t>
            </w:r>
            <w:r>
              <w:rPr>
                <w:rFonts w:ascii="SimSun" w:eastAsia="SimSun" w:hAnsi="SimSun" w:cs="SimSun"/>
                <w:color w:val="00409F"/>
                <w:spacing w:val="-1"/>
                <w:position w:val="1"/>
                <w:sz w:val="18"/>
                <w:szCs w:val="18"/>
              </w:rPr>
              <w:t xml:space="preserve">CNY     </w:t>
            </w:r>
            <w:r>
              <w:rPr>
                <w:rFonts w:ascii="SimSun" w:eastAsia="SimSun" w:hAnsi="SimSun" w:cs="SimSun"/>
                <w:color w:val="0042A4"/>
                <w:spacing w:val="-1"/>
                <w:sz w:val="18"/>
                <w:szCs w:val="18"/>
              </w:rPr>
              <w:t>12.25</w:t>
            </w:r>
            <w:r>
              <w:rPr>
                <w:rFonts w:ascii="SimSun" w:eastAsia="SimSun" w:hAnsi="SimSun" w:cs="SimSun"/>
                <w:color w:val="0042A4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color w:val="003AAD"/>
                <w:spacing w:val="-1"/>
                <w:sz w:val="18"/>
                <w:szCs w:val="18"/>
              </w:rPr>
              <w:t>2023/12/31买入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106" w:line="188" w:lineRule="auto"/>
              <w:ind w:left="1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A9D"/>
                <w:spacing w:val="-2"/>
                <w:position w:val="-2"/>
                <w:sz w:val="18"/>
                <w:szCs w:val="18"/>
              </w:rPr>
              <w:t>20.62</w:t>
            </w:r>
            <w:r>
              <w:rPr>
                <w:rFonts w:ascii="SimSun" w:eastAsia="SimSun" w:hAnsi="SimSun" w:cs="SimSun"/>
                <w:color w:val="003A9D"/>
                <w:spacing w:val="26"/>
                <w:position w:val="-2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409F"/>
                <w:spacing w:val="-2"/>
                <w:sz w:val="18"/>
                <w:szCs w:val="18"/>
              </w:rPr>
              <w:t>0.45</w:t>
            </w:r>
            <w:r>
              <w:rPr>
                <w:rFonts w:ascii="SimSun" w:eastAsia="SimSun" w:hAnsi="SimSun" w:cs="SimSun"/>
                <w:color w:val="00409F"/>
                <w:spacing w:val="26"/>
                <w:w w:val="101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399C"/>
                <w:spacing w:val="-2"/>
                <w:position w:val="1"/>
                <w:sz w:val="18"/>
                <w:szCs w:val="18"/>
              </w:rPr>
              <w:t>0.82</w:t>
            </w:r>
          </w:p>
        </w:tc>
        <w:tc>
          <w:tcPr>
            <w:tcW w:w="728" w:type="dxa"/>
            <w:vAlign w:val="top"/>
          </w:tcPr>
          <w:p>
            <w:pPr>
              <w:spacing w:before="126" w:line="183" w:lineRule="auto"/>
              <w:ind w:left="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FAB"/>
                <w:spacing w:val="-2"/>
                <w:sz w:val="18"/>
                <w:szCs w:val="18"/>
              </w:rPr>
              <w:t>27.22</w:t>
            </w:r>
          </w:p>
        </w:tc>
        <w:tc>
          <w:tcPr>
            <w:tcW w:w="707" w:type="dxa"/>
            <w:vAlign w:val="top"/>
          </w:tcPr>
          <w:p>
            <w:pPr>
              <w:spacing w:before="105" w:line="184" w:lineRule="auto"/>
              <w:ind w:left="1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0A1"/>
                <w:spacing w:val="-4"/>
                <w:sz w:val="18"/>
                <w:szCs w:val="18"/>
              </w:rPr>
              <w:t>14.94</w:t>
            </w:r>
          </w:p>
        </w:tc>
        <w:tc>
          <w:tcPr>
            <w:tcW w:w="702" w:type="dxa"/>
            <w:vAlign w:val="top"/>
          </w:tcPr>
          <w:p>
            <w:pPr>
              <w:spacing w:before="106" w:line="183" w:lineRule="auto"/>
              <w:ind w:left="19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CA4"/>
                <w:spacing w:val="-3"/>
                <w:sz w:val="18"/>
                <w:szCs w:val="18"/>
              </w:rPr>
              <w:t>7.40</w:t>
            </w:r>
          </w:p>
        </w:tc>
        <w:tc>
          <w:tcPr>
            <w:tcW w:w="625" w:type="dxa"/>
            <w:vAlign w:val="top"/>
          </w:tcPr>
          <w:p>
            <w:pPr>
              <w:spacing w:before="106" w:line="183" w:lineRule="auto"/>
              <w:ind w:left="1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F9D"/>
                <w:spacing w:val="-2"/>
                <w:sz w:val="18"/>
                <w:szCs w:val="18"/>
              </w:rPr>
              <w:t>5.87</w:t>
            </w:r>
          </w:p>
        </w:tc>
        <w:tc>
          <w:tcPr>
            <w:tcW w:w="675" w:type="dxa"/>
            <w:vAlign w:val="top"/>
          </w:tcPr>
          <w:p>
            <w:pPr>
              <w:spacing w:before="126" w:line="183" w:lineRule="auto"/>
              <w:ind w:left="23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2A4"/>
                <w:spacing w:val="-2"/>
                <w:sz w:val="18"/>
                <w:szCs w:val="18"/>
              </w:rPr>
              <w:t>5.60</w:t>
            </w:r>
          </w:p>
        </w:tc>
        <w:tc>
          <w:tcPr>
            <w:tcW w:w="690" w:type="dxa"/>
            <w:vAlign w:val="top"/>
          </w:tcPr>
          <w:p>
            <w:pPr>
              <w:spacing w:before="126" w:line="183" w:lineRule="auto"/>
              <w:ind w:left="1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BA0"/>
                <w:spacing w:val="-2"/>
                <w:sz w:val="18"/>
                <w:szCs w:val="18"/>
              </w:rPr>
              <w:t>9.80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24"/>
        </w:trPr>
        <w:tc>
          <w:tcPr>
            <w:tcW w:w="4395" w:type="dxa"/>
            <w:gridSpan w:val="5"/>
            <w:vAlign w:val="top"/>
          </w:tcPr>
          <w:p>
            <w:pPr>
              <w:spacing w:before="60" w:line="219" w:lineRule="auto"/>
              <w:ind w:left="1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DA7"/>
                <w:position w:val="1"/>
                <w:sz w:val="18"/>
                <w:szCs w:val="18"/>
              </w:rPr>
              <w:t xml:space="preserve">龙佰集团  002601.SZ CNY   </w:t>
            </w:r>
            <w:r>
              <w:rPr>
                <w:rFonts w:ascii="SimSun" w:eastAsia="SimSun" w:hAnsi="SimSun" w:cs="SimSun"/>
                <w:color w:val="004AAB"/>
                <w:position w:val="-3"/>
                <w:sz w:val="18"/>
                <w:szCs w:val="18"/>
              </w:rPr>
              <w:t>18.</w:t>
            </w:r>
            <w:r>
              <w:rPr>
                <w:rFonts w:ascii="SimSun" w:eastAsia="SimSun" w:hAnsi="SimSun" w:cs="SimSun"/>
                <w:color w:val="004AAB"/>
                <w:spacing w:val="-1"/>
                <w:position w:val="-3"/>
                <w:sz w:val="18"/>
                <w:szCs w:val="18"/>
              </w:rPr>
              <w:t>81</w:t>
            </w:r>
            <w:r>
              <w:rPr>
                <w:rFonts w:ascii="SimSun" w:eastAsia="SimSun" w:hAnsi="SimSun" w:cs="SimSun"/>
                <w:color w:val="004AAB"/>
                <w:spacing w:val="50"/>
                <w:position w:val="-3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color w:val="00399B"/>
                <w:spacing w:val="-1"/>
                <w:sz w:val="18"/>
                <w:szCs w:val="18"/>
              </w:rPr>
              <w:t>2023/12/31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95" w:line="193" w:lineRule="auto"/>
              <w:ind w:left="1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2A4"/>
                <w:spacing w:val="-4"/>
                <w:position w:val="-1"/>
                <w:sz w:val="18"/>
                <w:szCs w:val="18"/>
              </w:rPr>
              <w:t xml:space="preserve">21.74    </w:t>
            </w:r>
            <w:r>
              <w:rPr>
                <w:rFonts w:ascii="SimSun" w:eastAsia="SimSun" w:hAnsi="SimSun" w:cs="SimSun"/>
                <w:color w:val="00399C"/>
                <w:spacing w:val="-4"/>
                <w:sz w:val="18"/>
                <w:szCs w:val="18"/>
              </w:rPr>
              <w:t>1.26</w:t>
            </w:r>
            <w:r>
              <w:rPr>
                <w:rFonts w:ascii="SimSun" w:eastAsia="SimSun" w:hAnsi="SimSun" w:cs="SimSun"/>
                <w:color w:val="00399C"/>
                <w:spacing w:val="2"/>
                <w:sz w:val="18"/>
                <w:szCs w:val="18"/>
              </w:rPr>
              <w:t xml:space="preserve">    </w:t>
            </w:r>
            <w:r>
              <w:rPr>
                <w:rFonts w:ascii="SimSun" w:eastAsia="SimSun" w:hAnsi="SimSun" w:cs="SimSun"/>
                <w:color w:val="0040A0"/>
                <w:spacing w:val="-4"/>
                <w:position w:val="2"/>
                <w:sz w:val="18"/>
                <w:szCs w:val="18"/>
              </w:rPr>
              <w:t>1.67</w:t>
            </w:r>
          </w:p>
        </w:tc>
        <w:tc>
          <w:tcPr>
            <w:tcW w:w="728" w:type="dxa"/>
            <w:vAlign w:val="top"/>
          </w:tcPr>
          <w:p>
            <w:pPr>
              <w:spacing w:before="115" w:line="184" w:lineRule="auto"/>
              <w:ind w:left="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1A3"/>
                <w:spacing w:val="-4"/>
                <w:sz w:val="18"/>
                <w:szCs w:val="18"/>
              </w:rPr>
              <w:t>14.93</w:t>
            </w:r>
          </w:p>
        </w:tc>
        <w:tc>
          <w:tcPr>
            <w:tcW w:w="707" w:type="dxa"/>
            <w:vAlign w:val="top"/>
          </w:tcPr>
          <w:p>
            <w:pPr>
              <w:spacing w:before="115" w:line="184" w:lineRule="auto"/>
              <w:ind w:left="1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BA1"/>
                <w:spacing w:val="-4"/>
                <w:sz w:val="18"/>
                <w:szCs w:val="18"/>
              </w:rPr>
              <w:t>11.26</w:t>
            </w:r>
          </w:p>
        </w:tc>
        <w:tc>
          <w:tcPr>
            <w:tcW w:w="702" w:type="dxa"/>
            <w:vAlign w:val="top"/>
          </w:tcPr>
          <w:p>
            <w:pPr>
              <w:spacing w:before="116" w:line="183" w:lineRule="auto"/>
              <w:ind w:left="19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BA1"/>
                <w:spacing w:val="-2"/>
                <w:sz w:val="18"/>
                <w:szCs w:val="18"/>
              </w:rPr>
              <w:t>4.78</w:t>
            </w:r>
          </w:p>
        </w:tc>
        <w:tc>
          <w:tcPr>
            <w:tcW w:w="625" w:type="dxa"/>
            <w:vAlign w:val="top"/>
          </w:tcPr>
          <w:p>
            <w:pPr>
              <w:spacing w:before="96" w:line="183" w:lineRule="auto"/>
              <w:ind w:left="1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99B"/>
                <w:spacing w:val="-2"/>
                <w:sz w:val="18"/>
                <w:szCs w:val="18"/>
              </w:rPr>
              <w:t>3.67</w:t>
            </w:r>
          </w:p>
        </w:tc>
        <w:tc>
          <w:tcPr>
            <w:tcW w:w="675" w:type="dxa"/>
            <w:vAlign w:val="top"/>
          </w:tcPr>
          <w:p>
            <w:pPr>
              <w:spacing w:before="115" w:line="184" w:lineRule="auto"/>
              <w:ind w:left="15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DA7"/>
                <w:spacing w:val="-4"/>
                <w:sz w:val="18"/>
                <w:szCs w:val="18"/>
              </w:rPr>
              <w:t>13.20</w:t>
            </w:r>
          </w:p>
        </w:tc>
        <w:tc>
          <w:tcPr>
            <w:tcW w:w="690" w:type="dxa"/>
            <w:vAlign w:val="top"/>
          </w:tcPr>
          <w:p>
            <w:pPr>
              <w:spacing w:before="115" w:line="184" w:lineRule="auto"/>
              <w:ind w:left="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CA4"/>
                <w:spacing w:val="-4"/>
                <w:sz w:val="18"/>
                <w:szCs w:val="18"/>
              </w:rPr>
              <w:t>16.30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30"/>
        </w:trPr>
        <w:tc>
          <w:tcPr>
            <w:tcW w:w="4395" w:type="dxa"/>
            <w:gridSpan w:val="5"/>
            <w:vAlign w:val="top"/>
          </w:tcPr>
          <w:p>
            <w:pPr>
              <w:spacing w:before="65" w:line="210" w:lineRule="auto"/>
              <w:ind w:left="9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 xml:space="preserve">硅宝科技300019.SZ </w:t>
            </w:r>
            <w:r>
              <w:rPr>
                <w:rFonts w:ascii="SimSun" w:eastAsia="SimSun" w:hAnsi="SimSun" w:cs="SimSun"/>
                <w:color w:val="00359F"/>
                <w:sz w:val="18"/>
                <w:szCs w:val="18"/>
              </w:rPr>
              <w:t xml:space="preserve">CNY     </w:t>
            </w:r>
            <w:r>
              <w:rPr>
                <w:rFonts w:ascii="SimSun" w:eastAsia="SimSun" w:hAnsi="SimSun" w:cs="SimSun"/>
                <w:color w:val="003CA4"/>
                <w:position w:val="-5"/>
                <w:sz w:val="18"/>
                <w:szCs w:val="18"/>
              </w:rPr>
              <w:t>14.03</w:t>
            </w:r>
            <w:r>
              <w:rPr>
                <w:rFonts w:ascii="SimSun" w:eastAsia="SimSun" w:hAnsi="SimSun" w:cs="SimSun"/>
                <w:color w:val="003CA4"/>
                <w:spacing w:val="50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color w:val="00399B"/>
                <w:sz w:val="18"/>
                <w:szCs w:val="18"/>
              </w:rPr>
              <w:t>2023/12/</w:t>
            </w:r>
            <w:r>
              <w:rPr>
                <w:rFonts w:ascii="SimSun" w:eastAsia="SimSun" w:hAnsi="SimSun" w:cs="SimSun"/>
                <w:color w:val="00399B"/>
                <w:spacing w:val="-1"/>
                <w:sz w:val="18"/>
                <w:szCs w:val="18"/>
              </w:rPr>
              <w:t>30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112" w:line="192" w:lineRule="auto"/>
              <w:ind w:left="1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0A0"/>
                <w:spacing w:val="-3"/>
                <w:position w:val="-1"/>
                <w:sz w:val="18"/>
                <w:szCs w:val="18"/>
              </w:rPr>
              <w:t>21.84</w:t>
            </w:r>
            <w:r>
              <w:rPr>
                <w:rFonts w:ascii="SimSun" w:eastAsia="SimSun" w:hAnsi="SimSun" w:cs="SimSun"/>
                <w:color w:val="0040A0"/>
                <w:spacing w:val="28"/>
                <w:position w:val="-1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3BA0"/>
                <w:spacing w:val="-3"/>
                <w:position w:val="1"/>
                <w:sz w:val="18"/>
                <w:szCs w:val="18"/>
              </w:rPr>
              <w:t>0.80</w:t>
            </w:r>
            <w:r>
              <w:rPr>
                <w:rFonts w:ascii="SimSun" w:eastAsia="SimSun" w:hAnsi="SimSun" w:cs="SimSun"/>
                <w:color w:val="003BA0"/>
                <w:spacing w:val="26"/>
                <w:position w:val="1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349D"/>
                <w:spacing w:val="-3"/>
                <w:sz w:val="18"/>
                <w:szCs w:val="18"/>
              </w:rPr>
              <w:t>1.09</w:t>
            </w:r>
          </w:p>
        </w:tc>
        <w:tc>
          <w:tcPr>
            <w:tcW w:w="728" w:type="dxa"/>
            <w:vAlign w:val="top"/>
          </w:tcPr>
          <w:p>
            <w:pPr>
              <w:spacing w:before="121" w:line="184" w:lineRule="auto"/>
              <w:ind w:left="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2A4"/>
                <w:spacing w:val="-4"/>
                <w:sz w:val="18"/>
                <w:szCs w:val="18"/>
              </w:rPr>
              <w:t>17.54</w:t>
            </w:r>
          </w:p>
        </w:tc>
        <w:tc>
          <w:tcPr>
            <w:tcW w:w="707" w:type="dxa"/>
            <w:vAlign w:val="top"/>
          </w:tcPr>
          <w:p>
            <w:pPr>
              <w:spacing w:before="131" w:line="184" w:lineRule="auto"/>
              <w:ind w:left="1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EA8"/>
                <w:spacing w:val="-4"/>
                <w:sz w:val="18"/>
                <w:szCs w:val="18"/>
              </w:rPr>
              <w:t>12.87</w:t>
            </w:r>
          </w:p>
        </w:tc>
        <w:tc>
          <w:tcPr>
            <w:tcW w:w="702" w:type="dxa"/>
            <w:vAlign w:val="top"/>
          </w:tcPr>
          <w:p>
            <w:pPr>
              <w:spacing w:before="101" w:line="184" w:lineRule="auto"/>
              <w:ind w:left="14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0A0"/>
                <w:spacing w:val="-4"/>
                <w:sz w:val="18"/>
                <w:szCs w:val="18"/>
              </w:rPr>
              <w:t>11.65</w:t>
            </w:r>
          </w:p>
        </w:tc>
        <w:tc>
          <w:tcPr>
            <w:tcW w:w="625" w:type="dxa"/>
            <w:vAlign w:val="top"/>
          </w:tcPr>
          <w:p>
            <w:pPr>
              <w:spacing w:before="102" w:line="183" w:lineRule="auto"/>
              <w:ind w:left="1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899"/>
                <w:spacing w:val="-2"/>
                <w:sz w:val="18"/>
                <w:szCs w:val="18"/>
              </w:rPr>
              <w:t>8.33</w:t>
            </w:r>
          </w:p>
        </w:tc>
        <w:tc>
          <w:tcPr>
            <w:tcW w:w="675" w:type="dxa"/>
            <w:vAlign w:val="top"/>
          </w:tcPr>
          <w:p>
            <w:pPr>
              <w:spacing w:before="131" w:line="184" w:lineRule="auto"/>
              <w:ind w:left="15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3A8"/>
                <w:spacing w:val="-4"/>
                <w:sz w:val="18"/>
                <w:szCs w:val="18"/>
              </w:rPr>
              <w:t>12.90</w:t>
            </w:r>
          </w:p>
        </w:tc>
        <w:tc>
          <w:tcPr>
            <w:tcW w:w="690" w:type="dxa"/>
            <w:vAlign w:val="top"/>
          </w:tcPr>
          <w:p>
            <w:pPr>
              <w:spacing w:before="131" w:line="184" w:lineRule="auto"/>
              <w:ind w:left="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EA9"/>
                <w:spacing w:val="-4"/>
                <w:sz w:val="18"/>
                <w:szCs w:val="18"/>
              </w:rPr>
              <w:t>15.00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31"/>
        </w:trPr>
        <w:tc>
          <w:tcPr>
            <w:tcW w:w="4395" w:type="dxa"/>
            <w:gridSpan w:val="5"/>
            <w:vAlign w:val="top"/>
          </w:tcPr>
          <w:p>
            <w:pPr>
              <w:spacing w:before="55" w:line="221" w:lineRule="auto"/>
              <w:ind w:left="9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position w:val="2"/>
                <w:sz w:val="18"/>
                <w:szCs w:val="18"/>
              </w:rPr>
              <w:t>东材科技601208</w:t>
            </w:r>
            <w:r>
              <w:rPr>
                <w:rFonts w:ascii="SimSun" w:eastAsia="SimSun" w:hAnsi="SimSun" w:cs="SimSun"/>
                <w:color w:val="003898"/>
                <w:position w:val="2"/>
                <w:sz w:val="18"/>
                <w:szCs w:val="18"/>
              </w:rPr>
              <w:t xml:space="preserve">.SH </w:t>
            </w:r>
            <w:r>
              <w:rPr>
                <w:rFonts w:ascii="SimSun" w:eastAsia="SimSun" w:hAnsi="SimSun" w:cs="SimSun"/>
                <w:color w:val="0041A3"/>
                <w:position w:val="2"/>
                <w:sz w:val="18"/>
                <w:szCs w:val="18"/>
              </w:rPr>
              <w:t xml:space="preserve">CNY  </w:t>
            </w:r>
            <w:r>
              <w:rPr>
                <w:rFonts w:ascii="SimSun" w:eastAsia="SimSun" w:hAnsi="SimSun" w:cs="SimSun"/>
                <w:color w:val="0041A3"/>
                <w:spacing w:val="-1"/>
                <w:position w:val="2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3BA1"/>
                <w:spacing w:val="-1"/>
                <w:position w:val="-3"/>
                <w:sz w:val="18"/>
                <w:szCs w:val="18"/>
              </w:rPr>
              <w:t>10.79</w:t>
            </w:r>
            <w:r>
              <w:rPr>
                <w:rFonts w:ascii="SimSun" w:eastAsia="SimSun" w:hAnsi="SimSun" w:cs="SimSun"/>
                <w:color w:val="003BA1"/>
                <w:spacing w:val="51"/>
                <w:position w:val="-3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color w:val="003AAD"/>
                <w:spacing w:val="-1"/>
                <w:position w:val="-1"/>
                <w:sz w:val="18"/>
                <w:szCs w:val="18"/>
              </w:rPr>
              <w:t>2023/12/27买入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122" w:line="193" w:lineRule="auto"/>
              <w:ind w:left="1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A9F"/>
                <w:spacing w:val="-3"/>
                <w:sz w:val="18"/>
                <w:szCs w:val="18"/>
              </w:rPr>
              <w:t xml:space="preserve">13.67    </w:t>
            </w:r>
            <w:r>
              <w:rPr>
                <w:rFonts w:ascii="SimSun" w:eastAsia="SimSun" w:hAnsi="SimSun" w:cs="SimSun"/>
                <w:color w:val="00399C"/>
                <w:spacing w:val="-3"/>
                <w:sz w:val="18"/>
                <w:szCs w:val="18"/>
              </w:rPr>
              <w:t xml:space="preserve">0.49    </w:t>
            </w:r>
            <w:r>
              <w:rPr>
                <w:rFonts w:ascii="SimSun" w:eastAsia="SimSun" w:hAnsi="SimSun" w:cs="SimSun"/>
                <w:color w:val="003A9E"/>
                <w:spacing w:val="-3"/>
                <w:position w:val="1"/>
                <w:sz w:val="18"/>
                <w:szCs w:val="18"/>
              </w:rPr>
              <w:t>0.68</w:t>
            </w:r>
          </w:p>
        </w:tc>
        <w:tc>
          <w:tcPr>
            <w:tcW w:w="728" w:type="dxa"/>
            <w:vAlign w:val="top"/>
          </w:tcPr>
          <w:p>
            <w:pPr>
              <w:spacing w:before="122" w:line="183" w:lineRule="auto"/>
              <w:ind w:left="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99B"/>
                <w:spacing w:val="-2"/>
                <w:sz w:val="18"/>
                <w:szCs w:val="18"/>
              </w:rPr>
              <w:t>22.02</w:t>
            </w:r>
          </w:p>
        </w:tc>
        <w:tc>
          <w:tcPr>
            <w:tcW w:w="707" w:type="dxa"/>
            <w:vAlign w:val="top"/>
          </w:tcPr>
          <w:p>
            <w:pPr>
              <w:spacing w:before="121" w:line="184" w:lineRule="auto"/>
              <w:ind w:left="1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1A2"/>
                <w:spacing w:val="-4"/>
                <w:sz w:val="18"/>
                <w:szCs w:val="18"/>
              </w:rPr>
              <w:t>15.87</w:t>
            </w:r>
          </w:p>
        </w:tc>
        <w:tc>
          <w:tcPr>
            <w:tcW w:w="702" w:type="dxa"/>
            <w:vAlign w:val="top"/>
          </w:tcPr>
          <w:p>
            <w:pPr>
              <w:spacing w:before="121" w:line="184" w:lineRule="auto"/>
              <w:ind w:left="14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1A3"/>
                <w:spacing w:val="-4"/>
                <w:sz w:val="18"/>
                <w:szCs w:val="18"/>
              </w:rPr>
              <w:t>11.65</w:t>
            </w:r>
          </w:p>
        </w:tc>
        <w:tc>
          <w:tcPr>
            <w:tcW w:w="625" w:type="dxa"/>
            <w:vAlign w:val="top"/>
          </w:tcPr>
          <w:p>
            <w:pPr>
              <w:spacing w:before="122" w:line="183" w:lineRule="auto"/>
              <w:ind w:left="1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59E"/>
                <w:spacing w:val="-2"/>
                <w:sz w:val="18"/>
                <w:szCs w:val="18"/>
              </w:rPr>
              <w:t>9.04</w:t>
            </w:r>
          </w:p>
        </w:tc>
        <w:tc>
          <w:tcPr>
            <w:tcW w:w="675" w:type="dxa"/>
            <w:vAlign w:val="top"/>
          </w:tcPr>
          <w:p>
            <w:pPr>
              <w:spacing w:before="122" w:line="183" w:lineRule="auto"/>
              <w:ind w:left="24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A9E"/>
                <w:spacing w:val="-2"/>
                <w:sz w:val="18"/>
                <w:szCs w:val="18"/>
              </w:rPr>
              <w:t>9.60</w:t>
            </w:r>
          </w:p>
        </w:tc>
        <w:tc>
          <w:tcPr>
            <w:tcW w:w="690" w:type="dxa"/>
            <w:vAlign w:val="top"/>
          </w:tcPr>
          <w:p>
            <w:pPr>
              <w:spacing w:before="121" w:line="184" w:lineRule="auto"/>
              <w:ind w:left="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CA4"/>
                <w:spacing w:val="-4"/>
                <w:sz w:val="18"/>
                <w:szCs w:val="18"/>
              </w:rPr>
              <w:t>11.90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18"/>
        </w:trPr>
        <w:tc>
          <w:tcPr>
            <w:tcW w:w="4395" w:type="dxa"/>
            <w:gridSpan w:val="5"/>
            <w:vAlign w:val="top"/>
          </w:tcPr>
          <w:p>
            <w:pPr>
              <w:spacing w:before="65" w:line="218" w:lineRule="auto"/>
              <w:ind w:left="9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0AE"/>
                <w:sz w:val="18"/>
                <w:szCs w:val="18"/>
              </w:rPr>
              <w:t>万润股份002643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.SZ </w:t>
            </w:r>
            <w:r>
              <w:rPr>
                <w:rFonts w:ascii="SimSun" w:eastAsia="SimSun" w:hAnsi="SimSun" w:cs="SimSun"/>
                <w:color w:val="00359F"/>
                <w:sz w:val="18"/>
                <w:szCs w:val="18"/>
              </w:rPr>
              <w:t xml:space="preserve">CNY     </w:t>
            </w:r>
            <w:r>
              <w:rPr>
                <w:rFonts w:ascii="SimSun" w:eastAsia="SimSun" w:hAnsi="SimSun" w:cs="SimSun"/>
                <w:color w:val="0040A1"/>
                <w:position w:val="-3"/>
                <w:sz w:val="18"/>
                <w:szCs w:val="18"/>
              </w:rPr>
              <w:t>15.19</w:t>
            </w:r>
            <w:r>
              <w:rPr>
                <w:rFonts w:ascii="SimSun" w:eastAsia="SimSun" w:hAnsi="SimSun" w:cs="SimSun"/>
                <w:color w:val="0040A1"/>
                <w:spacing w:val="50"/>
                <w:position w:val="-3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color w:val="00399B"/>
                <w:sz w:val="18"/>
                <w:szCs w:val="18"/>
              </w:rPr>
              <w:t>2023/12/</w:t>
            </w:r>
            <w:r>
              <w:rPr>
                <w:rFonts w:ascii="SimSun" w:eastAsia="SimSun" w:hAnsi="SimSun" w:cs="SimSun"/>
                <w:color w:val="00399B"/>
                <w:spacing w:val="-1"/>
                <w:sz w:val="18"/>
                <w:szCs w:val="18"/>
              </w:rPr>
              <w:t>14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110" w:line="192" w:lineRule="auto"/>
              <w:ind w:left="1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A9F"/>
                <w:spacing w:val="-3"/>
                <w:sz w:val="18"/>
                <w:szCs w:val="18"/>
              </w:rPr>
              <w:t>23.04</w:t>
            </w:r>
            <w:r>
              <w:rPr>
                <w:rFonts w:ascii="SimSun" w:eastAsia="SimSun" w:hAnsi="SimSun" w:cs="SimSun"/>
                <w:color w:val="003A9F"/>
                <w:spacing w:val="28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349B"/>
                <w:spacing w:val="-3"/>
                <w:sz w:val="18"/>
                <w:szCs w:val="18"/>
              </w:rPr>
              <w:t>0.89</w:t>
            </w:r>
            <w:r>
              <w:rPr>
                <w:rFonts w:ascii="SimSun" w:eastAsia="SimSun" w:hAnsi="SimSun" w:cs="SimSun"/>
                <w:color w:val="00349B"/>
                <w:spacing w:val="26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3CA3"/>
                <w:spacing w:val="-3"/>
                <w:position w:val="1"/>
                <w:sz w:val="18"/>
                <w:szCs w:val="18"/>
              </w:rPr>
              <w:t>1.01</w:t>
            </w:r>
          </w:p>
        </w:tc>
        <w:tc>
          <w:tcPr>
            <w:tcW w:w="728" w:type="dxa"/>
            <w:vAlign w:val="top"/>
          </w:tcPr>
          <w:p>
            <w:pPr>
              <w:spacing w:before="110" w:line="184" w:lineRule="auto"/>
              <w:ind w:left="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CA3"/>
                <w:spacing w:val="-4"/>
                <w:sz w:val="18"/>
                <w:szCs w:val="18"/>
              </w:rPr>
              <w:t>17.07</w:t>
            </w:r>
          </w:p>
        </w:tc>
        <w:tc>
          <w:tcPr>
            <w:tcW w:w="707" w:type="dxa"/>
            <w:vAlign w:val="top"/>
          </w:tcPr>
          <w:p>
            <w:pPr>
              <w:spacing w:before="110" w:line="184" w:lineRule="auto"/>
              <w:ind w:left="1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1A2"/>
                <w:spacing w:val="-4"/>
                <w:sz w:val="18"/>
                <w:szCs w:val="18"/>
              </w:rPr>
              <w:t>15.04</w:t>
            </w:r>
          </w:p>
        </w:tc>
        <w:tc>
          <w:tcPr>
            <w:tcW w:w="702" w:type="dxa"/>
            <w:vAlign w:val="top"/>
          </w:tcPr>
          <w:p>
            <w:pPr>
              <w:spacing w:before="110" w:line="184" w:lineRule="auto"/>
              <w:ind w:left="19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99C"/>
                <w:spacing w:val="-2"/>
                <w:sz w:val="18"/>
                <w:szCs w:val="18"/>
              </w:rPr>
              <w:t>9.16</w:t>
            </w:r>
          </w:p>
        </w:tc>
        <w:tc>
          <w:tcPr>
            <w:tcW w:w="625" w:type="dxa"/>
            <w:vAlign w:val="top"/>
          </w:tcPr>
          <w:p>
            <w:pPr>
              <w:spacing w:before="111" w:line="183" w:lineRule="auto"/>
              <w:ind w:left="1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99C"/>
                <w:spacing w:val="-2"/>
                <w:sz w:val="18"/>
                <w:szCs w:val="18"/>
              </w:rPr>
              <w:t>8.03</w:t>
            </w:r>
          </w:p>
        </w:tc>
        <w:tc>
          <w:tcPr>
            <w:tcW w:w="675" w:type="dxa"/>
            <w:vAlign w:val="top"/>
          </w:tcPr>
          <w:p>
            <w:pPr>
              <w:spacing w:before="110" w:line="184" w:lineRule="auto"/>
              <w:ind w:left="15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2A6"/>
                <w:spacing w:val="-4"/>
                <w:sz w:val="18"/>
                <w:szCs w:val="18"/>
              </w:rPr>
              <w:t>11.90</w:t>
            </w:r>
          </w:p>
        </w:tc>
        <w:tc>
          <w:tcPr>
            <w:tcW w:w="690" w:type="dxa"/>
            <w:vAlign w:val="top"/>
          </w:tcPr>
          <w:p>
            <w:pPr>
              <w:spacing w:before="110" w:line="184" w:lineRule="auto"/>
              <w:ind w:left="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CA4"/>
                <w:spacing w:val="-4"/>
                <w:sz w:val="18"/>
                <w:szCs w:val="18"/>
              </w:rPr>
              <w:t>11.90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11"/>
        </w:trPr>
        <w:tc>
          <w:tcPr>
            <w:tcW w:w="4395" w:type="dxa"/>
            <w:gridSpan w:val="5"/>
            <w:vAlign w:val="top"/>
          </w:tcPr>
          <w:p>
            <w:pPr>
              <w:spacing w:before="66" w:line="210" w:lineRule="auto"/>
              <w:ind w:left="9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麦加芯彩603062</w:t>
            </w:r>
            <w:r>
              <w:rPr>
                <w:rFonts w:ascii="SimSun" w:eastAsia="SimSun" w:hAnsi="SimSun" w:cs="SimSun"/>
                <w:color w:val="003F9D"/>
                <w:sz w:val="18"/>
                <w:szCs w:val="18"/>
              </w:rPr>
              <w:t xml:space="preserve">.SH </w:t>
            </w:r>
            <w:r>
              <w:rPr>
                <w:rFonts w:ascii="SimSun" w:eastAsia="SimSun" w:hAnsi="SimSun" w:cs="SimSun"/>
                <w:color w:val="002F9C"/>
                <w:sz w:val="18"/>
                <w:szCs w:val="18"/>
              </w:rPr>
              <w:t xml:space="preserve">CNY     </w:t>
            </w:r>
            <w:r>
              <w:rPr>
                <w:rFonts w:ascii="SimSun" w:eastAsia="SimSun" w:hAnsi="SimSun" w:cs="SimSun"/>
                <w:color w:val="00359F"/>
                <w:position w:val="-3"/>
                <w:sz w:val="18"/>
                <w:szCs w:val="18"/>
              </w:rPr>
              <w:t>47.76</w:t>
            </w:r>
            <w:r>
              <w:rPr>
                <w:rFonts w:ascii="SimSun" w:eastAsia="SimSun" w:hAnsi="SimSun" w:cs="SimSun"/>
                <w:color w:val="00359F"/>
                <w:spacing w:val="46"/>
                <w:position w:val="-3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color w:val="00399B"/>
                <w:sz w:val="18"/>
                <w:szCs w:val="18"/>
              </w:rPr>
              <w:t>2023/11/30</w:t>
            </w:r>
            <w:r>
              <w:rPr>
                <w:rFonts w:ascii="SimSun" w:eastAsia="SimSun" w:hAnsi="SimSun" w:cs="SimSun"/>
                <w:sz w:val="18"/>
                <w:szCs w:val="18"/>
              </w:rPr>
              <w:t>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113" w:line="172" w:lineRule="auto"/>
              <w:ind w:left="1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CA3"/>
                <w:spacing w:val="-3"/>
                <w:position w:val="-1"/>
                <w:sz w:val="18"/>
                <w:szCs w:val="18"/>
              </w:rPr>
              <w:t>90.97</w:t>
            </w:r>
            <w:r>
              <w:rPr>
                <w:rFonts w:ascii="SimSun" w:eastAsia="SimSun" w:hAnsi="SimSun" w:cs="SimSun"/>
                <w:color w:val="003CA3"/>
                <w:spacing w:val="31"/>
                <w:position w:val="-1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3EA9"/>
                <w:spacing w:val="-3"/>
                <w:position w:val="1"/>
                <w:sz w:val="18"/>
                <w:szCs w:val="18"/>
              </w:rPr>
              <w:t xml:space="preserve">1.83    </w:t>
            </w:r>
            <w:r>
              <w:rPr>
                <w:rFonts w:ascii="SimSun" w:eastAsia="SimSun" w:hAnsi="SimSun" w:cs="SimSun"/>
                <w:color w:val="0044A9"/>
                <w:spacing w:val="-3"/>
                <w:sz w:val="18"/>
                <w:szCs w:val="18"/>
              </w:rPr>
              <w:t>2.60</w:t>
            </w:r>
          </w:p>
        </w:tc>
        <w:tc>
          <w:tcPr>
            <w:tcW w:w="728" w:type="dxa"/>
            <w:vAlign w:val="top"/>
          </w:tcPr>
          <w:p>
            <w:pPr>
              <w:spacing w:before="123" w:line="182" w:lineRule="auto"/>
              <w:ind w:left="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2E98"/>
                <w:spacing w:val="-2"/>
                <w:sz w:val="18"/>
                <w:szCs w:val="18"/>
              </w:rPr>
              <w:t>26.10</w:t>
            </w:r>
          </w:p>
        </w:tc>
        <w:tc>
          <w:tcPr>
            <w:tcW w:w="707" w:type="dxa"/>
            <w:vAlign w:val="top"/>
          </w:tcPr>
          <w:p>
            <w:pPr>
              <w:spacing w:before="133" w:line="172" w:lineRule="auto"/>
              <w:ind w:left="1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59F"/>
                <w:spacing w:val="-4"/>
                <w:sz w:val="18"/>
                <w:szCs w:val="18"/>
              </w:rPr>
              <w:t>18.37</w:t>
            </w:r>
          </w:p>
        </w:tc>
        <w:tc>
          <w:tcPr>
            <w:tcW w:w="702" w:type="dxa"/>
            <w:vAlign w:val="top"/>
          </w:tcPr>
          <w:p>
            <w:pPr>
              <w:spacing w:before="133" w:line="172" w:lineRule="auto"/>
              <w:ind w:left="14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BA2"/>
                <w:spacing w:val="-4"/>
                <w:sz w:val="18"/>
                <w:szCs w:val="18"/>
              </w:rPr>
              <w:t>13.32</w:t>
            </w:r>
          </w:p>
        </w:tc>
        <w:tc>
          <w:tcPr>
            <w:tcW w:w="625" w:type="dxa"/>
            <w:vAlign w:val="top"/>
          </w:tcPr>
          <w:p>
            <w:pPr>
              <w:spacing w:before="103" w:line="183" w:lineRule="auto"/>
              <w:ind w:left="1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797"/>
                <w:spacing w:val="-2"/>
                <w:sz w:val="18"/>
                <w:szCs w:val="18"/>
              </w:rPr>
              <w:t>9.63</w:t>
            </w:r>
          </w:p>
        </w:tc>
        <w:tc>
          <w:tcPr>
            <w:tcW w:w="675" w:type="dxa"/>
            <w:vAlign w:val="top"/>
          </w:tcPr>
          <w:p>
            <w:pPr>
              <w:spacing w:before="123" w:line="182" w:lineRule="auto"/>
              <w:ind w:left="24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DA7"/>
                <w:spacing w:val="-2"/>
                <w:sz w:val="18"/>
                <w:szCs w:val="18"/>
              </w:rPr>
              <w:t>8.70</w:t>
            </w:r>
          </w:p>
        </w:tc>
        <w:tc>
          <w:tcPr>
            <w:tcW w:w="690" w:type="dxa"/>
            <w:vAlign w:val="top"/>
          </w:tcPr>
          <w:p>
            <w:pPr>
              <w:spacing w:before="133" w:line="172" w:lineRule="auto"/>
              <w:ind w:left="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EAA"/>
                <w:spacing w:val="-4"/>
                <w:sz w:val="18"/>
                <w:szCs w:val="18"/>
              </w:rPr>
              <w:t>11.00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14"/>
        </w:trPr>
        <w:tc>
          <w:tcPr>
            <w:tcW w:w="4395" w:type="dxa"/>
            <w:gridSpan w:val="5"/>
            <w:vAlign w:val="top"/>
          </w:tcPr>
          <w:p>
            <w:pPr>
              <w:spacing w:before="46" w:line="258" w:lineRule="exact"/>
              <w:ind w:left="19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AAE"/>
                <w:position w:val="2"/>
                <w:sz w:val="18"/>
                <w:szCs w:val="18"/>
              </w:rPr>
              <w:t>万华化学600309</w:t>
            </w:r>
            <w:r>
              <w:rPr>
                <w:rFonts w:ascii="SimSun" w:eastAsia="SimSun" w:hAnsi="SimSun" w:cs="SimSun"/>
                <w:position w:val="2"/>
                <w:sz w:val="18"/>
                <w:szCs w:val="18"/>
              </w:rPr>
              <w:t>.</w:t>
            </w:r>
            <w:r>
              <w:rPr>
                <w:rFonts w:ascii="SimSun" w:eastAsia="SimSun" w:hAnsi="SimSun" w:cs="SimSun"/>
                <w:color w:val="00439B"/>
                <w:position w:val="2"/>
                <w:sz w:val="18"/>
                <w:szCs w:val="18"/>
              </w:rPr>
              <w:t xml:space="preserve">SH </w:t>
            </w:r>
            <w:r>
              <w:rPr>
                <w:rFonts w:ascii="SimSun" w:eastAsia="SimSun" w:hAnsi="SimSun" w:cs="SimSun"/>
                <w:color w:val="00399B"/>
                <w:position w:val="2"/>
                <w:sz w:val="18"/>
                <w:szCs w:val="18"/>
              </w:rPr>
              <w:t xml:space="preserve">CNY    </w:t>
            </w:r>
            <w:r>
              <w:rPr>
                <w:rFonts w:ascii="SimSun" w:eastAsia="SimSun" w:hAnsi="SimSun" w:cs="SimSun"/>
                <w:color w:val="003899"/>
                <w:sz w:val="18"/>
                <w:szCs w:val="18"/>
              </w:rPr>
              <w:t>78.73</w:t>
            </w:r>
            <w:r>
              <w:rPr>
                <w:rFonts w:ascii="SimSun" w:eastAsia="SimSun" w:hAnsi="SimSun" w:cs="SimSun"/>
                <w:color w:val="003899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color w:val="003EA8"/>
                <w:sz w:val="18"/>
                <w:szCs w:val="18"/>
              </w:rPr>
              <w:t>2023/11</w:t>
            </w:r>
            <w:r>
              <w:rPr>
                <w:rFonts w:ascii="SimSun" w:eastAsia="SimSun" w:hAnsi="SimSun" w:cs="SimSun"/>
                <w:color w:val="003EA8"/>
                <w:spacing w:val="-1"/>
                <w:sz w:val="18"/>
                <w:szCs w:val="18"/>
              </w:rPr>
              <w:t xml:space="preserve">/9 </w:t>
            </w:r>
            <w:r>
              <w:rPr>
                <w:rFonts w:ascii="SimSun" w:eastAsia="SimSun" w:hAnsi="SimSun" w:cs="SimSun"/>
                <w:color w:val="003FBD"/>
                <w:spacing w:val="-1"/>
                <w:sz w:val="18"/>
                <w:szCs w:val="18"/>
              </w:rPr>
              <w:t>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91" w:line="187" w:lineRule="auto"/>
              <w:ind w:left="9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2A6"/>
                <w:spacing w:val="-3"/>
                <w:position w:val="-2"/>
                <w:sz w:val="18"/>
                <w:szCs w:val="18"/>
              </w:rPr>
              <w:t>117.44</w:t>
            </w:r>
            <w:r>
              <w:rPr>
                <w:rFonts w:ascii="SimSun" w:eastAsia="SimSun" w:hAnsi="SimSun" w:cs="SimSun"/>
                <w:color w:val="0042A6"/>
                <w:spacing w:val="14"/>
                <w:position w:val="-2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3E9B"/>
                <w:spacing w:val="-3"/>
                <w:position w:val="1"/>
                <w:sz w:val="18"/>
                <w:szCs w:val="18"/>
              </w:rPr>
              <w:t xml:space="preserve">5.44    </w:t>
            </w:r>
            <w:r>
              <w:rPr>
                <w:rFonts w:ascii="SimSun" w:eastAsia="SimSun" w:hAnsi="SimSun" w:cs="SimSun"/>
                <w:color w:val="003CA4"/>
                <w:spacing w:val="-3"/>
                <w:position w:val="1"/>
                <w:sz w:val="18"/>
                <w:szCs w:val="18"/>
              </w:rPr>
              <w:t>7.17</w:t>
            </w:r>
          </w:p>
        </w:tc>
        <w:tc>
          <w:tcPr>
            <w:tcW w:w="728" w:type="dxa"/>
            <w:vAlign w:val="top"/>
          </w:tcPr>
          <w:p>
            <w:pPr>
              <w:spacing w:before="91" w:line="184" w:lineRule="auto"/>
              <w:ind w:left="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2A5"/>
                <w:spacing w:val="-4"/>
                <w:sz w:val="18"/>
                <w:szCs w:val="18"/>
              </w:rPr>
              <w:t>14.47</w:t>
            </w:r>
          </w:p>
        </w:tc>
        <w:tc>
          <w:tcPr>
            <w:tcW w:w="707" w:type="dxa"/>
            <w:vAlign w:val="top"/>
          </w:tcPr>
          <w:p>
            <w:pPr>
              <w:spacing w:before="91" w:line="184" w:lineRule="auto"/>
              <w:ind w:left="1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CA3"/>
                <w:spacing w:val="-4"/>
                <w:sz w:val="18"/>
                <w:szCs w:val="18"/>
              </w:rPr>
              <w:t>10.98</w:t>
            </w:r>
          </w:p>
        </w:tc>
        <w:tc>
          <w:tcPr>
            <w:tcW w:w="702" w:type="dxa"/>
            <w:vAlign w:val="top"/>
          </w:tcPr>
          <w:p>
            <w:pPr>
              <w:spacing w:before="92" w:line="183" w:lineRule="auto"/>
              <w:ind w:left="19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A9F"/>
                <w:spacing w:val="-2"/>
                <w:sz w:val="18"/>
                <w:szCs w:val="18"/>
              </w:rPr>
              <w:t>6.25</w:t>
            </w:r>
          </w:p>
        </w:tc>
        <w:tc>
          <w:tcPr>
            <w:tcW w:w="625" w:type="dxa"/>
            <w:vAlign w:val="top"/>
          </w:tcPr>
          <w:p>
            <w:pPr>
              <w:spacing w:before="92" w:line="183" w:lineRule="auto"/>
              <w:ind w:left="1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2A5"/>
                <w:spacing w:val="-2"/>
                <w:sz w:val="18"/>
                <w:szCs w:val="18"/>
              </w:rPr>
              <w:t>4.98</w:t>
            </w:r>
          </w:p>
        </w:tc>
        <w:tc>
          <w:tcPr>
            <w:tcW w:w="675" w:type="dxa"/>
            <w:vAlign w:val="top"/>
          </w:tcPr>
          <w:p>
            <w:pPr>
              <w:spacing w:before="91" w:line="184" w:lineRule="auto"/>
              <w:ind w:left="15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6A2"/>
                <w:spacing w:val="-4"/>
                <w:sz w:val="18"/>
                <w:szCs w:val="18"/>
              </w:rPr>
              <w:t>19.20</w:t>
            </w:r>
          </w:p>
        </w:tc>
        <w:tc>
          <w:tcPr>
            <w:tcW w:w="690" w:type="dxa"/>
            <w:vAlign w:val="top"/>
          </w:tcPr>
          <w:p>
            <w:pPr>
              <w:spacing w:before="91" w:line="184" w:lineRule="auto"/>
              <w:ind w:left="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4A9"/>
                <w:spacing w:val="-2"/>
                <w:sz w:val="18"/>
                <w:szCs w:val="18"/>
              </w:rPr>
              <w:t>21.70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15"/>
        </w:trPr>
        <w:tc>
          <w:tcPr>
            <w:tcW w:w="4395" w:type="dxa"/>
            <w:gridSpan w:val="5"/>
            <w:vAlign w:val="top"/>
          </w:tcPr>
          <w:p>
            <w:pPr>
              <w:spacing w:before="61" w:line="225" w:lineRule="auto"/>
              <w:ind w:left="1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凯赛生物68</w:t>
            </w:r>
            <w:r>
              <w:rPr>
                <w:rFonts w:ascii="SimSun" w:eastAsia="SimSun" w:hAnsi="SimSun" w:cs="SimSun"/>
                <w:color w:val="003899"/>
                <w:sz w:val="18"/>
                <w:szCs w:val="18"/>
              </w:rPr>
              <w:t>8065.SH</w:t>
            </w:r>
            <w:r>
              <w:rPr>
                <w:rFonts w:ascii="SimSun" w:eastAsia="SimSun" w:hAnsi="SimSun" w:cs="SimSun"/>
                <w:color w:val="003899"/>
                <w:spacing w:val="40"/>
                <w:sz w:val="18"/>
                <w:szCs w:val="18"/>
              </w:rPr>
              <w:t xml:space="preserve">  </w:t>
            </w:r>
            <w:r>
              <w:rPr>
                <w:rFonts w:ascii="SimSun" w:eastAsia="SimSun" w:hAnsi="SimSun" w:cs="SimSun"/>
                <w:color w:val="00349D"/>
                <w:position w:val="-1"/>
                <w:sz w:val="18"/>
                <w:szCs w:val="18"/>
              </w:rPr>
              <w:t xml:space="preserve">CNY   </w:t>
            </w:r>
            <w:r>
              <w:rPr>
                <w:rFonts w:ascii="SimSun" w:eastAsia="SimSun" w:hAnsi="SimSun" w:cs="SimSun"/>
                <w:color w:val="0040A1"/>
                <w:position w:val="-1"/>
                <w:sz w:val="18"/>
                <w:szCs w:val="18"/>
              </w:rPr>
              <w:t>47.44</w:t>
            </w:r>
            <w:r>
              <w:rPr>
                <w:rFonts w:ascii="SimSun" w:eastAsia="SimSun" w:hAnsi="SimSun" w:cs="SimSun"/>
                <w:color w:val="0040A1"/>
                <w:spacing w:val="37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color w:val="003EAA"/>
                <w:sz w:val="18"/>
                <w:szCs w:val="18"/>
              </w:rPr>
              <w:t>2023/11/9</w:t>
            </w:r>
            <w:r>
              <w:rPr>
                <w:rFonts w:ascii="SimSun" w:eastAsia="SimSun" w:hAnsi="SimSun" w:cs="SimSun"/>
                <w:color w:val="003EAA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color w:val="003FBD"/>
                <w:sz w:val="18"/>
                <w:szCs w:val="18"/>
              </w:rPr>
              <w:t>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107" w:line="184" w:lineRule="auto"/>
              <w:ind w:left="1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A9D"/>
                <w:spacing w:val="-3"/>
                <w:sz w:val="18"/>
                <w:szCs w:val="18"/>
              </w:rPr>
              <w:t>68.98</w:t>
            </w:r>
            <w:r>
              <w:rPr>
                <w:rFonts w:ascii="SimSun" w:eastAsia="SimSun" w:hAnsi="SimSun" w:cs="SimSun"/>
                <w:color w:val="003A9D"/>
                <w:spacing w:val="28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3A9F"/>
                <w:spacing w:val="-3"/>
                <w:sz w:val="18"/>
                <w:szCs w:val="18"/>
              </w:rPr>
              <w:t>0.84</w:t>
            </w:r>
            <w:r>
              <w:rPr>
                <w:rFonts w:ascii="SimSun" w:eastAsia="SimSun" w:hAnsi="SimSun" w:cs="SimSun"/>
                <w:color w:val="003A9F"/>
                <w:spacing w:val="26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42A6"/>
                <w:spacing w:val="-3"/>
                <w:sz w:val="18"/>
                <w:szCs w:val="18"/>
              </w:rPr>
              <w:t>1.14</w:t>
            </w:r>
          </w:p>
        </w:tc>
        <w:tc>
          <w:tcPr>
            <w:tcW w:w="728" w:type="dxa"/>
            <w:vAlign w:val="top"/>
          </w:tcPr>
          <w:p>
            <w:pPr>
              <w:spacing w:before="108" w:line="183" w:lineRule="auto"/>
              <w:ind w:left="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99C"/>
                <w:spacing w:val="-2"/>
                <w:sz w:val="18"/>
                <w:szCs w:val="18"/>
              </w:rPr>
              <w:t>56.48</w:t>
            </w:r>
          </w:p>
        </w:tc>
        <w:tc>
          <w:tcPr>
            <w:tcW w:w="707" w:type="dxa"/>
            <w:vAlign w:val="top"/>
          </w:tcPr>
          <w:p>
            <w:pPr>
              <w:spacing w:before="107" w:line="184" w:lineRule="auto"/>
              <w:ind w:left="1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1A2"/>
                <w:spacing w:val="-2"/>
                <w:sz w:val="18"/>
                <w:szCs w:val="18"/>
              </w:rPr>
              <w:t>41.61</w:t>
            </w:r>
          </w:p>
        </w:tc>
        <w:tc>
          <w:tcPr>
            <w:tcW w:w="702" w:type="dxa"/>
            <w:vAlign w:val="top"/>
          </w:tcPr>
          <w:p>
            <w:pPr>
              <w:spacing w:before="107" w:line="184" w:lineRule="auto"/>
              <w:ind w:left="14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9A8"/>
                <w:spacing w:val="-2"/>
                <w:sz w:val="18"/>
                <w:szCs w:val="18"/>
              </w:rPr>
              <w:t>22.71</w:t>
            </w:r>
          </w:p>
        </w:tc>
        <w:tc>
          <w:tcPr>
            <w:tcW w:w="625" w:type="dxa"/>
            <w:vAlign w:val="top"/>
          </w:tcPr>
          <w:p>
            <w:pPr>
              <w:spacing w:before="107" w:line="184" w:lineRule="auto"/>
              <w:ind w:left="13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CA4"/>
                <w:spacing w:val="-4"/>
                <w:sz w:val="18"/>
                <w:szCs w:val="18"/>
              </w:rPr>
              <w:t>17.00</w:t>
            </w:r>
          </w:p>
        </w:tc>
        <w:tc>
          <w:tcPr>
            <w:tcW w:w="675" w:type="dxa"/>
            <w:vAlign w:val="top"/>
          </w:tcPr>
          <w:p>
            <w:pPr>
              <w:spacing w:before="108" w:line="183" w:lineRule="auto"/>
              <w:ind w:left="24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CA4"/>
                <w:spacing w:val="-2"/>
                <w:sz w:val="18"/>
                <w:szCs w:val="18"/>
              </w:rPr>
              <w:t>4.20</w:t>
            </w:r>
          </w:p>
        </w:tc>
        <w:tc>
          <w:tcPr>
            <w:tcW w:w="690" w:type="dxa"/>
            <w:vAlign w:val="top"/>
          </w:tcPr>
          <w:p>
            <w:pPr>
              <w:spacing w:before="108" w:line="183" w:lineRule="auto"/>
              <w:ind w:left="1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CA4"/>
                <w:spacing w:val="-2"/>
                <w:sz w:val="18"/>
                <w:szCs w:val="18"/>
              </w:rPr>
              <w:t>5.50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24"/>
        </w:trPr>
        <w:tc>
          <w:tcPr>
            <w:tcW w:w="4395" w:type="dxa"/>
            <w:gridSpan w:val="5"/>
            <w:vAlign w:val="top"/>
          </w:tcPr>
          <w:p>
            <w:pPr>
              <w:spacing w:before="88" w:line="224" w:lineRule="auto"/>
              <w:ind w:left="11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DC0"/>
                <w:sz w:val="18"/>
                <w:szCs w:val="18"/>
              </w:rPr>
              <w:t xml:space="preserve">聚合顺  </w:t>
            </w:r>
            <w:r>
              <w:rPr>
                <w:rFonts w:ascii="SimSun" w:eastAsia="SimSun" w:hAnsi="SimSun" w:cs="SimSun"/>
                <w:color w:val="003A9E"/>
                <w:sz w:val="18"/>
                <w:szCs w:val="18"/>
              </w:rPr>
              <w:t>605166.SH</w:t>
            </w:r>
            <w:r>
              <w:rPr>
                <w:rFonts w:ascii="SimSun" w:eastAsia="SimSun" w:hAnsi="SimSun" w:cs="SimSun"/>
                <w:color w:val="003A9E"/>
                <w:spacing w:val="22"/>
                <w:sz w:val="18"/>
                <w:szCs w:val="18"/>
              </w:rPr>
              <w:t xml:space="preserve">  </w:t>
            </w:r>
            <w:r>
              <w:rPr>
                <w:rFonts w:ascii="SimSun" w:eastAsia="SimSun" w:hAnsi="SimSun" w:cs="SimSun"/>
                <w:color w:val="00349D"/>
                <w:sz w:val="18"/>
                <w:szCs w:val="18"/>
              </w:rPr>
              <w:t>CNY</w:t>
            </w:r>
            <w:r>
              <w:rPr>
                <w:rFonts w:ascii="SimSun" w:eastAsia="SimSun" w:hAnsi="SimSun" w:cs="SimSun"/>
                <w:color w:val="00349D"/>
                <w:spacing w:val="6"/>
                <w:sz w:val="18"/>
                <w:szCs w:val="18"/>
              </w:rPr>
              <w:t xml:space="preserve">    </w:t>
            </w:r>
            <w:r>
              <w:rPr>
                <w:rFonts w:ascii="SimSun" w:eastAsia="SimSun" w:hAnsi="SimSun" w:cs="SimSun"/>
                <w:color w:val="00399B"/>
                <w:sz w:val="18"/>
                <w:szCs w:val="18"/>
              </w:rPr>
              <w:t>8.49</w:t>
            </w:r>
            <w:r>
              <w:rPr>
                <w:rFonts w:ascii="SimSun" w:eastAsia="SimSun" w:hAnsi="SimSun" w:cs="SimSun"/>
                <w:color w:val="00399B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color w:val="00349B"/>
                <w:sz w:val="18"/>
                <w:szCs w:val="18"/>
              </w:rPr>
              <w:t>2023/11/6</w:t>
            </w:r>
            <w:r>
              <w:rPr>
                <w:rFonts w:ascii="SimSun" w:eastAsia="SimSun" w:hAnsi="SimSun" w:cs="SimSun"/>
                <w:color w:val="00349B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color w:val="0046BE"/>
                <w:sz w:val="18"/>
                <w:szCs w:val="18"/>
              </w:rPr>
              <w:t>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133" w:line="183" w:lineRule="auto"/>
              <w:ind w:left="1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99C"/>
                <w:spacing w:val="-3"/>
                <w:sz w:val="18"/>
                <w:szCs w:val="18"/>
              </w:rPr>
              <w:t xml:space="preserve">13.78    </w:t>
            </w:r>
            <w:r>
              <w:rPr>
                <w:rFonts w:ascii="SimSun" w:eastAsia="SimSun" w:hAnsi="SimSun" w:cs="SimSun"/>
                <w:color w:val="003A9F"/>
                <w:spacing w:val="-3"/>
                <w:sz w:val="18"/>
                <w:szCs w:val="18"/>
              </w:rPr>
              <w:t xml:space="preserve">0.64    </w:t>
            </w:r>
            <w:r>
              <w:rPr>
                <w:rFonts w:ascii="SimSun" w:eastAsia="SimSun" w:hAnsi="SimSun" w:cs="SimSun"/>
                <w:color w:val="003A9E"/>
                <w:spacing w:val="-3"/>
                <w:sz w:val="18"/>
                <w:szCs w:val="18"/>
              </w:rPr>
              <w:t>0.92</w:t>
            </w:r>
          </w:p>
        </w:tc>
        <w:tc>
          <w:tcPr>
            <w:tcW w:w="728" w:type="dxa"/>
            <w:vAlign w:val="top"/>
          </w:tcPr>
          <w:p>
            <w:pPr>
              <w:spacing w:before="132" w:line="184" w:lineRule="auto"/>
              <w:ind w:left="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BA0"/>
                <w:spacing w:val="-4"/>
                <w:sz w:val="18"/>
                <w:szCs w:val="18"/>
              </w:rPr>
              <w:t>13.27</w:t>
            </w:r>
          </w:p>
        </w:tc>
        <w:tc>
          <w:tcPr>
            <w:tcW w:w="707" w:type="dxa"/>
            <w:vAlign w:val="top"/>
          </w:tcPr>
          <w:p>
            <w:pPr>
              <w:spacing w:before="133" w:line="183" w:lineRule="auto"/>
              <w:ind w:left="1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99C"/>
                <w:spacing w:val="-2"/>
                <w:sz w:val="18"/>
                <w:szCs w:val="18"/>
              </w:rPr>
              <w:t>9.23</w:t>
            </w:r>
          </w:p>
        </w:tc>
        <w:tc>
          <w:tcPr>
            <w:tcW w:w="702" w:type="dxa"/>
            <w:vAlign w:val="top"/>
          </w:tcPr>
          <w:p>
            <w:pPr>
              <w:spacing w:before="133" w:line="183" w:lineRule="auto"/>
              <w:ind w:left="19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0A1"/>
                <w:spacing w:val="-2"/>
                <w:sz w:val="18"/>
                <w:szCs w:val="18"/>
              </w:rPr>
              <w:t>2.55</w:t>
            </w:r>
          </w:p>
        </w:tc>
        <w:tc>
          <w:tcPr>
            <w:tcW w:w="625" w:type="dxa"/>
            <w:vAlign w:val="top"/>
          </w:tcPr>
          <w:p>
            <w:pPr>
              <w:spacing w:before="132" w:line="184" w:lineRule="auto"/>
              <w:ind w:left="1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BA1"/>
                <w:spacing w:val="-4"/>
                <w:sz w:val="18"/>
                <w:szCs w:val="18"/>
              </w:rPr>
              <w:t>1.37</w:t>
            </w:r>
          </w:p>
        </w:tc>
        <w:tc>
          <w:tcPr>
            <w:tcW w:w="675" w:type="dxa"/>
            <w:vAlign w:val="top"/>
          </w:tcPr>
          <w:p>
            <w:pPr>
              <w:spacing w:before="132" w:line="184" w:lineRule="auto"/>
              <w:ind w:left="15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3A7"/>
                <w:spacing w:val="-4"/>
                <w:sz w:val="18"/>
                <w:szCs w:val="18"/>
              </w:rPr>
              <w:t>11.80</w:t>
            </w:r>
          </w:p>
        </w:tc>
        <w:tc>
          <w:tcPr>
            <w:tcW w:w="690" w:type="dxa"/>
            <w:vAlign w:val="top"/>
          </w:tcPr>
          <w:p>
            <w:pPr>
              <w:spacing w:before="132" w:line="184" w:lineRule="auto"/>
              <w:ind w:left="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EA9"/>
                <w:spacing w:val="-4"/>
                <w:sz w:val="18"/>
                <w:szCs w:val="18"/>
              </w:rPr>
              <w:t>15.00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45"/>
        </w:trPr>
        <w:tc>
          <w:tcPr>
            <w:tcW w:w="4395" w:type="dxa"/>
            <w:gridSpan w:val="5"/>
            <w:vAlign w:val="top"/>
          </w:tcPr>
          <w:p>
            <w:pPr>
              <w:spacing w:before="74" w:line="224" w:lineRule="auto"/>
              <w:ind w:left="3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0BA6"/>
                <w:spacing w:val="1"/>
                <w:position w:val="2"/>
                <w:sz w:val="18"/>
                <w:szCs w:val="18"/>
              </w:rPr>
              <w:t xml:space="preserve">中国石油 </w:t>
            </w:r>
            <w:r>
              <w:rPr>
                <w:rFonts w:ascii="SimSun" w:eastAsia="SimSun" w:hAnsi="SimSun" w:cs="SimSun"/>
                <w:color w:val="00399B"/>
                <w:spacing w:val="1"/>
                <w:sz w:val="18"/>
                <w:szCs w:val="18"/>
              </w:rPr>
              <w:t>601857.</w:t>
            </w:r>
            <w:r>
              <w:rPr>
                <w:rFonts w:ascii="SimSun" w:eastAsia="SimSun" w:hAnsi="SimSun" w:cs="SimSun"/>
                <w:color w:val="00399B"/>
                <w:sz w:val="18"/>
                <w:szCs w:val="18"/>
              </w:rPr>
              <w:t>SH</w:t>
            </w:r>
            <w:r>
              <w:rPr>
                <w:rFonts w:ascii="SimSun" w:eastAsia="SimSun" w:hAnsi="SimSun" w:cs="SimSun"/>
                <w:color w:val="00399B"/>
                <w:spacing w:val="26"/>
                <w:sz w:val="18"/>
                <w:szCs w:val="18"/>
              </w:rPr>
              <w:t xml:space="preserve">  </w:t>
            </w:r>
            <w:r>
              <w:rPr>
                <w:rFonts w:ascii="SimSun" w:eastAsia="SimSun" w:hAnsi="SimSun" w:cs="SimSun"/>
                <w:color w:val="00349D"/>
                <w:sz w:val="18"/>
                <w:szCs w:val="18"/>
              </w:rPr>
              <w:t>CNY</w:t>
            </w:r>
            <w:r>
              <w:rPr>
                <w:rFonts w:ascii="SimSun" w:eastAsia="SimSun" w:hAnsi="SimSun" w:cs="SimSun"/>
                <w:color w:val="00349D"/>
                <w:spacing w:val="6"/>
                <w:sz w:val="18"/>
                <w:szCs w:val="18"/>
              </w:rPr>
              <w:t xml:space="preserve">    </w:t>
            </w:r>
            <w:r>
              <w:rPr>
                <w:rFonts w:ascii="SimSun" w:eastAsia="SimSun" w:hAnsi="SimSun" w:cs="SimSun"/>
                <w:color w:val="003899"/>
                <w:spacing w:val="1"/>
                <w:sz w:val="18"/>
                <w:szCs w:val="18"/>
              </w:rPr>
              <w:t xml:space="preserve">8.78  </w:t>
            </w:r>
            <w:r>
              <w:rPr>
                <w:rFonts w:ascii="SimSun" w:eastAsia="SimSun" w:hAnsi="SimSun" w:cs="SimSun"/>
                <w:color w:val="003A9D"/>
                <w:spacing w:val="1"/>
                <w:position w:val="-1"/>
                <w:sz w:val="18"/>
                <w:szCs w:val="18"/>
              </w:rPr>
              <w:t>2023/11/5</w:t>
            </w:r>
            <w:r>
              <w:rPr>
                <w:rFonts w:ascii="SimSun" w:eastAsia="SimSun" w:hAnsi="SimSun" w:cs="SimSun"/>
                <w:color w:val="003FBD"/>
                <w:spacing w:val="1"/>
                <w:position w:val="-1"/>
                <w:sz w:val="18"/>
                <w:szCs w:val="18"/>
              </w:rPr>
              <w:t>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119" w:line="183" w:lineRule="auto"/>
              <w:ind w:left="1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99C"/>
                <w:spacing w:val="-4"/>
                <w:sz w:val="18"/>
                <w:szCs w:val="18"/>
              </w:rPr>
              <w:t>11.87</w:t>
            </w:r>
            <w:r>
              <w:rPr>
                <w:rFonts w:ascii="SimSun" w:eastAsia="SimSun" w:hAnsi="SimSun" w:cs="SimSun"/>
                <w:color w:val="00399C"/>
                <w:spacing w:val="2"/>
                <w:sz w:val="18"/>
                <w:szCs w:val="18"/>
              </w:rPr>
              <w:t xml:space="preserve">    </w:t>
            </w:r>
            <w:r>
              <w:rPr>
                <w:rFonts w:ascii="SimSun" w:eastAsia="SimSun" w:hAnsi="SimSun" w:cs="SimSun"/>
                <w:color w:val="003398"/>
                <w:spacing w:val="-4"/>
                <w:sz w:val="18"/>
                <w:szCs w:val="18"/>
              </w:rPr>
              <w:t xml:space="preserve">0.99    </w:t>
            </w:r>
            <w:r>
              <w:rPr>
                <w:rFonts w:ascii="SimSun" w:eastAsia="SimSun" w:hAnsi="SimSun" w:cs="SimSun"/>
                <w:color w:val="003A9D"/>
                <w:spacing w:val="-4"/>
                <w:sz w:val="18"/>
                <w:szCs w:val="18"/>
              </w:rPr>
              <w:t>1.07</w:t>
            </w:r>
          </w:p>
        </w:tc>
        <w:tc>
          <w:tcPr>
            <w:tcW w:w="728" w:type="dxa"/>
            <w:vAlign w:val="top"/>
          </w:tcPr>
          <w:p>
            <w:pPr>
              <w:spacing w:before="119" w:line="183" w:lineRule="auto"/>
              <w:ind w:left="20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899"/>
                <w:spacing w:val="-2"/>
                <w:sz w:val="18"/>
                <w:szCs w:val="18"/>
              </w:rPr>
              <w:t>8.87</w:t>
            </w:r>
          </w:p>
        </w:tc>
        <w:tc>
          <w:tcPr>
            <w:tcW w:w="707" w:type="dxa"/>
            <w:vAlign w:val="top"/>
          </w:tcPr>
          <w:p>
            <w:pPr>
              <w:spacing w:before="118" w:line="184" w:lineRule="auto"/>
              <w:ind w:left="1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89A"/>
                <w:spacing w:val="-2"/>
                <w:sz w:val="18"/>
                <w:szCs w:val="18"/>
              </w:rPr>
              <w:t>8.21</w:t>
            </w:r>
          </w:p>
        </w:tc>
        <w:tc>
          <w:tcPr>
            <w:tcW w:w="702" w:type="dxa"/>
            <w:vAlign w:val="top"/>
          </w:tcPr>
          <w:p>
            <w:pPr>
              <w:spacing w:before="118" w:line="184" w:lineRule="auto"/>
              <w:ind w:left="19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898"/>
                <w:spacing w:val="-4"/>
                <w:sz w:val="18"/>
                <w:szCs w:val="18"/>
              </w:rPr>
              <w:t>1.97</w:t>
            </w:r>
          </w:p>
        </w:tc>
        <w:tc>
          <w:tcPr>
            <w:tcW w:w="625" w:type="dxa"/>
            <w:vAlign w:val="top"/>
          </w:tcPr>
          <w:p>
            <w:pPr>
              <w:spacing w:before="118" w:line="184" w:lineRule="auto"/>
              <w:ind w:left="1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99B"/>
                <w:spacing w:val="-4"/>
                <w:sz w:val="18"/>
                <w:szCs w:val="18"/>
              </w:rPr>
              <w:t>1.53</w:t>
            </w:r>
          </w:p>
        </w:tc>
        <w:tc>
          <w:tcPr>
            <w:tcW w:w="675" w:type="dxa"/>
            <w:vAlign w:val="top"/>
          </w:tcPr>
          <w:p>
            <w:pPr>
              <w:spacing w:before="118" w:line="184" w:lineRule="auto"/>
              <w:ind w:left="15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2A4"/>
                <w:spacing w:val="-4"/>
                <w:sz w:val="18"/>
                <w:szCs w:val="18"/>
              </w:rPr>
              <w:t>12.30</w:t>
            </w:r>
          </w:p>
        </w:tc>
        <w:tc>
          <w:tcPr>
            <w:tcW w:w="690" w:type="dxa"/>
            <w:vAlign w:val="top"/>
          </w:tcPr>
          <w:p>
            <w:pPr>
              <w:spacing w:before="118" w:line="184" w:lineRule="auto"/>
              <w:ind w:left="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2A5"/>
                <w:spacing w:val="-4"/>
                <w:sz w:val="18"/>
                <w:szCs w:val="18"/>
              </w:rPr>
              <w:t>11.70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655"/>
        </w:trPr>
        <w:tc>
          <w:tcPr>
            <w:tcW w:w="859" w:type="dxa"/>
            <w:vAlign w:val="top"/>
          </w:tcPr>
          <w:p>
            <w:pPr>
              <w:spacing w:before="78" w:line="220" w:lineRule="auto"/>
              <w:ind w:left="3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4"/>
                <w:sz w:val="18"/>
                <w:szCs w:val="18"/>
              </w:rPr>
              <w:t>中国石油</w:t>
            </w:r>
          </w:p>
          <w:p>
            <w:pPr>
              <w:spacing w:before="125" w:line="219" w:lineRule="auto"/>
              <w:ind w:left="2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7B8"/>
                <w:spacing w:val="-2"/>
                <w:sz w:val="18"/>
                <w:szCs w:val="18"/>
              </w:rPr>
              <w:t>股份</w:t>
            </w:r>
          </w:p>
        </w:tc>
        <w:tc>
          <w:tcPr>
            <w:tcW w:w="3536" w:type="dxa"/>
            <w:gridSpan w:val="4"/>
            <w:vAlign w:val="top"/>
          </w:tcPr>
          <w:p>
            <w:pPr>
              <w:spacing w:before="219" w:line="220" w:lineRule="auto"/>
              <w:ind w:left="10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99C"/>
                <w:position w:val="-1"/>
                <w:sz w:val="18"/>
                <w:szCs w:val="18"/>
              </w:rPr>
              <w:t xml:space="preserve">00857.HK  </w:t>
            </w:r>
            <w:r>
              <w:rPr>
                <w:rFonts w:ascii="SimSun" w:eastAsia="SimSun" w:hAnsi="SimSun" w:cs="SimSun"/>
                <w:color w:val="002896"/>
                <w:position w:val="-1"/>
                <w:sz w:val="18"/>
                <w:szCs w:val="18"/>
              </w:rPr>
              <w:t>HKD</w:t>
            </w:r>
            <w:r>
              <w:rPr>
                <w:rFonts w:ascii="SimSun" w:eastAsia="SimSun" w:hAnsi="SimSun" w:cs="SimSun"/>
                <w:color w:val="002896"/>
                <w:spacing w:val="13"/>
                <w:position w:val="-1"/>
                <w:sz w:val="18"/>
                <w:szCs w:val="18"/>
              </w:rPr>
              <w:t xml:space="preserve">    </w:t>
            </w:r>
            <w:r>
              <w:rPr>
                <w:rFonts w:ascii="SimSun" w:eastAsia="SimSun" w:hAnsi="SimSun" w:cs="SimSun"/>
                <w:color w:val="0040A1"/>
                <w:position w:val="-1"/>
                <w:sz w:val="18"/>
                <w:szCs w:val="18"/>
              </w:rPr>
              <w:t xml:space="preserve">6.11  </w:t>
            </w:r>
            <w:r>
              <w:rPr>
                <w:rFonts w:ascii="SimSun" w:eastAsia="SimSun" w:hAnsi="SimSun" w:cs="SimSun"/>
                <w:color w:val="003797"/>
                <w:sz w:val="18"/>
                <w:szCs w:val="18"/>
              </w:rPr>
              <w:t>2023</w:t>
            </w:r>
            <w:r>
              <w:rPr>
                <w:rFonts w:ascii="SimSun" w:eastAsia="SimSun" w:hAnsi="SimSun" w:cs="SimSun"/>
                <w:color w:val="003797"/>
                <w:spacing w:val="-1"/>
                <w:sz w:val="18"/>
                <w:szCs w:val="18"/>
              </w:rPr>
              <w:t>/11/5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264" w:line="183" w:lineRule="auto"/>
              <w:ind w:left="1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99C"/>
                <w:spacing w:val="-4"/>
                <w:sz w:val="18"/>
                <w:szCs w:val="18"/>
              </w:rPr>
              <w:t>11.87</w:t>
            </w:r>
            <w:r>
              <w:rPr>
                <w:rFonts w:ascii="SimSun" w:eastAsia="SimSun" w:hAnsi="SimSun" w:cs="SimSun"/>
                <w:color w:val="00399C"/>
                <w:spacing w:val="2"/>
                <w:sz w:val="18"/>
                <w:szCs w:val="18"/>
              </w:rPr>
              <w:t xml:space="preserve">    </w:t>
            </w:r>
            <w:r>
              <w:rPr>
                <w:rFonts w:ascii="SimSun" w:eastAsia="SimSun" w:hAnsi="SimSun" w:cs="SimSun"/>
                <w:color w:val="00399C"/>
                <w:spacing w:val="-4"/>
                <w:sz w:val="18"/>
                <w:szCs w:val="18"/>
              </w:rPr>
              <w:t xml:space="preserve">0.99    </w:t>
            </w:r>
            <w:r>
              <w:rPr>
                <w:rFonts w:ascii="SimSun" w:eastAsia="SimSun" w:hAnsi="SimSun" w:cs="SimSun"/>
                <w:color w:val="003A9D"/>
                <w:spacing w:val="-4"/>
                <w:sz w:val="18"/>
                <w:szCs w:val="18"/>
              </w:rPr>
              <w:t>1.07</w:t>
            </w:r>
          </w:p>
        </w:tc>
        <w:tc>
          <w:tcPr>
            <w:tcW w:w="728" w:type="dxa"/>
            <w:vAlign w:val="top"/>
          </w:tcPr>
          <w:p>
            <w:pPr>
              <w:spacing w:before="263" w:line="184" w:lineRule="auto"/>
              <w:ind w:left="20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A9F"/>
                <w:spacing w:val="-2"/>
                <w:sz w:val="18"/>
                <w:szCs w:val="18"/>
              </w:rPr>
              <w:t>6.17</w:t>
            </w:r>
          </w:p>
        </w:tc>
        <w:tc>
          <w:tcPr>
            <w:tcW w:w="707" w:type="dxa"/>
            <w:vAlign w:val="top"/>
          </w:tcPr>
          <w:p>
            <w:pPr>
              <w:spacing w:before="263" w:line="184" w:lineRule="auto"/>
              <w:ind w:left="1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89A"/>
                <w:spacing w:val="-2"/>
                <w:sz w:val="18"/>
                <w:szCs w:val="18"/>
              </w:rPr>
              <w:t>5.71</w:t>
            </w:r>
          </w:p>
        </w:tc>
        <w:tc>
          <w:tcPr>
            <w:tcW w:w="702" w:type="dxa"/>
            <w:vAlign w:val="top"/>
          </w:tcPr>
          <w:p>
            <w:pPr>
              <w:spacing w:before="264" w:line="183" w:lineRule="auto"/>
              <w:ind w:left="19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D98"/>
                <w:spacing w:val="-2"/>
                <w:sz w:val="18"/>
                <w:szCs w:val="18"/>
              </w:rPr>
              <w:t>2.25</w:t>
            </w:r>
          </w:p>
        </w:tc>
        <w:tc>
          <w:tcPr>
            <w:tcW w:w="625" w:type="dxa"/>
            <w:vAlign w:val="top"/>
          </w:tcPr>
          <w:p>
            <w:pPr>
              <w:spacing w:before="263" w:line="184" w:lineRule="auto"/>
              <w:ind w:left="1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99B"/>
                <w:spacing w:val="-4"/>
                <w:sz w:val="18"/>
                <w:szCs w:val="18"/>
              </w:rPr>
              <w:t>1.80</w:t>
            </w:r>
          </w:p>
        </w:tc>
        <w:tc>
          <w:tcPr>
            <w:tcW w:w="675" w:type="dxa"/>
            <w:vAlign w:val="top"/>
          </w:tcPr>
          <w:p>
            <w:pPr>
              <w:spacing w:before="293" w:line="184" w:lineRule="auto"/>
              <w:ind w:left="18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BA2"/>
                <w:spacing w:val="-4"/>
                <w:sz w:val="18"/>
                <w:szCs w:val="18"/>
              </w:rPr>
              <w:t>12.30</w:t>
            </w:r>
          </w:p>
        </w:tc>
        <w:tc>
          <w:tcPr>
            <w:tcW w:w="690" w:type="dxa"/>
            <w:vAlign w:val="top"/>
          </w:tcPr>
          <w:p>
            <w:pPr>
              <w:spacing w:before="283" w:line="184" w:lineRule="auto"/>
              <w:ind w:left="7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BA0"/>
                <w:spacing w:val="-4"/>
                <w:sz w:val="18"/>
                <w:szCs w:val="18"/>
              </w:rPr>
              <w:t>11.70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32"/>
        </w:trPr>
        <w:tc>
          <w:tcPr>
            <w:tcW w:w="4395" w:type="dxa"/>
            <w:gridSpan w:val="5"/>
            <w:vAlign w:val="top"/>
          </w:tcPr>
          <w:p>
            <w:pPr>
              <w:spacing w:before="73" w:line="220" w:lineRule="auto"/>
              <w:ind w:left="3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7B8"/>
                <w:sz w:val="18"/>
                <w:szCs w:val="18"/>
              </w:rPr>
              <w:t>润丰股份</w:t>
            </w:r>
            <w:r>
              <w:rPr>
                <w:rFonts w:ascii="SimSun" w:eastAsia="SimSun" w:hAnsi="SimSun" w:cs="SimSun"/>
                <w:color w:val="0037B8"/>
                <w:spacing w:val="78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color w:val="003398"/>
                <w:position w:val="-1"/>
                <w:sz w:val="18"/>
                <w:szCs w:val="18"/>
              </w:rPr>
              <w:t xml:space="preserve">301035.SZ  CNY   </w:t>
            </w:r>
            <w:r>
              <w:rPr>
                <w:rFonts w:ascii="SimSun" w:eastAsia="SimSun" w:hAnsi="SimSun" w:cs="SimSun"/>
                <w:color w:val="00389A"/>
                <w:position w:val="-1"/>
                <w:sz w:val="18"/>
                <w:szCs w:val="18"/>
              </w:rPr>
              <w:t xml:space="preserve">67.07  </w:t>
            </w:r>
            <w:r>
              <w:rPr>
                <w:rFonts w:ascii="SimSun" w:eastAsia="SimSun" w:hAnsi="SimSun" w:cs="SimSun"/>
                <w:color w:val="003898"/>
                <w:sz w:val="18"/>
                <w:szCs w:val="18"/>
              </w:rPr>
              <w:t>2023/11/2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119" w:line="183" w:lineRule="auto"/>
              <w:ind w:left="1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A9E"/>
                <w:spacing w:val="-2"/>
                <w:sz w:val="18"/>
                <w:szCs w:val="18"/>
              </w:rPr>
              <w:t>88.00</w:t>
            </w:r>
            <w:r>
              <w:rPr>
                <w:rFonts w:ascii="SimSun" w:eastAsia="SimSun" w:hAnsi="SimSun" w:cs="SimSun"/>
                <w:color w:val="003A9E"/>
                <w:spacing w:val="26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3898"/>
                <w:spacing w:val="-2"/>
                <w:sz w:val="18"/>
                <w:szCs w:val="18"/>
              </w:rPr>
              <w:t>3.76</w:t>
            </w:r>
            <w:r>
              <w:rPr>
                <w:rFonts w:ascii="SimSun" w:eastAsia="SimSun" w:hAnsi="SimSun" w:cs="SimSun"/>
                <w:color w:val="003898"/>
                <w:spacing w:val="27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3BA2"/>
                <w:spacing w:val="-2"/>
                <w:sz w:val="18"/>
                <w:szCs w:val="18"/>
              </w:rPr>
              <w:t>4.40</w:t>
            </w:r>
          </w:p>
        </w:tc>
        <w:tc>
          <w:tcPr>
            <w:tcW w:w="728" w:type="dxa"/>
            <w:vAlign w:val="top"/>
          </w:tcPr>
          <w:p>
            <w:pPr>
              <w:spacing w:before="118" w:line="184" w:lineRule="auto"/>
              <w:ind w:left="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1A2"/>
                <w:spacing w:val="-4"/>
                <w:sz w:val="18"/>
                <w:szCs w:val="18"/>
              </w:rPr>
              <w:t>17.84</w:t>
            </w:r>
          </w:p>
        </w:tc>
        <w:tc>
          <w:tcPr>
            <w:tcW w:w="707" w:type="dxa"/>
            <w:vAlign w:val="top"/>
          </w:tcPr>
          <w:p>
            <w:pPr>
              <w:spacing w:before="118" w:line="184" w:lineRule="auto"/>
              <w:ind w:left="1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F9E"/>
                <w:spacing w:val="-4"/>
                <w:sz w:val="18"/>
                <w:szCs w:val="18"/>
              </w:rPr>
              <w:t>15.24</w:t>
            </w:r>
          </w:p>
        </w:tc>
        <w:tc>
          <w:tcPr>
            <w:tcW w:w="702" w:type="dxa"/>
            <w:vAlign w:val="top"/>
          </w:tcPr>
          <w:p>
            <w:pPr>
              <w:spacing w:before="119" w:line="183" w:lineRule="auto"/>
              <w:ind w:left="19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99B"/>
                <w:spacing w:val="-2"/>
                <w:sz w:val="18"/>
                <w:szCs w:val="18"/>
              </w:rPr>
              <w:t>9.60</w:t>
            </w:r>
          </w:p>
        </w:tc>
        <w:tc>
          <w:tcPr>
            <w:tcW w:w="625" w:type="dxa"/>
            <w:vAlign w:val="top"/>
          </w:tcPr>
          <w:p>
            <w:pPr>
              <w:spacing w:before="118" w:line="184" w:lineRule="auto"/>
              <w:ind w:left="1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0A0"/>
                <w:spacing w:val="-2"/>
                <w:sz w:val="18"/>
                <w:szCs w:val="18"/>
              </w:rPr>
              <w:t>8.14</w:t>
            </w:r>
          </w:p>
        </w:tc>
        <w:tc>
          <w:tcPr>
            <w:tcW w:w="675" w:type="dxa"/>
            <w:vAlign w:val="top"/>
          </w:tcPr>
          <w:p>
            <w:pPr>
              <w:spacing w:before="118" w:line="184" w:lineRule="auto"/>
              <w:ind w:left="15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2A6"/>
                <w:spacing w:val="-4"/>
                <w:sz w:val="18"/>
                <w:szCs w:val="18"/>
              </w:rPr>
              <w:t>14.40</w:t>
            </w:r>
          </w:p>
        </w:tc>
        <w:tc>
          <w:tcPr>
            <w:tcW w:w="690" w:type="dxa"/>
            <w:vAlign w:val="top"/>
          </w:tcPr>
          <w:p>
            <w:pPr>
              <w:spacing w:before="118" w:line="184" w:lineRule="auto"/>
              <w:ind w:left="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2A4"/>
                <w:spacing w:val="-4"/>
                <w:sz w:val="18"/>
                <w:szCs w:val="18"/>
              </w:rPr>
              <w:t>14.40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41"/>
        </w:trPr>
        <w:tc>
          <w:tcPr>
            <w:tcW w:w="4395" w:type="dxa"/>
            <w:gridSpan w:val="5"/>
            <w:vAlign w:val="top"/>
          </w:tcPr>
          <w:p>
            <w:pPr>
              <w:spacing w:before="91" w:line="215" w:lineRule="auto"/>
              <w:ind w:left="15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DA7"/>
                <w:sz w:val="18"/>
                <w:szCs w:val="18"/>
              </w:rPr>
              <w:t>华鲁恒升600426.SH  CNY</w:t>
            </w:r>
            <w:r>
              <w:rPr>
                <w:rFonts w:ascii="SimSun" w:eastAsia="SimSun" w:hAnsi="SimSun" w:cs="SimSun"/>
                <w:color w:val="003DA7"/>
                <w:spacing w:val="16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42A5"/>
                <w:position w:val="-2"/>
                <w:sz w:val="18"/>
                <w:szCs w:val="18"/>
              </w:rPr>
              <w:t>27.44</w:t>
            </w:r>
            <w:r>
              <w:rPr>
                <w:rFonts w:ascii="SimSun" w:eastAsia="SimSun" w:hAnsi="SimSun" w:cs="SimSun"/>
                <w:color w:val="0042A5"/>
                <w:spacing w:val="39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color w:val="003194"/>
                <w:position w:val="1"/>
                <w:sz w:val="18"/>
                <w:szCs w:val="18"/>
              </w:rPr>
              <w:t>2</w:t>
            </w:r>
            <w:r>
              <w:rPr>
                <w:rFonts w:ascii="SimSun" w:eastAsia="SimSun" w:hAnsi="SimSun" w:cs="SimSun"/>
                <w:color w:val="003194"/>
                <w:spacing w:val="-1"/>
                <w:position w:val="1"/>
                <w:sz w:val="18"/>
                <w:szCs w:val="18"/>
              </w:rPr>
              <w:t>023/10/31</w:t>
            </w:r>
            <w:r>
              <w:rPr>
                <w:rFonts w:ascii="SimSun" w:eastAsia="SimSun" w:hAnsi="SimSun" w:cs="SimSun"/>
                <w:spacing w:val="-1"/>
                <w:position w:val="1"/>
                <w:sz w:val="18"/>
                <w:szCs w:val="18"/>
              </w:rPr>
              <w:t>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137" w:line="188" w:lineRule="auto"/>
              <w:ind w:left="1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BA0"/>
                <w:spacing w:val="-2"/>
                <w:sz w:val="18"/>
                <w:szCs w:val="18"/>
              </w:rPr>
              <w:t>41.86</w:t>
            </w:r>
            <w:r>
              <w:rPr>
                <w:rFonts w:ascii="SimSun" w:eastAsia="SimSun" w:hAnsi="SimSun" w:cs="SimSun"/>
                <w:color w:val="003BA0"/>
                <w:spacing w:val="26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349C"/>
                <w:spacing w:val="-2"/>
                <w:sz w:val="18"/>
                <w:szCs w:val="18"/>
              </w:rPr>
              <w:t>2.08</w:t>
            </w:r>
            <w:r>
              <w:rPr>
                <w:rFonts w:ascii="SimSun" w:eastAsia="SimSun" w:hAnsi="SimSun" w:cs="SimSun"/>
                <w:color w:val="00349C"/>
                <w:spacing w:val="26"/>
                <w:sz w:val="18"/>
                <w:szCs w:val="18"/>
              </w:rPr>
              <w:t xml:space="preserve">   </w:t>
            </w:r>
            <w:r>
              <w:rPr>
                <w:rFonts w:ascii="SimSun" w:eastAsia="SimSun" w:hAnsi="SimSun" w:cs="SimSun"/>
                <w:color w:val="00399B"/>
                <w:spacing w:val="-2"/>
                <w:position w:val="1"/>
                <w:sz w:val="18"/>
                <w:szCs w:val="18"/>
              </w:rPr>
              <w:t>2.63</w:t>
            </w:r>
          </w:p>
        </w:tc>
        <w:tc>
          <w:tcPr>
            <w:tcW w:w="728" w:type="dxa"/>
            <w:vAlign w:val="top"/>
          </w:tcPr>
          <w:p>
            <w:pPr>
              <w:spacing w:before="136" w:line="184" w:lineRule="auto"/>
              <w:ind w:left="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A9F"/>
                <w:spacing w:val="-4"/>
                <w:sz w:val="18"/>
                <w:szCs w:val="18"/>
              </w:rPr>
              <w:t>13.19</w:t>
            </w:r>
          </w:p>
        </w:tc>
        <w:tc>
          <w:tcPr>
            <w:tcW w:w="707" w:type="dxa"/>
            <w:vAlign w:val="top"/>
          </w:tcPr>
          <w:p>
            <w:pPr>
              <w:spacing w:before="136" w:line="184" w:lineRule="auto"/>
              <w:ind w:left="1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BA0"/>
                <w:spacing w:val="-4"/>
                <w:sz w:val="18"/>
                <w:szCs w:val="18"/>
              </w:rPr>
              <w:t>10.43</w:t>
            </w:r>
          </w:p>
        </w:tc>
        <w:tc>
          <w:tcPr>
            <w:tcW w:w="702" w:type="dxa"/>
            <w:vAlign w:val="top"/>
          </w:tcPr>
          <w:p>
            <w:pPr>
              <w:spacing w:before="137" w:line="183" w:lineRule="auto"/>
              <w:ind w:left="19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BA0"/>
                <w:spacing w:val="-3"/>
                <w:sz w:val="18"/>
                <w:szCs w:val="18"/>
              </w:rPr>
              <w:t>7.66</w:t>
            </w:r>
          </w:p>
        </w:tc>
        <w:tc>
          <w:tcPr>
            <w:tcW w:w="625" w:type="dxa"/>
            <w:vAlign w:val="top"/>
          </w:tcPr>
          <w:p>
            <w:pPr>
              <w:spacing w:before="136" w:line="184" w:lineRule="auto"/>
              <w:ind w:left="1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0A1"/>
                <w:spacing w:val="-2"/>
                <w:sz w:val="18"/>
                <w:szCs w:val="18"/>
              </w:rPr>
              <w:t>6.21</w:t>
            </w:r>
          </w:p>
        </w:tc>
        <w:tc>
          <w:tcPr>
            <w:tcW w:w="675" w:type="dxa"/>
            <w:vAlign w:val="top"/>
          </w:tcPr>
          <w:p>
            <w:pPr>
              <w:spacing w:before="136" w:line="184" w:lineRule="auto"/>
              <w:ind w:left="19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BA0"/>
                <w:spacing w:val="-4"/>
                <w:sz w:val="18"/>
                <w:szCs w:val="18"/>
              </w:rPr>
              <w:t>14.90</w:t>
            </w:r>
          </w:p>
        </w:tc>
        <w:tc>
          <w:tcPr>
            <w:tcW w:w="690" w:type="dxa"/>
            <w:vAlign w:val="top"/>
          </w:tcPr>
          <w:p>
            <w:pPr>
              <w:spacing w:before="136" w:line="184" w:lineRule="auto"/>
              <w:ind w:left="7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BA1"/>
                <w:spacing w:val="-4"/>
                <w:sz w:val="18"/>
                <w:szCs w:val="18"/>
              </w:rPr>
              <w:t>16.50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289"/>
        </w:trPr>
        <w:tc>
          <w:tcPr>
            <w:tcW w:w="4395" w:type="dxa"/>
            <w:gridSpan w:val="5"/>
            <w:vAlign w:val="top"/>
          </w:tcPr>
          <w:p>
            <w:pPr>
              <w:spacing w:before="70" w:line="204" w:lineRule="auto"/>
              <w:ind w:left="19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振华股份603</w:t>
            </w:r>
            <w:r>
              <w:rPr>
                <w:rFonts w:ascii="SimSun" w:eastAsia="SimSun" w:hAnsi="SimSun" w:cs="SimSun"/>
                <w:color w:val="003399"/>
                <w:sz w:val="18"/>
                <w:szCs w:val="18"/>
              </w:rPr>
              <w:t xml:space="preserve">067.SH 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CNY     </w:t>
            </w:r>
            <w:r>
              <w:rPr>
                <w:rFonts w:ascii="SimSun" w:eastAsia="SimSun" w:hAnsi="SimSun" w:cs="SimSun"/>
                <w:color w:val="003296"/>
                <w:position w:val="-1"/>
                <w:sz w:val="18"/>
                <w:szCs w:val="18"/>
              </w:rPr>
              <w:t>8.97</w:t>
            </w:r>
            <w:r>
              <w:rPr>
                <w:rFonts w:ascii="SimSun" w:eastAsia="SimSun" w:hAnsi="SimSun" w:cs="SimSun"/>
                <w:color w:val="003296"/>
                <w:spacing w:val="38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color w:val="00399B"/>
                <w:sz w:val="18"/>
                <w:szCs w:val="18"/>
              </w:rPr>
              <w:t>2023/10/29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96" w:line="177" w:lineRule="auto"/>
              <w:ind w:left="1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09F"/>
                <w:spacing w:val="-3"/>
                <w:sz w:val="18"/>
                <w:szCs w:val="18"/>
              </w:rPr>
              <w:t xml:space="preserve">14.79    </w:t>
            </w:r>
            <w:r>
              <w:rPr>
                <w:rFonts w:ascii="SimSun" w:eastAsia="SimSun" w:hAnsi="SimSun" w:cs="SimSun"/>
                <w:color w:val="00399B"/>
                <w:spacing w:val="-3"/>
                <w:sz w:val="18"/>
                <w:szCs w:val="18"/>
              </w:rPr>
              <w:t xml:space="preserve">0.78    </w:t>
            </w:r>
            <w:r>
              <w:rPr>
                <w:rFonts w:ascii="SimSun" w:eastAsia="SimSun" w:hAnsi="SimSun" w:cs="SimSun"/>
                <w:color w:val="00399C"/>
                <w:spacing w:val="-3"/>
                <w:position w:val="1"/>
                <w:sz w:val="18"/>
                <w:szCs w:val="18"/>
              </w:rPr>
              <w:t>0.99</w:t>
            </w:r>
          </w:p>
        </w:tc>
        <w:tc>
          <w:tcPr>
            <w:tcW w:w="728" w:type="dxa"/>
            <w:vAlign w:val="top"/>
          </w:tcPr>
          <w:p>
            <w:pPr>
              <w:spacing w:before="95" w:line="184" w:lineRule="auto"/>
              <w:ind w:left="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A9F"/>
                <w:spacing w:val="-4"/>
                <w:sz w:val="18"/>
                <w:szCs w:val="18"/>
              </w:rPr>
              <w:t>11.50</w:t>
            </w:r>
          </w:p>
        </w:tc>
        <w:tc>
          <w:tcPr>
            <w:tcW w:w="707" w:type="dxa"/>
            <w:vAlign w:val="top"/>
          </w:tcPr>
          <w:p>
            <w:pPr>
              <w:spacing w:before="96" w:line="183" w:lineRule="auto"/>
              <w:ind w:left="1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899"/>
                <w:spacing w:val="-2"/>
                <w:sz w:val="18"/>
                <w:szCs w:val="18"/>
              </w:rPr>
              <w:t>9.06</w:t>
            </w:r>
          </w:p>
        </w:tc>
        <w:tc>
          <w:tcPr>
            <w:tcW w:w="702" w:type="dxa"/>
            <w:vAlign w:val="top"/>
          </w:tcPr>
          <w:p>
            <w:pPr>
              <w:spacing w:before="95" w:line="184" w:lineRule="auto"/>
              <w:ind w:left="19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0A0"/>
                <w:spacing w:val="-2"/>
                <w:sz w:val="18"/>
                <w:szCs w:val="18"/>
              </w:rPr>
              <w:t>6.11</w:t>
            </w:r>
          </w:p>
        </w:tc>
        <w:tc>
          <w:tcPr>
            <w:tcW w:w="625" w:type="dxa"/>
            <w:vAlign w:val="top"/>
          </w:tcPr>
          <w:p>
            <w:pPr>
              <w:spacing w:before="96" w:line="183" w:lineRule="auto"/>
              <w:ind w:left="17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99C"/>
                <w:spacing w:val="-2"/>
                <w:sz w:val="18"/>
                <w:szCs w:val="18"/>
              </w:rPr>
              <w:t>5.00</w:t>
            </w:r>
          </w:p>
        </w:tc>
        <w:tc>
          <w:tcPr>
            <w:tcW w:w="675" w:type="dxa"/>
            <w:vAlign w:val="top"/>
          </w:tcPr>
          <w:p>
            <w:pPr>
              <w:spacing w:before="106" w:line="177" w:lineRule="auto"/>
              <w:ind w:left="11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14.10</w:t>
            </w:r>
          </w:p>
        </w:tc>
        <w:tc>
          <w:tcPr>
            <w:tcW w:w="690" w:type="dxa"/>
            <w:vAlign w:val="top"/>
          </w:tcPr>
          <w:p>
            <w:pPr>
              <w:spacing w:before="106" w:line="177" w:lineRule="auto"/>
              <w:ind w:left="1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9"/>
                <w:sz w:val="18"/>
                <w:szCs w:val="18"/>
              </w:rPr>
              <w:t>1</w:t>
            </w:r>
            <w:r>
              <w:rPr>
                <w:rFonts w:ascii="SimSun" w:eastAsia="SimSun" w:hAnsi="SimSun" w:cs="SimSun"/>
                <w:color w:val="003E9B"/>
                <w:spacing w:val="-9"/>
                <w:sz w:val="18"/>
                <w:szCs w:val="18"/>
              </w:rPr>
              <w:t>5.60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28"/>
        </w:trPr>
        <w:tc>
          <w:tcPr>
            <w:tcW w:w="4395" w:type="dxa"/>
            <w:gridSpan w:val="5"/>
            <w:vAlign w:val="top"/>
          </w:tcPr>
          <w:p>
            <w:pPr>
              <w:spacing w:before="60" w:line="220" w:lineRule="auto"/>
              <w:ind w:left="15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DA7"/>
                <w:sz w:val="18"/>
                <w:szCs w:val="18"/>
              </w:rPr>
              <w:t xml:space="preserve">赛特新材688398.SH  CNY   </w:t>
            </w:r>
            <w:r>
              <w:rPr>
                <w:rFonts w:ascii="SimSun" w:eastAsia="SimSun" w:hAnsi="SimSun" w:cs="SimSun"/>
                <w:color w:val="00399B"/>
                <w:sz w:val="18"/>
                <w:szCs w:val="18"/>
              </w:rPr>
              <w:t xml:space="preserve">30.00  </w:t>
            </w:r>
            <w:r>
              <w:rPr>
                <w:rFonts w:ascii="SimSun" w:eastAsia="SimSun" w:hAnsi="SimSun" w:cs="SimSun"/>
                <w:color w:val="003898"/>
                <w:sz w:val="18"/>
                <w:szCs w:val="18"/>
              </w:rPr>
              <w:t>2023/10/21</w:t>
            </w:r>
            <w:r>
              <w:rPr>
                <w:rFonts w:ascii="SimSun" w:eastAsia="SimSun" w:hAnsi="SimSun" w:cs="SimSun"/>
                <w:sz w:val="18"/>
                <w:szCs w:val="18"/>
              </w:rPr>
              <w:t>买入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spacing w:before="107" w:line="183" w:lineRule="auto"/>
              <w:ind w:left="1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898"/>
                <w:spacing w:val="-4"/>
                <w:sz w:val="18"/>
                <w:szCs w:val="18"/>
              </w:rPr>
              <w:t xml:space="preserve">38.74    </w:t>
            </w:r>
            <w:r>
              <w:rPr>
                <w:rFonts w:ascii="SimSun" w:eastAsia="SimSun" w:hAnsi="SimSun" w:cs="SimSun"/>
                <w:color w:val="00399C"/>
                <w:spacing w:val="-4"/>
                <w:sz w:val="18"/>
                <w:szCs w:val="18"/>
              </w:rPr>
              <w:t>1.02</w:t>
            </w:r>
            <w:r>
              <w:rPr>
                <w:rFonts w:ascii="SimSun" w:eastAsia="SimSun" w:hAnsi="SimSun" w:cs="SimSun"/>
                <w:color w:val="00399C"/>
                <w:spacing w:val="2"/>
                <w:sz w:val="18"/>
                <w:szCs w:val="18"/>
              </w:rPr>
              <w:t xml:space="preserve">    </w:t>
            </w:r>
            <w:r>
              <w:rPr>
                <w:rFonts w:ascii="SimSun" w:eastAsia="SimSun" w:hAnsi="SimSun" w:cs="SimSun"/>
                <w:color w:val="003F9D"/>
                <w:spacing w:val="-4"/>
                <w:sz w:val="18"/>
                <w:szCs w:val="18"/>
              </w:rPr>
              <w:t>1.94</w:t>
            </w:r>
          </w:p>
        </w:tc>
        <w:tc>
          <w:tcPr>
            <w:tcW w:w="728" w:type="dxa"/>
            <w:vAlign w:val="top"/>
          </w:tcPr>
          <w:p>
            <w:pPr>
              <w:spacing w:before="106" w:line="184" w:lineRule="auto"/>
              <w:ind w:left="1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89A"/>
                <w:spacing w:val="-2"/>
                <w:sz w:val="18"/>
                <w:szCs w:val="18"/>
              </w:rPr>
              <w:t>29.41</w:t>
            </w:r>
          </w:p>
        </w:tc>
        <w:tc>
          <w:tcPr>
            <w:tcW w:w="707" w:type="dxa"/>
            <w:vAlign w:val="top"/>
          </w:tcPr>
          <w:p>
            <w:pPr>
              <w:spacing w:before="106" w:line="184" w:lineRule="auto"/>
              <w:ind w:left="14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459F"/>
                <w:spacing w:val="-4"/>
                <w:sz w:val="18"/>
                <w:szCs w:val="18"/>
              </w:rPr>
              <w:t>15.46</w:t>
            </w:r>
          </w:p>
        </w:tc>
        <w:tc>
          <w:tcPr>
            <w:tcW w:w="702" w:type="dxa"/>
            <w:vAlign w:val="top"/>
          </w:tcPr>
          <w:p>
            <w:pPr>
              <w:spacing w:before="106" w:line="184" w:lineRule="auto"/>
              <w:ind w:left="14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E9A"/>
                <w:spacing w:val="-4"/>
                <w:sz w:val="18"/>
                <w:szCs w:val="18"/>
              </w:rPr>
              <w:t>17.57</w:t>
            </w:r>
          </w:p>
        </w:tc>
        <w:tc>
          <w:tcPr>
            <w:tcW w:w="625" w:type="dxa"/>
            <w:vAlign w:val="top"/>
          </w:tcPr>
          <w:p>
            <w:pPr>
              <w:spacing w:before="106" w:line="184" w:lineRule="auto"/>
              <w:ind w:left="13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99C"/>
                <w:spacing w:val="-4"/>
                <w:sz w:val="18"/>
                <w:szCs w:val="18"/>
              </w:rPr>
              <w:t>10.42</w:t>
            </w:r>
          </w:p>
        </w:tc>
        <w:tc>
          <w:tcPr>
            <w:tcW w:w="675" w:type="dxa"/>
            <w:vAlign w:val="top"/>
          </w:tcPr>
          <w:p>
            <w:pPr>
              <w:spacing w:before="106" w:line="184" w:lineRule="auto"/>
              <w:ind w:left="11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BA1"/>
                <w:spacing w:val="-4"/>
                <w:sz w:val="18"/>
                <w:szCs w:val="18"/>
              </w:rPr>
              <w:t>10.80</w:t>
            </w:r>
          </w:p>
        </w:tc>
        <w:tc>
          <w:tcPr>
            <w:tcW w:w="690" w:type="dxa"/>
            <w:vAlign w:val="top"/>
          </w:tcPr>
          <w:p>
            <w:pPr>
              <w:spacing w:before="106" w:line="184" w:lineRule="auto"/>
              <w:ind w:left="7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3BA1"/>
                <w:spacing w:val="-2"/>
                <w:sz w:val="18"/>
                <w:szCs w:val="18"/>
              </w:rPr>
              <w:t>17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.</w:t>
            </w:r>
            <w:r>
              <w:rPr>
                <w:rFonts w:ascii="SimSun" w:eastAsia="SimSun" w:hAnsi="SimSun" w:cs="SimSun"/>
                <w:color w:val="003EA9"/>
                <w:spacing w:val="-2"/>
                <w:sz w:val="18"/>
                <w:szCs w:val="18"/>
              </w:rPr>
              <w:t>00</w:t>
            </w:r>
          </w:p>
        </w:tc>
      </w:tr>
      <w:tr>
        <w:tblPrEx>
          <w:tblW w:w="10649" w:type="dxa"/>
          <w:tblInd w:w="30" w:type="dxa"/>
          <w:tblLayout w:type="fixed"/>
        </w:tblPrEx>
        <w:trPr>
          <w:trHeight w:val="341"/>
        </w:trPr>
        <w:tc>
          <w:tcPr>
            <w:tcW w:w="4395" w:type="dxa"/>
            <w:gridSpan w:val="5"/>
            <w:vAlign w:val="top"/>
          </w:tcPr>
          <w:p>
            <w:pPr>
              <w:pStyle w:val="TableText"/>
              <w:spacing w:before="109" w:line="224" w:lineRule="auto"/>
              <w:ind w:left="30"/>
            </w:pPr>
            <w:r>
              <w:rPr>
                <w:spacing w:val="-14"/>
              </w:rPr>
              <w:t>数据来源：</w:t>
            </w:r>
            <w:r>
              <w:rPr>
                <w:spacing w:val="-16"/>
              </w:rPr>
              <w:t xml:space="preserve"> </w:t>
            </w:r>
            <w:r>
              <w:rPr>
                <w:rFonts w:ascii="SimSun" w:eastAsia="SimSun" w:hAnsi="SimSun" w:cs="SimSun"/>
                <w:spacing w:val="-14"/>
              </w:rPr>
              <w:t>Wind、</w:t>
            </w:r>
            <w:r>
              <w:rPr>
                <w:rFonts w:ascii="SimSun" w:eastAsia="SimSun" w:hAnsi="SimSun" w:cs="SimSun"/>
                <w:spacing w:val="19"/>
              </w:rPr>
              <w:t xml:space="preserve"> </w:t>
            </w:r>
            <w:r>
              <w:rPr>
                <w:spacing w:val="-14"/>
              </w:rPr>
              <w:t>广发证券发展研究中心</w:t>
            </w:r>
          </w:p>
        </w:tc>
        <w:tc>
          <w:tcPr>
            <w:tcW w:w="21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headerReference w:type="default" r:id="rId20"/>
          <w:footerReference w:type="default" r:id="rId21"/>
          <w:pgSz w:w="11910" w:h="16840"/>
          <w:pgMar w:top="400" w:right="654" w:bottom="999" w:left="560" w:header="0" w:footer="756" w:gutter="0"/>
          <w:pgNumType w:start="6"/>
          <w:cols w:num="1" w:space="708" w:equalWidth="0">
            <w:col w:w="10695" w:space="0"/>
          </w:cols>
        </w:sectPr>
      </w:pPr>
    </w:p>
    <w:tbl>
      <w:tblPr>
        <w:tblStyle w:val="TableNormal1"/>
        <w:tblW w:w="10649" w:type="dxa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395"/>
        <w:gridCol w:w="2127"/>
        <w:gridCol w:w="728"/>
        <w:gridCol w:w="707"/>
        <w:gridCol w:w="702"/>
        <w:gridCol w:w="625"/>
        <w:gridCol w:w="675"/>
        <w:gridCol w:w="690"/>
      </w:tblGrid>
      <w:tr>
        <w:tblPrEx>
          <w:tblW w:w="10649" w:type="dxa"/>
          <w:tblInd w:w="3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669"/>
        </w:trPr>
        <w:tc>
          <w:tcPr>
            <w:tcW w:w="4395" w:type="dxa"/>
            <w:tcBorders>
              <w:bottom w:val="single" w:sz="6" w:space="0" w:color="0000FF"/>
            </w:tcBorders>
            <w:vAlign w:val="top"/>
          </w:tcPr>
          <w:p>
            <w:pPr>
              <w:pStyle w:val="TableText"/>
              <w:spacing w:before="85" w:line="220" w:lineRule="auto"/>
              <w:jc w:val="right"/>
            </w:pPr>
            <w:r>
              <w:rPr>
                <w:spacing w:val="-14"/>
              </w:rPr>
              <w:t>注：表中估值按照最新收盘价计算，中国石油股份、</w:t>
            </w:r>
            <w:r>
              <w:rPr>
                <w:spacing w:val="-15"/>
              </w:rPr>
              <w:t>中国海洋石</w:t>
            </w:r>
          </w:p>
        </w:tc>
        <w:tc>
          <w:tcPr>
            <w:tcW w:w="2127" w:type="dxa"/>
            <w:tcBorders>
              <w:bottom w:val="single" w:sz="6" w:space="0" w:color="0000FF"/>
            </w:tcBorders>
            <w:vAlign w:val="top"/>
          </w:tcPr>
          <w:p>
            <w:pPr>
              <w:pStyle w:val="TableText"/>
              <w:spacing w:before="85" w:line="225" w:lineRule="auto"/>
              <w:ind w:left="17"/>
            </w:pPr>
            <w:r>
              <w:rPr>
                <w:spacing w:val="1"/>
              </w:rPr>
              <w:t>油</w:t>
            </w:r>
            <w:r>
              <w:rPr>
                <w:spacing w:val="-33"/>
              </w:rPr>
              <w:t xml:space="preserve"> </w:t>
            </w:r>
            <w:r>
              <w:rPr>
                <w:rFonts w:ascii="SimSun" w:eastAsia="SimSun" w:hAnsi="SimSun" w:cs="SimSun"/>
              </w:rPr>
              <w:t>EPS</w:t>
            </w:r>
            <w:r>
              <w:rPr>
                <w:rFonts w:ascii="SimSun" w:eastAsia="SimSun" w:hAnsi="SimSun" w:cs="SimSun"/>
                <w:spacing w:val="1"/>
              </w:rPr>
              <w:t xml:space="preserve"> </w:t>
            </w:r>
            <w:r>
              <w:rPr>
                <w:spacing w:val="1"/>
              </w:rPr>
              <w:t>单位为(元/股)</w:t>
            </w:r>
          </w:p>
        </w:tc>
        <w:tc>
          <w:tcPr>
            <w:tcW w:w="728" w:type="dxa"/>
            <w:tcBorders>
              <w:bottom w:val="single" w:sz="6" w:space="0" w:color="0000FF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7" w:type="dxa"/>
            <w:tcBorders>
              <w:bottom w:val="single" w:sz="6" w:space="0" w:color="0000FF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tcBorders>
              <w:bottom w:val="single" w:sz="6" w:space="0" w:color="0000FF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5" w:type="dxa"/>
            <w:tcBorders>
              <w:bottom w:val="single" w:sz="6" w:space="0" w:color="0000FF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5" w:type="dxa"/>
            <w:tcBorders>
              <w:bottom w:val="single" w:sz="6" w:space="0" w:color="0000FF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tcBorders>
              <w:bottom w:val="single" w:sz="6" w:space="0" w:color="0000FF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4" w:lineRule="exact"/>
        <w:rPr>
          <w:rFonts w:ascii="Arial"/>
          <w:sz w:val="2"/>
        </w:rPr>
      </w:pPr>
    </w:p>
    <w:p>
      <w:pPr>
        <w:spacing w:line="14" w:lineRule="exact"/>
        <w:rPr>
          <w:rFonts w:ascii="Arial" w:eastAsia="Arial" w:hAnsi="Arial" w:cs="Arial"/>
          <w:sz w:val="2"/>
          <w:szCs w:val="2"/>
        </w:rPr>
        <w:sectPr>
          <w:headerReference w:type="default" r:id="rId22"/>
          <w:footerReference w:type="default" r:id="rId23"/>
          <w:type w:val="nextPage"/>
          <w:pgSz w:w="11910" w:h="16840"/>
          <w:pgMar w:top="400" w:right="654" w:bottom="999" w:left="560" w:header="0" w:footer="756" w:gutter="0"/>
          <w:pgNumType w:start="7"/>
          <w:cols w:num="1" w:space="708" w:equalWidth="0">
            <w:col w:w="10695" w:space="0"/>
          </w:cols>
          <w:titlePg w:val="0"/>
        </w:sectPr>
      </w:pPr>
    </w:p>
    <w:p>
      <w:pPr>
        <w:spacing w:before="40" w:line="190" w:lineRule="auto"/>
        <w:ind w:left="6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-20"/>
          <w:sz w:val="20"/>
          <w:szCs w:val="20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7" w:line="182" w:lineRule="auto"/>
        <w:jc w:val="right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-24"/>
          <w:sz w:val="20"/>
          <w:szCs w:val="20"/>
        </w:rPr>
        <w:t>请务必</w:t>
      </w:r>
      <w:r>
        <w:rPr>
          <w:rFonts w:ascii="SimHei" w:eastAsia="SimHei" w:hAnsi="SimHei" w:cs="SimHei"/>
          <w:b/>
          <w:bCs/>
          <w:spacing w:val="-23"/>
          <w:sz w:val="20"/>
          <w:szCs w:val="20"/>
        </w:rPr>
        <w:t>阅读末页的免责声</w:t>
      </w:r>
      <w:r>
        <w:rPr>
          <w:rFonts w:ascii="SimHei" w:eastAsia="SimHei" w:hAnsi="SimHei" w:cs="SimHei"/>
          <w:b/>
          <w:bCs/>
          <w:spacing w:val="-20"/>
          <w:sz w:val="20"/>
          <w:szCs w:val="20"/>
        </w:rPr>
        <w:t>明</w:t>
      </w:r>
    </w:p>
    <w:p>
      <w:pPr>
        <w:spacing w:line="182" w:lineRule="auto"/>
        <w:rPr>
          <w:rFonts w:ascii="SimHei" w:eastAsia="SimHei" w:hAnsi="SimHei" w:cs="SimHei"/>
          <w:sz w:val="20"/>
          <w:szCs w:val="20"/>
        </w:rPr>
        <w:sectPr>
          <w:headerReference w:type="default" r:id="rId24"/>
          <w:footerReference w:type="default" r:id="rId25"/>
          <w:type w:val="continuous"/>
          <w:pgSz w:w="11910" w:h="16840"/>
          <w:pgMar w:top="400" w:right="654" w:bottom="999" w:left="560" w:header="0" w:footer="756" w:gutter="0"/>
          <w:pgNumType w:start="8"/>
          <w:cols w:num="2" w:space="708" w:equalWidth="0">
            <w:col w:w="8443" w:space="100"/>
            <w:col w:w="2153" w:space="0"/>
          </w:cols>
        </w:sectPr>
      </w:pPr>
    </w:p>
    <w:p>
      <w:pPr>
        <w:spacing w:line="248" w:lineRule="auto"/>
        <w:rPr>
          <w:rFonts w:ascii="Arial"/>
          <w:sz w:val="21"/>
        </w:rPr>
      </w:pP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374663</wp:posOffset>
            </wp:positionH>
            <wp:positionV relativeFrom="page">
              <wp:posOffset>9874285</wp:posOffset>
            </wp:positionV>
            <wp:extent cx="6750070" cy="12618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750070" cy="12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sdt>
      <w:sdtPr>
        <w:rPr>
          <w:rFonts w:ascii="KaiTi" w:eastAsia="KaiTi" w:hAnsi="KaiTi" w:cs="KaiTi"/>
          <w:sz w:val="28"/>
          <w:szCs w:val="28"/>
        </w:rPr>
        <w:id w:val="21957548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1"/>
          <w:szCs w:val="21"/>
        </w:rPr>
      </w:sdtEndPr>
      <w:sdtContent>
        <w:p>
          <w:pPr>
            <w:pStyle w:val="BodyText"/>
            <w:spacing w:before="91" w:line="224" w:lineRule="auto"/>
            <w:ind w:left="6344"/>
            <w:rPr>
              <w:sz w:val="28"/>
              <w:szCs w:val="28"/>
            </w:rPr>
          </w:pPr>
          <w:r>
            <w:rPr>
              <w:b/>
              <w:bCs/>
              <w:spacing w:val="20"/>
              <w:sz w:val="28"/>
              <w:szCs w:val="28"/>
            </w:rPr>
            <w:t>目录索引</w:t>
          </w:r>
        </w:p>
        <w:p>
          <w:pPr>
            <w:pStyle w:val="BodyText"/>
            <w:tabs>
              <w:tab w:val="right" w:leader="dot" w:pos="10584"/>
            </w:tabs>
            <w:spacing w:before="198" w:line="229" w:lineRule="auto"/>
            <w:ind w:left="2460"/>
            <w:rPr>
              <w:rFonts w:ascii="Times New Roman" w:eastAsia="Times New Roman" w:hAnsi="Times New Roman" w:cs="Times New Roman"/>
            </w:rPr>
          </w:pPr>
          <w:r>
            <w:t>一、行业整体观点</w:t>
          </w:r>
          <w:r>
            <w:rPr>
              <w:spacing w:val="-86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hyperlink w:anchor="bookmark1" w:history="1">
            <w:r>
              <w:rPr>
                <w:rFonts w:ascii="Times New Roman" w:eastAsia="Times New Roman" w:hAnsi="Times New Roman" w:cs="Times New Roman"/>
              </w:rPr>
              <w:t>5</w:t>
            </w:r>
          </w:hyperlink>
        </w:p>
        <w:p>
          <w:pPr>
            <w:pStyle w:val="BodyText"/>
            <w:tabs>
              <w:tab w:val="right" w:leader="dot" w:pos="10604"/>
            </w:tabs>
            <w:spacing w:before="27" w:line="227" w:lineRule="auto"/>
            <w:ind w:left="2460"/>
            <w:rPr>
              <w:rFonts w:ascii="Times New Roman" w:eastAsia="Times New Roman" w:hAnsi="Times New Roman" w:cs="Times New Roman"/>
            </w:rPr>
          </w:pPr>
          <w:r>
            <w:rPr>
              <w:spacing w:val="2"/>
            </w:rPr>
            <w:t>二、重点子行业信息跟踪</w:t>
          </w:r>
          <w:r>
            <w:rPr>
              <w:spacing w:val="-89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hyperlink w:anchor="bookmark2" w:history="1">
            <w:r>
              <w:rPr>
                <w:rFonts w:ascii="Times New Roman" w:eastAsia="Times New Roman" w:hAnsi="Times New Roman" w:cs="Times New Roman"/>
              </w:rPr>
              <w:t>5</w:t>
            </w:r>
          </w:hyperlink>
        </w:p>
        <w:p>
          <w:pPr>
            <w:pStyle w:val="BodyText"/>
            <w:tabs>
              <w:tab w:val="right" w:leader="dot" w:pos="10585"/>
            </w:tabs>
            <w:spacing w:before="114" w:line="229" w:lineRule="auto"/>
            <w:ind w:left="2460"/>
            <w:rPr>
              <w:rFonts w:ascii="Times New Roman" w:eastAsia="Times New Roman" w:hAnsi="Times New Roman" w:cs="Times New Roman"/>
            </w:rPr>
          </w:pPr>
          <w:r>
            <w:rPr>
              <w:color w:val="006EDC"/>
              <w:spacing w:val="-2"/>
            </w:rPr>
            <w:t>三、数据跟踪</w:t>
          </w:r>
          <w:r>
            <w:rPr>
              <w:color w:val="006EDC"/>
              <w:spacing w:val="-85"/>
            </w:rPr>
            <w:t xml:space="preserve"> </w:t>
          </w:r>
          <w:r>
            <w:tab/>
          </w:r>
          <w:r>
            <w:rPr>
              <w:color w:val="006EDC"/>
              <w:spacing w:val="-42"/>
            </w:rPr>
            <w:t xml:space="preserve"> </w:t>
          </w:r>
          <w:hyperlink w:anchor="bookmark3" w:history="1">
            <w:r>
              <w:rPr>
                <w:rFonts w:ascii="Times New Roman" w:eastAsia="Times New Roman" w:hAnsi="Times New Roman" w:cs="Times New Roman"/>
                <w:color w:val="006EDC"/>
              </w:rPr>
              <w:t>6</w:t>
            </w:r>
          </w:hyperlink>
        </w:p>
        <w:p>
          <w:pPr>
            <w:pStyle w:val="BodyText"/>
            <w:tabs>
              <w:tab w:val="right" w:leader="dot" w:pos="10605"/>
            </w:tabs>
            <w:spacing w:before="35" w:line="224" w:lineRule="auto"/>
            <w:ind w:left="3010"/>
            <w:rPr>
              <w:rFonts w:ascii="Times New Roman" w:eastAsia="Times New Roman" w:hAnsi="Times New Roman" w:cs="Times New Roman"/>
            </w:rPr>
          </w:pPr>
          <w:r>
            <w:rPr>
              <w:spacing w:val="1"/>
            </w:rPr>
            <w:t>(</w:t>
          </w:r>
          <w:r>
            <w:rPr>
              <w:spacing w:val="-10"/>
            </w:rPr>
            <w:t xml:space="preserve"> </w:t>
          </w:r>
          <w:r>
            <w:rPr>
              <w:spacing w:val="1"/>
            </w:rPr>
            <w:t>一</w:t>
          </w:r>
          <w:r>
            <w:rPr>
              <w:spacing w:val="-26"/>
            </w:rPr>
            <w:t xml:space="preserve"> </w:t>
          </w:r>
          <w:r>
            <w:rPr>
              <w:spacing w:val="1"/>
            </w:rPr>
            <w:t>)行业走势：跑输万得全</w:t>
          </w:r>
          <w:r>
            <w:rPr>
              <w:rFonts w:ascii="Times New Roman" w:eastAsia="Times New Roman" w:hAnsi="Times New Roman" w:cs="Times New Roman"/>
              <w:spacing w:val="1"/>
            </w:rPr>
            <w:t xml:space="preserve">A </w:t>
          </w:r>
          <w:r>
            <w:rPr>
              <w:spacing w:val="1"/>
            </w:rPr>
            <w:t>指数表现</w:t>
          </w:r>
          <w:r>
            <w:rPr>
              <w:spacing w:val="-84"/>
            </w:rPr>
            <w:t xml:space="preserve"> </w:t>
          </w:r>
          <w:r>
            <w:tab/>
          </w:r>
          <w:hyperlink w:anchor="bookmark4" w:history="1">
            <w:r>
              <w:rPr>
                <w:rFonts w:ascii="Times New Roman" w:eastAsia="Times New Roman" w:hAnsi="Times New Roman" w:cs="Times New Roman"/>
              </w:rPr>
              <w:t>6</w:t>
            </w:r>
          </w:hyperlink>
        </w:p>
        <w:p>
          <w:pPr>
            <w:pStyle w:val="BodyText"/>
            <w:tabs>
              <w:tab w:val="right" w:leader="dot" w:pos="10601"/>
            </w:tabs>
            <w:spacing w:before="74" w:line="232" w:lineRule="auto"/>
            <w:ind w:left="3010"/>
            <w:rPr>
              <w:rFonts w:ascii="Times New Roman" w:eastAsia="Times New Roman" w:hAnsi="Times New Roman" w:cs="Times New Roman"/>
            </w:rPr>
          </w:pPr>
          <w:r>
            <w:rPr>
              <w:spacing w:val="-1"/>
            </w:rPr>
            <w:t>(</w:t>
          </w:r>
          <w:r>
            <w:rPr>
              <w:spacing w:val="-18"/>
            </w:rPr>
            <w:t xml:space="preserve"> </w:t>
          </w:r>
          <w:r>
            <w:rPr>
              <w:spacing w:val="-1"/>
            </w:rPr>
            <w:t>二</w:t>
          </w:r>
          <w:r>
            <w:rPr>
              <w:spacing w:val="-22"/>
            </w:rPr>
            <w:t xml:space="preserve"> </w:t>
          </w:r>
          <w:r>
            <w:rPr>
              <w:spacing w:val="-1"/>
            </w:rPr>
            <w:t>)宏观数据</w:t>
          </w:r>
          <w:r>
            <w:tab/>
          </w:r>
          <w:hyperlink w:anchor="bookmark5" w:history="1">
            <w:r>
              <w:rPr>
                <w:rFonts w:ascii="Times New Roman" w:eastAsia="Times New Roman" w:hAnsi="Times New Roman" w:cs="Times New Roman"/>
              </w:rPr>
              <w:t>8</w:t>
            </w:r>
          </w:hyperlink>
        </w:p>
        <w:p>
          <w:pPr>
            <w:pStyle w:val="BodyText"/>
            <w:tabs>
              <w:tab w:val="right" w:leader="dot" w:pos="10605"/>
            </w:tabs>
            <w:spacing w:before="61" w:line="229" w:lineRule="auto"/>
            <w:ind w:left="3010"/>
            <w:rPr>
              <w:rFonts w:ascii="Times New Roman" w:eastAsia="Times New Roman" w:hAnsi="Times New Roman" w:cs="Times New Roman"/>
            </w:rPr>
          </w:pPr>
          <w:r>
            <w:rPr>
              <w:spacing w:val="-1"/>
            </w:rPr>
            <w:t>(</w:t>
          </w:r>
          <w:r>
            <w:rPr>
              <w:spacing w:val="-18"/>
            </w:rPr>
            <w:t xml:space="preserve"> </w:t>
          </w:r>
          <w:r>
            <w:rPr>
              <w:spacing w:val="-1"/>
            </w:rPr>
            <w:t>三</w:t>
          </w:r>
          <w:r>
            <w:rPr>
              <w:spacing w:val="-22"/>
            </w:rPr>
            <w:t xml:space="preserve"> </w:t>
          </w:r>
          <w:r>
            <w:rPr>
              <w:spacing w:val="-1"/>
            </w:rPr>
            <w:t>)下游数据</w:t>
          </w:r>
          <w:r>
            <w:tab/>
          </w:r>
          <w:hyperlink w:anchor="bookmark6" w:history="1">
            <w:r>
              <w:rPr>
                <w:rFonts w:ascii="Times New Roman" w:eastAsia="Times New Roman" w:hAnsi="Times New Roman" w:cs="Times New Roman"/>
              </w:rPr>
              <w:t>9</w:t>
            </w:r>
          </w:hyperlink>
        </w:p>
        <w:p>
          <w:pPr>
            <w:pStyle w:val="BodyText"/>
            <w:tabs>
              <w:tab w:val="right" w:leader="dot" w:pos="10605"/>
            </w:tabs>
            <w:spacing w:before="61" w:line="229" w:lineRule="auto"/>
            <w:ind w:left="3010"/>
            <w:rPr>
              <w:rFonts w:ascii="Times New Roman" w:eastAsia="Times New Roman" w:hAnsi="Times New Roman" w:cs="Times New Roman"/>
            </w:rPr>
          </w:pPr>
          <w:r>
            <w:rPr>
              <w:spacing w:val="-2"/>
            </w:rPr>
            <w:t>(</w:t>
          </w:r>
          <w:r>
            <w:rPr>
              <w:spacing w:val="-2"/>
            </w:rPr>
            <w:t xml:space="preserve"> </w:t>
          </w:r>
          <w:r>
            <w:rPr>
              <w:spacing w:val="-2"/>
            </w:rPr>
            <w:t>四</w:t>
          </w:r>
          <w:r>
            <w:rPr>
              <w:spacing w:val="-25"/>
            </w:rPr>
            <w:t xml:space="preserve"> </w:t>
          </w:r>
          <w:r>
            <w:rPr>
              <w:spacing w:val="-2"/>
            </w:rPr>
            <w:t>)价格及价差波幅较大化工品</w:t>
          </w:r>
          <w:r>
            <w:rPr>
              <w:spacing w:val="-90"/>
            </w:rPr>
            <w:t xml:space="preserve"> </w:t>
          </w:r>
          <w:r>
            <w:tab/>
          </w:r>
          <w:hyperlink w:anchor="bookmark7" w:history="1">
            <w:r>
              <w:rPr>
                <w:rFonts w:ascii="Times New Roman" w:eastAsia="Times New Roman" w:hAnsi="Times New Roman" w:cs="Times New Roman"/>
              </w:rPr>
              <w:t>9</w:t>
            </w:r>
          </w:hyperlink>
        </w:p>
        <w:p>
          <w:pPr>
            <w:pStyle w:val="BodyText"/>
            <w:tabs>
              <w:tab w:val="right" w:leader="dot" w:pos="10565"/>
            </w:tabs>
            <w:spacing w:before="40" w:line="230" w:lineRule="auto"/>
            <w:ind w:left="2460"/>
            <w:rPr>
              <w:rFonts w:ascii="Times New Roman" w:eastAsia="Times New Roman" w:hAnsi="Times New Roman" w:cs="Times New Roman"/>
            </w:rPr>
          </w:pPr>
          <w:r>
            <w:t>四、风险提示</w:t>
          </w:r>
          <w:r>
            <w:rPr>
              <w:spacing w:val="-87"/>
            </w:rPr>
            <w:t xml:space="preserve"> </w:t>
          </w:r>
          <w:r>
            <w:tab/>
          </w:r>
          <w:hyperlink w:anchor="bookmark8" w:history="1">
            <w:r>
              <w:rPr>
                <w:rFonts w:ascii="Times New Roman" w:eastAsia="Times New Roman" w:hAnsi="Times New Roman" w:cs="Times New Roman"/>
                <w:spacing w:val="-5"/>
              </w:rPr>
              <w:t>15</w:t>
            </w:r>
          </w:hyperlink>
        </w:p>
      </w:sdtContent>
    </w:sdt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  <w:sectPr>
          <w:headerReference w:type="default" r:id="rId27"/>
          <w:footerReference w:type="default" r:id="rId28"/>
          <w:pgSz w:w="11910" w:h="16840"/>
          <w:pgMar w:top="1389" w:right="652" w:bottom="957" w:left="560" w:header="759" w:footer="767" w:gutter="0"/>
          <w:pgNumType w:start="9"/>
          <w:cols w:num="1" w:space="708" w:equalWidth="0">
            <w:col w:w="10698" w:space="0"/>
          </w:cols>
        </w:sectPr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ectPr>
          <w:headerReference w:type="default" r:id="rId29"/>
          <w:footerReference w:type="default" r:id="rId30"/>
          <w:type w:val="nextPage"/>
          <w:pgSz w:w="11910" w:h="16840"/>
          <w:pgMar w:top="1389" w:right="652" w:bottom="957" w:left="560" w:header="759" w:footer="767" w:gutter="0"/>
          <w:pgNumType w:start="10"/>
          <w:cols w:num="1" w:space="708" w:equalWidth="0">
            <w:col w:w="10698" w:space="0"/>
          </w:cols>
          <w:titlePg w:val="0"/>
        </w:sectPr>
      </w:pPr>
    </w:p>
    <w:p>
      <w:pPr>
        <w:pStyle w:val="BodyText"/>
        <w:spacing w:before="44" w:line="194" w:lineRule="auto"/>
        <w:ind w:left="62"/>
      </w:pPr>
      <w:r>
        <w:rPr>
          <w:b/>
          <w:bCs/>
          <w:color w:val="0077D2"/>
          <w:spacing w:val="-16"/>
          <w:w w:val="93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4" w:line="192" w:lineRule="auto"/>
        <w:jc w:val="right"/>
      </w:pPr>
      <w:r>
        <w:rPr>
          <w:b/>
          <w:bCs/>
          <w:color w:val="004BAE"/>
          <w:spacing w:val="-26"/>
          <w:w w:val="96"/>
        </w:rPr>
        <w:t>请</w:t>
      </w:r>
      <w:r>
        <w:rPr>
          <w:b/>
          <w:bCs/>
          <w:color w:val="004BAE"/>
          <w:spacing w:val="-25"/>
          <w:w w:val="96"/>
        </w:rPr>
        <w:t>务必阅读末页的免责声</w:t>
      </w:r>
      <w:r>
        <w:rPr>
          <w:b/>
          <w:bCs/>
          <w:color w:val="004BAE"/>
          <w:spacing w:val="-24"/>
          <w:w w:val="96"/>
        </w:rPr>
        <w:t>明</w:t>
      </w:r>
    </w:p>
    <w:p>
      <w:pPr>
        <w:spacing w:line="192" w:lineRule="auto"/>
        <w:sectPr>
          <w:headerReference w:type="default" r:id="rId31"/>
          <w:footerReference w:type="default" r:id="rId32"/>
          <w:type w:val="continuous"/>
          <w:pgSz w:w="11910" w:h="16840"/>
          <w:pgMar w:top="1389" w:right="652" w:bottom="957" w:left="560" w:header="759" w:footer="767" w:gutter="0"/>
          <w:pgNumType w:start="11"/>
          <w:cols w:num="2" w:space="708" w:equalWidth="0">
            <w:col w:w="8443" w:space="100"/>
            <w:col w:w="2156" w:space="0"/>
          </w:cols>
        </w:sectPr>
      </w:pPr>
    </w:p>
    <w:p>
      <w:pPr>
        <w:spacing w:line="407" w:lineRule="auto"/>
        <w:rPr>
          <w:rFonts w:ascii="Arial"/>
          <w:sz w:val="21"/>
        </w:rPr>
      </w:pPr>
    </w:p>
    <w:sdt>
      <w:sdtPr>
        <w:rPr>
          <w:rFonts w:ascii="KaiTi" w:eastAsia="KaiTi" w:hAnsi="KaiTi" w:cs="KaiTi"/>
          <w:sz w:val="28"/>
          <w:szCs w:val="28"/>
        </w:rPr>
        <w:id w:val="24325495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0"/>
          <w:szCs w:val="20"/>
        </w:rPr>
      </w:sdtEndPr>
      <w:sdtContent>
        <w:p>
          <w:pPr>
            <w:pStyle w:val="BodyText"/>
            <w:spacing w:before="91" w:line="224" w:lineRule="auto"/>
            <w:ind w:left="6334"/>
            <w:rPr>
              <w:sz w:val="28"/>
              <w:szCs w:val="28"/>
            </w:rPr>
          </w:pPr>
          <w:r>
            <w:rPr>
              <w:b/>
              <w:bCs/>
              <w:spacing w:val="22"/>
              <w:sz w:val="28"/>
              <w:szCs w:val="28"/>
            </w:rPr>
            <w:t>图表索引</w:t>
          </w:r>
        </w:p>
        <w:p>
          <w:pPr>
            <w:pStyle w:val="BodyText"/>
            <w:tabs>
              <w:tab w:val="right" w:leader="dot" w:pos="10591"/>
            </w:tabs>
            <w:spacing w:before="215" w:line="227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4"/>
              <w:sz w:val="20"/>
              <w:szCs w:val="20"/>
            </w:rPr>
            <w:t>图</w:t>
          </w:r>
          <w:r>
            <w:rPr>
              <w:spacing w:val="14"/>
              <w:sz w:val="20"/>
              <w:szCs w:val="20"/>
            </w:rPr>
            <w:t xml:space="preserve"> </w:t>
          </w:r>
          <w:r>
            <w:rPr>
              <w:spacing w:val="14"/>
              <w:sz w:val="20"/>
              <w:szCs w:val="20"/>
            </w:rPr>
            <w:t>1</w:t>
          </w:r>
          <w:r>
            <w:rPr>
              <w:spacing w:val="14"/>
              <w:sz w:val="20"/>
              <w:szCs w:val="20"/>
            </w:rPr>
            <w:t xml:space="preserve"> </w:t>
          </w:r>
          <w:r>
            <w:rPr>
              <w:spacing w:val="14"/>
              <w:sz w:val="20"/>
              <w:szCs w:val="20"/>
            </w:rPr>
            <w:t>:子行业</w:t>
          </w:r>
          <w:r>
            <w:rPr>
              <w:spacing w:val="-50"/>
              <w:sz w:val="20"/>
              <w:szCs w:val="20"/>
            </w:rPr>
            <w:t xml:space="preserve"> </w:t>
          </w:r>
          <w:r>
            <w:rPr>
              <w:spacing w:val="14"/>
              <w:sz w:val="20"/>
              <w:szCs w:val="20"/>
            </w:rPr>
            <w:t>一</w:t>
          </w:r>
          <w:r>
            <w:rPr>
              <w:spacing w:val="-54"/>
              <w:sz w:val="20"/>
              <w:szCs w:val="20"/>
            </w:rPr>
            <w:t xml:space="preserve"> </w:t>
          </w:r>
          <w:r>
            <w:rPr>
              <w:spacing w:val="14"/>
              <w:sz w:val="20"/>
              <w:szCs w:val="20"/>
            </w:rPr>
            <w:t>周涨幅(%)</w:t>
          </w:r>
          <w:r>
            <w:rPr>
              <w:sz w:val="20"/>
              <w:szCs w:val="20"/>
            </w:rPr>
            <w:tab/>
          </w:r>
          <w:hyperlink w:anchor="bookmark9" w:history="1"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7</w:t>
            </w:r>
          </w:hyperlink>
        </w:p>
        <w:p>
          <w:pPr>
            <w:pStyle w:val="BodyText"/>
            <w:tabs>
              <w:tab w:val="right" w:leader="dot" w:pos="10591"/>
            </w:tabs>
            <w:spacing w:before="82" w:line="224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8"/>
              <w:sz w:val="20"/>
              <w:szCs w:val="20"/>
            </w:rPr>
            <w:t>图</w:t>
          </w:r>
          <w:r>
            <w:rPr>
              <w:spacing w:val="-11"/>
              <w:sz w:val="20"/>
              <w:szCs w:val="20"/>
            </w:rPr>
            <w:t xml:space="preserve"> </w:t>
          </w:r>
          <w:r>
            <w:rPr>
              <w:spacing w:val="18"/>
              <w:sz w:val="20"/>
              <w:szCs w:val="20"/>
            </w:rPr>
            <w:t>2</w:t>
          </w:r>
          <w:r>
            <w:rPr>
              <w:spacing w:val="18"/>
              <w:sz w:val="20"/>
              <w:szCs w:val="20"/>
            </w:rPr>
            <w:t xml:space="preserve"> </w:t>
          </w:r>
          <w:r>
            <w:rPr>
              <w:spacing w:val="18"/>
              <w:sz w:val="20"/>
              <w:szCs w:val="20"/>
            </w:rPr>
            <w:t>:子行业</w:t>
          </w:r>
          <w:r>
            <w:rPr>
              <w:spacing w:val="-53"/>
              <w:sz w:val="20"/>
              <w:szCs w:val="20"/>
            </w:rPr>
            <w:t xml:space="preserve"> </w:t>
          </w:r>
          <w:r>
            <w:rPr>
              <w:spacing w:val="18"/>
              <w:sz w:val="20"/>
              <w:szCs w:val="20"/>
            </w:rPr>
            <w:t>一个月涨幅(%)</w:t>
          </w:r>
          <w:r>
            <w:rPr>
              <w:sz w:val="20"/>
              <w:szCs w:val="20"/>
            </w:rPr>
            <w:tab/>
          </w:r>
          <w:hyperlink w:anchor="bookmark10" w:history="1"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7</w:t>
            </w:r>
          </w:hyperlink>
        </w:p>
        <w:p>
          <w:pPr>
            <w:pStyle w:val="BodyText"/>
            <w:tabs>
              <w:tab w:val="right" w:leader="dot" w:pos="10596"/>
            </w:tabs>
            <w:spacing w:before="57" w:line="224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23"/>
              <w:sz w:val="20"/>
              <w:szCs w:val="20"/>
            </w:rPr>
            <w:t>图</w:t>
          </w:r>
          <w:r>
            <w:rPr>
              <w:spacing w:val="23"/>
              <w:sz w:val="20"/>
              <w:szCs w:val="20"/>
            </w:rPr>
            <w:t xml:space="preserve"> </w:t>
          </w:r>
          <w:r>
            <w:rPr>
              <w:spacing w:val="23"/>
              <w:sz w:val="20"/>
              <w:szCs w:val="20"/>
            </w:rPr>
            <w:t>3:</w:t>
          </w:r>
          <w:r>
            <w:rPr>
              <w:spacing w:val="-9"/>
              <w:sz w:val="20"/>
              <w:szCs w:val="20"/>
            </w:rPr>
            <w:t xml:space="preserve"> </w:t>
          </w:r>
          <w:r>
            <w:rPr>
              <w:spacing w:val="23"/>
              <w:sz w:val="20"/>
              <w:szCs w:val="20"/>
            </w:rPr>
            <w:t>子行业三个月涨幅(%)</w:t>
          </w:r>
          <w:r>
            <w:rPr>
              <w:sz w:val="20"/>
              <w:szCs w:val="20"/>
            </w:rPr>
            <w:tab/>
          </w:r>
          <w:hyperlink w:anchor="bookmark11" w:history="1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hyperlink>
        </w:p>
        <w:p>
          <w:pPr>
            <w:pStyle w:val="BodyText"/>
            <w:tabs>
              <w:tab w:val="right" w:leader="dot" w:pos="10596"/>
            </w:tabs>
            <w:spacing w:before="72" w:line="220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21"/>
              <w:sz w:val="20"/>
              <w:szCs w:val="20"/>
            </w:rPr>
            <w:t>图</w:t>
          </w:r>
          <w:r>
            <w:rPr>
              <w:spacing w:val="21"/>
              <w:sz w:val="20"/>
              <w:szCs w:val="20"/>
            </w:rPr>
            <w:t xml:space="preserve"> </w:t>
          </w:r>
          <w:r>
            <w:rPr>
              <w:spacing w:val="21"/>
              <w:sz w:val="20"/>
              <w:szCs w:val="20"/>
            </w:rPr>
            <w:t>4:</w:t>
          </w:r>
          <w:r>
            <w:rPr>
              <w:spacing w:val="-12"/>
              <w:sz w:val="20"/>
              <w:szCs w:val="20"/>
            </w:rPr>
            <w:t xml:space="preserve"> </w:t>
          </w:r>
          <w:r>
            <w:rPr>
              <w:spacing w:val="21"/>
              <w:sz w:val="20"/>
              <w:szCs w:val="20"/>
            </w:rPr>
            <w:t>相关价格指数(当月同比，%)</w:t>
          </w:r>
          <w:r>
            <w:rPr>
              <w:sz w:val="20"/>
              <w:szCs w:val="20"/>
            </w:rPr>
            <w:tab/>
          </w:r>
          <w:hyperlink w:anchor="bookmark12" w:history="1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hyperlink>
        </w:p>
        <w:p>
          <w:pPr>
            <w:pStyle w:val="BodyText"/>
            <w:tabs>
              <w:tab w:val="right" w:leader="dot" w:pos="10596"/>
            </w:tabs>
            <w:spacing w:before="102" w:line="220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7"/>
              <w:sz w:val="20"/>
              <w:szCs w:val="20"/>
            </w:rPr>
            <w:t>图</w:t>
          </w:r>
          <w:r>
            <w:rPr>
              <w:spacing w:val="17"/>
              <w:sz w:val="20"/>
              <w:szCs w:val="20"/>
            </w:rPr>
            <w:t xml:space="preserve"> </w:t>
          </w:r>
          <w:r>
            <w:rPr>
              <w:spacing w:val="17"/>
              <w:sz w:val="20"/>
              <w:szCs w:val="20"/>
            </w:rPr>
            <w:t>5</w:t>
          </w:r>
          <w:r>
            <w:rPr>
              <w:spacing w:val="45"/>
              <w:sz w:val="20"/>
              <w:szCs w:val="20"/>
            </w:rPr>
            <w:t xml:space="preserve"> </w:t>
          </w:r>
          <w:r>
            <w:rPr>
              <w:spacing w:val="17"/>
              <w:sz w:val="20"/>
              <w:szCs w:val="20"/>
            </w:rPr>
            <w:t>:规模以上工业增加值增速(累计同比，%)</w:t>
          </w:r>
          <w:r>
            <w:rPr>
              <w:sz w:val="20"/>
              <w:szCs w:val="20"/>
            </w:rPr>
            <w:tab/>
          </w:r>
          <w:hyperlink w:anchor="bookmark5" w:history="1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85" w:line="223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9"/>
              <w:sz w:val="20"/>
              <w:szCs w:val="20"/>
            </w:rPr>
            <w:t>图</w:t>
          </w:r>
          <w:r>
            <w:rPr>
              <w:spacing w:val="19"/>
              <w:sz w:val="20"/>
              <w:szCs w:val="20"/>
            </w:rPr>
            <w:t xml:space="preserve"> </w:t>
          </w:r>
          <w:r>
            <w:rPr>
              <w:spacing w:val="19"/>
              <w:sz w:val="20"/>
              <w:szCs w:val="20"/>
            </w:rPr>
            <w:t>6:</w:t>
          </w:r>
          <w:r>
            <w:rPr>
              <w:spacing w:val="6"/>
              <w:sz w:val="20"/>
              <w:szCs w:val="20"/>
            </w:rPr>
            <w:t xml:space="preserve"> </w:t>
          </w:r>
          <w:r>
            <w:rPr>
              <w:spacing w:val="19"/>
              <w:sz w:val="20"/>
              <w:szCs w:val="20"/>
            </w:rPr>
            <w:t>房地产新开工、销售累计同比(%)</w:t>
          </w:r>
          <w:r>
            <w:rPr>
              <w:sz w:val="20"/>
              <w:szCs w:val="20"/>
            </w:rPr>
            <w:tab/>
          </w:r>
          <w:hyperlink w:anchor="bookmark6" w:history="1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88" w:line="223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7"/>
              <w:sz w:val="20"/>
              <w:szCs w:val="20"/>
            </w:rPr>
            <w:t>图</w:t>
          </w:r>
          <w:r>
            <w:rPr>
              <w:spacing w:val="17"/>
              <w:sz w:val="20"/>
              <w:szCs w:val="20"/>
            </w:rPr>
            <w:t xml:space="preserve"> </w:t>
          </w:r>
          <w:r>
            <w:rPr>
              <w:spacing w:val="17"/>
              <w:sz w:val="20"/>
              <w:szCs w:val="20"/>
            </w:rPr>
            <w:t>7</w:t>
          </w:r>
          <w:r>
            <w:rPr>
              <w:spacing w:val="42"/>
              <w:sz w:val="20"/>
              <w:szCs w:val="20"/>
            </w:rPr>
            <w:t xml:space="preserve"> </w:t>
          </w:r>
          <w:r>
            <w:rPr>
              <w:spacing w:val="17"/>
              <w:sz w:val="20"/>
              <w:szCs w:val="20"/>
            </w:rPr>
            <w:t>:中国内地汽车产量和销量累计同比(%)</w:t>
          </w:r>
          <w:r>
            <w:rPr>
              <w:sz w:val="20"/>
              <w:szCs w:val="20"/>
            </w:rPr>
            <w:tab/>
          </w:r>
          <w:hyperlink w:anchor="bookmark7" w:history="1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hyperlink>
        </w:p>
        <w:p>
          <w:pPr>
            <w:pStyle w:val="BodyText"/>
            <w:tabs>
              <w:tab w:val="right" w:leader="dot" w:pos="10590"/>
            </w:tabs>
            <w:spacing w:before="78" w:line="223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5"/>
              <w:sz w:val="20"/>
              <w:szCs w:val="20"/>
            </w:rPr>
            <w:t>图</w:t>
          </w:r>
          <w:r>
            <w:rPr>
              <w:spacing w:val="-24"/>
              <w:sz w:val="20"/>
              <w:szCs w:val="20"/>
            </w:rPr>
            <w:t xml:space="preserve"> </w:t>
          </w:r>
          <w:r>
            <w:rPr>
              <w:spacing w:val="15"/>
              <w:sz w:val="20"/>
              <w:szCs w:val="20"/>
            </w:rPr>
            <w:t>8</w:t>
          </w:r>
          <w:r>
            <w:rPr>
              <w:spacing w:val="15"/>
              <w:sz w:val="20"/>
              <w:szCs w:val="20"/>
            </w:rPr>
            <w:t xml:space="preserve"> </w:t>
          </w:r>
          <w:r>
            <w:rPr>
              <w:spacing w:val="15"/>
              <w:sz w:val="20"/>
              <w:szCs w:val="20"/>
            </w:rPr>
            <w:t>:</w:t>
          </w:r>
          <w:r>
            <w:rPr>
              <w:spacing w:val="15"/>
              <w:sz w:val="20"/>
              <w:szCs w:val="20"/>
            </w:rPr>
            <w:t xml:space="preserve"> </w:t>
          </w:r>
          <w:r>
            <w:rPr>
              <w:spacing w:val="15"/>
              <w:sz w:val="20"/>
              <w:szCs w:val="20"/>
            </w:rPr>
            <w:t>中国内地主要家电产量累计同比(%)</w:t>
          </w:r>
          <w:r>
            <w:rPr>
              <w:sz w:val="20"/>
              <w:szCs w:val="20"/>
            </w:rPr>
            <w:tab/>
          </w:r>
          <w:hyperlink w:anchor="bookmark13" w:history="1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hyperlink>
        </w:p>
        <w:p>
          <w:pPr>
            <w:pStyle w:val="BodyText"/>
            <w:tabs>
              <w:tab w:val="right" w:leader="dot" w:pos="10575"/>
            </w:tabs>
            <w:spacing w:before="94" w:line="228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5"/>
              <w:sz w:val="20"/>
              <w:szCs w:val="20"/>
            </w:rPr>
            <w:t>图</w:t>
          </w:r>
          <w:r>
            <w:rPr>
              <w:spacing w:val="28"/>
              <w:sz w:val="20"/>
              <w:szCs w:val="20"/>
            </w:rPr>
            <w:t xml:space="preserve"> </w:t>
          </w:r>
          <w:r>
            <w:rPr>
              <w:spacing w:val="15"/>
              <w:sz w:val="20"/>
              <w:szCs w:val="20"/>
            </w:rPr>
            <w:t>9:</w:t>
          </w:r>
          <w:r>
            <w:rPr>
              <w:spacing w:val="-12"/>
              <w:sz w:val="20"/>
              <w:szCs w:val="20"/>
            </w:rPr>
            <w:t xml:space="preserve"> </w:t>
          </w:r>
          <w:r>
            <w:rPr>
              <w:spacing w:val="15"/>
              <w:sz w:val="20"/>
              <w:szCs w:val="20"/>
            </w:rPr>
            <w:t>液氯(元/吨)</w:t>
          </w:r>
          <w:r>
            <w:rPr>
              <w:sz w:val="20"/>
              <w:szCs w:val="20"/>
            </w:rPr>
            <w:tab/>
          </w:r>
          <w:r>
            <w:rPr>
              <w:spacing w:val="-47"/>
              <w:sz w:val="20"/>
              <w:szCs w:val="20"/>
            </w:rPr>
            <w:t xml:space="preserve"> </w:t>
          </w:r>
          <w:hyperlink w:anchor="bookmark14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10</w:t>
            </w:r>
          </w:hyperlink>
        </w:p>
        <w:p>
          <w:pPr>
            <w:pStyle w:val="BodyText"/>
            <w:tabs>
              <w:tab w:val="right" w:leader="dot" w:pos="10565"/>
            </w:tabs>
            <w:spacing w:before="70" w:line="225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3"/>
              <w:sz w:val="20"/>
              <w:szCs w:val="20"/>
            </w:rPr>
            <w:t>图10:</w:t>
          </w:r>
          <w:r>
            <w:rPr>
              <w:spacing w:val="3"/>
              <w:sz w:val="20"/>
              <w:szCs w:val="20"/>
            </w:rPr>
            <w:t xml:space="preserve"> </w:t>
          </w:r>
          <w:r>
            <w:rPr>
              <w:spacing w:val="3"/>
              <w:sz w:val="20"/>
              <w:szCs w:val="20"/>
            </w:rPr>
            <w:t>波罗的海干散货指数</w:t>
          </w:r>
          <w:r>
            <w:rPr>
              <w:spacing w:val="3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>BDI</w:t>
          </w:r>
          <w:r>
            <w:rPr>
              <w:rFonts w:ascii="Times New Roman" w:eastAsia="Times New Roman" w:hAnsi="Times New Roman" w:cs="Times New Roman"/>
              <w:spacing w:val="42"/>
              <w:sz w:val="20"/>
              <w:szCs w:val="20"/>
            </w:rPr>
            <w:t xml:space="preserve"> </w:t>
          </w:r>
          <w:r>
            <w:rPr>
              <w:spacing w:val="3"/>
              <w:sz w:val="20"/>
              <w:szCs w:val="20"/>
            </w:rPr>
            <w:t>(</w:t>
          </w:r>
          <w:r>
            <w:rPr>
              <w:spacing w:val="3"/>
              <w:sz w:val="20"/>
              <w:szCs w:val="20"/>
            </w:rPr>
            <w:t xml:space="preserve"> </w:t>
          </w:r>
          <w:r>
            <w:rPr>
              <w:spacing w:val="3"/>
              <w:sz w:val="20"/>
              <w:szCs w:val="20"/>
            </w:rPr>
            <w:t>点</w:t>
          </w:r>
          <w:r>
            <w:rPr>
              <w:spacing w:val="3"/>
              <w:sz w:val="20"/>
              <w:szCs w:val="20"/>
            </w:rPr>
            <w:t xml:space="preserve"> </w:t>
          </w:r>
          <w:r>
            <w:rPr>
              <w:spacing w:val="3"/>
              <w:sz w:val="20"/>
              <w:szCs w:val="20"/>
            </w:rPr>
            <w:t>)</w:t>
          </w:r>
          <w:r>
            <w:rPr>
              <w:sz w:val="20"/>
              <w:szCs w:val="20"/>
            </w:rPr>
            <w:tab/>
          </w:r>
          <w:hyperlink w:anchor="bookmark15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10</w:t>
            </w:r>
          </w:hyperlink>
        </w:p>
        <w:p>
          <w:pPr>
            <w:pStyle w:val="BodyText"/>
            <w:tabs>
              <w:tab w:val="right" w:leader="dot" w:pos="10555"/>
            </w:tabs>
            <w:spacing w:before="140" w:line="228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25"/>
              <w:sz w:val="20"/>
              <w:szCs w:val="20"/>
            </w:rPr>
            <w:t>图11:</w:t>
          </w:r>
          <w:r>
            <w:rPr>
              <w:spacing w:val="-19"/>
              <w:sz w:val="20"/>
              <w:szCs w:val="20"/>
            </w:rPr>
            <w:t xml:space="preserve"> </w:t>
          </w:r>
          <w:r>
            <w:rPr>
              <w:spacing w:val="25"/>
              <w:sz w:val="20"/>
              <w:szCs w:val="20"/>
            </w:rPr>
            <w:t>硫酸(元/吨)</w:t>
          </w:r>
          <w:r>
            <w:rPr>
              <w:sz w:val="20"/>
              <w:szCs w:val="20"/>
            </w:rPr>
            <w:tab/>
          </w:r>
          <w:hyperlink w:anchor="bookmark16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10</w:t>
            </w:r>
          </w:hyperlink>
        </w:p>
        <w:p>
          <w:pPr>
            <w:pStyle w:val="BodyText"/>
            <w:tabs>
              <w:tab w:val="right" w:leader="dot" w:pos="10565"/>
            </w:tabs>
            <w:spacing w:before="23" w:line="228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27"/>
              <w:sz w:val="20"/>
              <w:szCs w:val="20"/>
            </w:rPr>
            <w:t>图12:</w:t>
          </w:r>
          <w:r>
            <w:rPr>
              <w:spacing w:val="-13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>EVA</w:t>
          </w:r>
          <w:r>
            <w:rPr>
              <w:spacing w:val="27"/>
              <w:sz w:val="20"/>
              <w:szCs w:val="20"/>
            </w:rPr>
            <w:t>(光伏用)(元/吨)</w:t>
          </w:r>
          <w:r>
            <w:rPr>
              <w:sz w:val="20"/>
              <w:szCs w:val="20"/>
            </w:rPr>
            <w:tab/>
          </w:r>
          <w:r>
            <w:rPr>
              <w:spacing w:val="-67"/>
              <w:sz w:val="20"/>
              <w:szCs w:val="20"/>
            </w:rPr>
            <w:t xml:space="preserve"> </w:t>
          </w:r>
          <w:hyperlink w:anchor="bookmark17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10</w:t>
            </w:r>
          </w:hyperlink>
        </w:p>
        <w:p>
          <w:pPr>
            <w:pStyle w:val="BodyText"/>
            <w:tabs>
              <w:tab w:val="right" w:leader="dot" w:pos="10575"/>
            </w:tabs>
            <w:spacing w:before="82" w:line="227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9"/>
              <w:sz w:val="20"/>
              <w:szCs w:val="20"/>
            </w:rPr>
            <w:t>图</w:t>
          </w:r>
          <w:r>
            <w:rPr>
              <w:spacing w:val="9"/>
              <w:sz w:val="20"/>
              <w:szCs w:val="20"/>
            </w:rPr>
            <w:t xml:space="preserve"> </w:t>
          </w:r>
          <w:r>
            <w:rPr>
              <w:spacing w:val="9"/>
              <w:sz w:val="20"/>
              <w:szCs w:val="20"/>
            </w:rPr>
            <w:t>1</w:t>
          </w:r>
          <w:r>
            <w:rPr>
              <w:spacing w:val="-17"/>
              <w:sz w:val="20"/>
              <w:szCs w:val="20"/>
            </w:rPr>
            <w:t xml:space="preserve"> </w:t>
          </w:r>
          <w:r>
            <w:rPr>
              <w:spacing w:val="9"/>
              <w:sz w:val="20"/>
              <w:szCs w:val="20"/>
            </w:rPr>
            <w:t>3</w:t>
          </w:r>
          <w:r>
            <w:rPr>
              <w:spacing w:val="9"/>
              <w:sz w:val="20"/>
              <w:szCs w:val="20"/>
            </w:rPr>
            <w:t xml:space="preserve"> </w:t>
          </w:r>
          <w:r>
            <w:rPr>
              <w:spacing w:val="9"/>
              <w:sz w:val="20"/>
              <w:szCs w:val="20"/>
            </w:rPr>
            <w:t>:亚氨基二乙腈(元/吨)</w:t>
          </w:r>
          <w:r>
            <w:rPr>
              <w:sz w:val="20"/>
              <w:szCs w:val="20"/>
            </w:rPr>
            <w:tab/>
          </w:r>
          <w:r>
            <w:rPr>
              <w:spacing w:val="-7"/>
              <w:sz w:val="20"/>
              <w:szCs w:val="20"/>
            </w:rPr>
            <w:t xml:space="preserve"> </w:t>
          </w:r>
          <w:hyperlink w:anchor="bookmark18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10</w:t>
            </w:r>
          </w:hyperlink>
        </w:p>
        <w:p>
          <w:pPr>
            <w:pStyle w:val="BodyText"/>
            <w:tabs>
              <w:tab w:val="right" w:leader="dot" w:pos="10575"/>
            </w:tabs>
            <w:spacing w:before="72" w:line="225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"/>
              <w:sz w:val="20"/>
              <w:szCs w:val="20"/>
            </w:rPr>
            <w:t>图</w:t>
          </w:r>
          <w:r>
            <w:rPr>
              <w:spacing w:val="1"/>
              <w:sz w:val="20"/>
              <w:szCs w:val="20"/>
            </w:rPr>
            <w:t xml:space="preserve"> </w:t>
          </w:r>
          <w:r>
            <w:rPr>
              <w:spacing w:val="1"/>
              <w:sz w:val="20"/>
              <w:szCs w:val="20"/>
            </w:rPr>
            <w:t>1</w:t>
          </w:r>
          <w:r>
            <w:rPr>
              <w:spacing w:val="-11"/>
              <w:sz w:val="20"/>
              <w:szCs w:val="20"/>
            </w:rPr>
            <w:t xml:space="preserve"> </w:t>
          </w:r>
          <w:r>
            <w:rPr>
              <w:spacing w:val="1"/>
              <w:sz w:val="20"/>
              <w:szCs w:val="20"/>
            </w:rPr>
            <w:t>4</w:t>
          </w:r>
          <w:r>
            <w:rPr>
              <w:spacing w:val="1"/>
              <w:sz w:val="20"/>
              <w:szCs w:val="20"/>
            </w:rPr>
            <w:t xml:space="preserve"> </w:t>
          </w:r>
          <w:r>
            <w:rPr>
              <w:spacing w:val="1"/>
              <w:sz w:val="20"/>
              <w:szCs w:val="20"/>
            </w:rPr>
            <w:t>:二甲基环硅氧烷</w:t>
          </w:r>
          <w:r>
            <w:rPr>
              <w:spacing w:val="1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>DMC</w:t>
          </w:r>
          <w:r>
            <w:rPr>
              <w:rFonts w:ascii="Times New Roman" w:eastAsia="Times New Roman" w:hAnsi="Times New Roman" w:cs="Times New Roman"/>
              <w:spacing w:val="1"/>
              <w:sz w:val="20"/>
              <w:szCs w:val="20"/>
            </w:rPr>
            <w:t xml:space="preserve">  </w:t>
          </w:r>
          <w:r>
            <w:rPr>
              <w:spacing w:val="1"/>
              <w:sz w:val="20"/>
              <w:szCs w:val="20"/>
            </w:rPr>
            <w:t>(元/吨)</w:t>
          </w:r>
          <w:r>
            <w:rPr>
              <w:sz w:val="20"/>
              <w:szCs w:val="20"/>
            </w:rPr>
            <w:tab/>
          </w:r>
          <w:hyperlink w:anchor="bookmark19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10</w:t>
            </w:r>
          </w:hyperlink>
        </w:p>
        <w:p>
          <w:pPr>
            <w:pStyle w:val="BodyText"/>
            <w:tabs>
              <w:tab w:val="right" w:leader="dot" w:pos="10595"/>
            </w:tabs>
            <w:spacing w:before="85" w:line="212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7"/>
              <w:sz w:val="20"/>
              <w:szCs w:val="20"/>
            </w:rPr>
            <w:t>图</w:t>
          </w:r>
          <w:r>
            <w:rPr>
              <w:spacing w:val="7"/>
              <w:sz w:val="20"/>
              <w:szCs w:val="20"/>
            </w:rPr>
            <w:t xml:space="preserve"> </w:t>
          </w:r>
          <w:r>
            <w:rPr>
              <w:spacing w:val="7"/>
              <w:sz w:val="20"/>
              <w:szCs w:val="20"/>
            </w:rPr>
            <w:t>1</w:t>
          </w:r>
          <w:r>
            <w:rPr>
              <w:spacing w:val="-15"/>
              <w:sz w:val="20"/>
              <w:szCs w:val="20"/>
            </w:rPr>
            <w:t xml:space="preserve"> </w:t>
          </w:r>
          <w:r>
            <w:rPr>
              <w:spacing w:val="7"/>
              <w:sz w:val="20"/>
              <w:szCs w:val="20"/>
            </w:rPr>
            <w:t>5</w:t>
          </w:r>
          <w:r>
            <w:rPr>
              <w:spacing w:val="7"/>
              <w:sz w:val="20"/>
              <w:szCs w:val="20"/>
            </w:rPr>
            <w:t xml:space="preserve"> </w:t>
          </w:r>
          <w:r>
            <w:rPr>
              <w:spacing w:val="7"/>
              <w:sz w:val="20"/>
              <w:szCs w:val="20"/>
            </w:rPr>
            <w:t>:美国</w:t>
          </w:r>
          <w:r>
            <w:rPr>
              <w:spacing w:val="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>Henry</w:t>
          </w:r>
          <w:r>
            <w:rPr>
              <w:rFonts w:ascii="Times New Roman" w:eastAsia="Times New Roman" w:hAnsi="Times New Roman" w:cs="Times New Roman"/>
              <w:spacing w:val="7"/>
              <w:sz w:val="20"/>
              <w:szCs w:val="20"/>
            </w:rPr>
            <w:t xml:space="preserve">  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>Hub</w:t>
          </w:r>
          <w:r>
            <w:rPr>
              <w:rFonts w:ascii="Times New Roman" w:eastAsia="Times New Roman" w:hAnsi="Times New Roman" w:cs="Times New Roman"/>
              <w:spacing w:val="39"/>
              <w:sz w:val="20"/>
              <w:szCs w:val="20"/>
            </w:rPr>
            <w:t xml:space="preserve"> </w:t>
          </w:r>
          <w:r>
            <w:rPr>
              <w:spacing w:val="7"/>
              <w:sz w:val="20"/>
              <w:szCs w:val="20"/>
            </w:rPr>
            <w:t>期货(美元/百万英热单位)</w:t>
          </w:r>
          <w:r>
            <w:rPr>
              <w:sz w:val="20"/>
              <w:szCs w:val="20"/>
            </w:rPr>
            <w:tab/>
          </w:r>
          <w:hyperlink w:anchor="bookmark20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11</w:t>
            </w:r>
          </w:hyperlink>
        </w:p>
        <w:p>
          <w:pPr>
            <w:pStyle w:val="BodyText"/>
            <w:tabs>
              <w:tab w:val="right" w:leader="dot" w:pos="10615"/>
            </w:tabs>
            <w:spacing w:before="152" w:line="227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8"/>
              <w:sz w:val="20"/>
              <w:szCs w:val="20"/>
            </w:rPr>
            <w:t>图</w:t>
          </w:r>
          <w:r>
            <w:rPr>
              <w:spacing w:val="-25"/>
              <w:sz w:val="20"/>
              <w:szCs w:val="20"/>
            </w:rPr>
            <w:t xml:space="preserve"> </w:t>
          </w:r>
          <w:r>
            <w:rPr>
              <w:spacing w:val="8"/>
              <w:sz w:val="20"/>
              <w:szCs w:val="20"/>
            </w:rPr>
            <w:t>1</w:t>
          </w:r>
          <w:r>
            <w:rPr>
              <w:spacing w:val="-45"/>
              <w:sz w:val="20"/>
              <w:szCs w:val="20"/>
            </w:rPr>
            <w:t xml:space="preserve"> </w:t>
          </w:r>
          <w:r>
            <w:rPr>
              <w:spacing w:val="8"/>
              <w:sz w:val="20"/>
              <w:szCs w:val="20"/>
            </w:rPr>
            <w:t>6</w:t>
          </w:r>
          <w:r>
            <w:rPr>
              <w:spacing w:val="-18"/>
              <w:sz w:val="20"/>
              <w:szCs w:val="20"/>
            </w:rPr>
            <w:t xml:space="preserve"> </w:t>
          </w:r>
          <w:r>
            <w:rPr>
              <w:spacing w:val="8"/>
              <w:sz w:val="20"/>
              <w:szCs w:val="20"/>
            </w:rPr>
            <w:t>:</w:t>
          </w:r>
          <w:r>
            <w:rPr>
              <w:spacing w:val="-32"/>
              <w:sz w:val="20"/>
              <w:szCs w:val="20"/>
            </w:rPr>
            <w:t xml:space="preserve"> </w:t>
          </w:r>
          <w:r>
            <w:rPr>
              <w:spacing w:val="8"/>
              <w:sz w:val="20"/>
              <w:szCs w:val="20"/>
            </w:rPr>
            <w:t>丁二烯(元/吨)</w:t>
          </w:r>
          <w:r>
            <w:rPr>
              <w:sz w:val="20"/>
              <w:szCs w:val="20"/>
            </w:rPr>
            <w:tab/>
          </w:r>
          <w:hyperlink w:anchor="bookmark21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11</w:t>
            </w:r>
          </w:hyperlink>
        </w:p>
        <w:p>
          <w:pPr>
            <w:pStyle w:val="BodyText"/>
            <w:tabs>
              <w:tab w:val="right" w:leader="dot" w:pos="10615"/>
            </w:tabs>
            <w:spacing w:before="86" w:line="228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-2"/>
              <w:sz w:val="20"/>
              <w:szCs w:val="20"/>
            </w:rPr>
            <w:t>图</w:t>
          </w:r>
          <w:r>
            <w:rPr>
              <w:spacing w:val="-30"/>
              <w:sz w:val="20"/>
              <w:szCs w:val="20"/>
            </w:rPr>
            <w:t xml:space="preserve"> </w:t>
          </w:r>
          <w:r>
            <w:rPr>
              <w:spacing w:val="-2"/>
              <w:sz w:val="20"/>
              <w:szCs w:val="20"/>
            </w:rPr>
            <w:t>1</w:t>
          </w:r>
          <w:r>
            <w:rPr>
              <w:spacing w:val="-44"/>
              <w:sz w:val="20"/>
              <w:szCs w:val="20"/>
            </w:rPr>
            <w:t xml:space="preserve"> </w:t>
          </w:r>
          <w:r>
            <w:rPr>
              <w:spacing w:val="-2"/>
              <w:sz w:val="20"/>
              <w:szCs w:val="20"/>
            </w:rPr>
            <w:t>7</w:t>
          </w:r>
          <w:r>
            <w:rPr>
              <w:spacing w:val="-17"/>
              <w:sz w:val="20"/>
              <w:szCs w:val="20"/>
            </w:rPr>
            <w:t xml:space="preserve"> </w:t>
          </w:r>
          <w:r>
            <w:rPr>
              <w:spacing w:val="-2"/>
              <w:sz w:val="20"/>
              <w:szCs w:val="20"/>
            </w:rPr>
            <w:t>:</w:t>
          </w:r>
          <w:r>
            <w:rPr>
              <w:spacing w:val="-33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2"/>
              <w:sz w:val="20"/>
              <w:szCs w:val="20"/>
            </w:rPr>
            <w:t>PLA</w:t>
          </w:r>
          <w:r>
            <w:rPr>
              <w:rFonts w:ascii="Times New Roman" w:eastAsia="Times New Roman" w:hAnsi="Times New Roman" w:cs="Times New Roman"/>
              <w:spacing w:val="13"/>
              <w:sz w:val="20"/>
              <w:szCs w:val="20"/>
            </w:rPr>
            <w:t xml:space="preserve">  </w:t>
          </w:r>
          <w:r>
            <w:rPr>
              <w:spacing w:val="-2"/>
              <w:sz w:val="20"/>
              <w:szCs w:val="20"/>
            </w:rPr>
            <w:t>(元/吨)</w:t>
          </w:r>
          <w:r>
            <w:rPr>
              <w:sz w:val="20"/>
              <w:szCs w:val="20"/>
            </w:rPr>
            <w:tab/>
          </w:r>
          <w:hyperlink w:anchor="bookmark22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11</w:t>
            </w:r>
          </w:hyperlink>
        </w:p>
        <w:p>
          <w:pPr>
            <w:pStyle w:val="BodyText"/>
            <w:tabs>
              <w:tab w:val="right" w:leader="dot" w:pos="10485"/>
            </w:tabs>
            <w:spacing w:before="71" w:line="225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27"/>
              <w:sz w:val="20"/>
              <w:szCs w:val="20"/>
            </w:rPr>
            <w:t>图18:</w:t>
          </w:r>
          <w:r>
            <w:rPr>
              <w:spacing w:val="-11"/>
              <w:sz w:val="20"/>
              <w:szCs w:val="20"/>
            </w:rPr>
            <w:t xml:space="preserve"> </w:t>
          </w:r>
          <w:r>
            <w:rPr>
              <w:spacing w:val="27"/>
              <w:sz w:val="20"/>
              <w:szCs w:val="20"/>
            </w:rPr>
            <w:t>烟煤(元/吨)</w:t>
          </w:r>
          <w:r>
            <w:rPr>
              <w:sz w:val="20"/>
              <w:szCs w:val="20"/>
            </w:rPr>
            <w:tab/>
          </w:r>
          <w:r>
            <w:rPr>
              <w:spacing w:val="-57"/>
              <w:sz w:val="20"/>
              <w:szCs w:val="20"/>
            </w:rPr>
            <w:t xml:space="preserve"> </w:t>
          </w:r>
          <w:hyperlink w:anchor="bookmark23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11</w:t>
            </w:r>
          </w:hyperlink>
        </w:p>
        <w:p>
          <w:pPr>
            <w:pStyle w:val="BodyText"/>
            <w:tabs>
              <w:tab w:val="right" w:leader="dot" w:pos="10605"/>
            </w:tabs>
            <w:spacing w:before="69" w:line="228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25"/>
              <w:sz w:val="20"/>
              <w:szCs w:val="20"/>
            </w:rPr>
            <w:t>图19:</w:t>
          </w:r>
          <w:r>
            <w:rPr>
              <w:spacing w:val="1"/>
              <w:sz w:val="20"/>
              <w:szCs w:val="20"/>
            </w:rPr>
            <w:t xml:space="preserve"> </w:t>
          </w:r>
          <w:r>
            <w:rPr>
              <w:spacing w:val="25"/>
              <w:sz w:val="20"/>
              <w:szCs w:val="20"/>
            </w:rPr>
            <w:t>醋酐(元/吨)</w:t>
          </w:r>
          <w:r>
            <w:rPr>
              <w:sz w:val="20"/>
              <w:szCs w:val="20"/>
            </w:rPr>
            <w:tab/>
          </w:r>
          <w:hyperlink w:anchor="bookmark24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11</w:t>
            </w:r>
          </w:hyperlink>
        </w:p>
        <w:p>
          <w:pPr>
            <w:pStyle w:val="BodyText"/>
            <w:tabs>
              <w:tab w:val="right" w:leader="dot" w:pos="10575"/>
            </w:tabs>
            <w:spacing w:before="112" w:line="227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4"/>
              <w:sz w:val="20"/>
              <w:szCs w:val="20"/>
            </w:rPr>
            <w:t>图</w:t>
          </w:r>
          <w:r>
            <w:rPr>
              <w:spacing w:val="-38"/>
              <w:sz w:val="20"/>
              <w:szCs w:val="20"/>
            </w:rPr>
            <w:t xml:space="preserve"> </w:t>
          </w:r>
          <w:r>
            <w:rPr>
              <w:spacing w:val="4"/>
              <w:sz w:val="20"/>
              <w:szCs w:val="20"/>
            </w:rPr>
            <w:t>2</w:t>
          </w:r>
          <w:r>
            <w:rPr>
              <w:spacing w:val="-46"/>
              <w:sz w:val="20"/>
              <w:szCs w:val="20"/>
            </w:rPr>
            <w:t xml:space="preserve"> </w:t>
          </w:r>
          <w:r>
            <w:rPr>
              <w:spacing w:val="4"/>
              <w:sz w:val="20"/>
              <w:szCs w:val="20"/>
            </w:rPr>
            <w:t>0</w:t>
          </w:r>
          <w:r>
            <w:rPr>
              <w:spacing w:val="-18"/>
              <w:sz w:val="20"/>
              <w:szCs w:val="20"/>
            </w:rPr>
            <w:t xml:space="preserve"> </w:t>
          </w:r>
          <w:r>
            <w:rPr>
              <w:spacing w:val="4"/>
              <w:sz w:val="20"/>
              <w:szCs w:val="20"/>
            </w:rPr>
            <w:t>:</w:t>
          </w:r>
          <w:r>
            <w:rPr>
              <w:spacing w:val="-22"/>
              <w:sz w:val="20"/>
              <w:szCs w:val="20"/>
            </w:rPr>
            <w:t xml:space="preserve"> </w:t>
          </w:r>
          <w:r>
            <w:rPr>
              <w:spacing w:val="4"/>
              <w:sz w:val="20"/>
              <w:szCs w:val="20"/>
            </w:rPr>
            <w:t>纯碱(重质)(元1吨)</w:t>
          </w:r>
          <w:r>
            <w:rPr>
              <w:sz w:val="20"/>
              <w:szCs w:val="20"/>
            </w:rPr>
            <w:tab/>
          </w:r>
          <w:hyperlink w:anchor="bookmark25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11</w:t>
            </w:r>
          </w:hyperlink>
        </w:p>
        <w:p>
          <w:pPr>
            <w:pStyle w:val="BodyText"/>
            <w:tabs>
              <w:tab w:val="right" w:leader="dot" w:pos="10575"/>
            </w:tabs>
            <w:spacing w:before="5" w:line="228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4"/>
              <w:sz w:val="20"/>
              <w:szCs w:val="20"/>
            </w:rPr>
            <w:t>图</w:t>
          </w:r>
          <w:r>
            <w:rPr>
              <w:spacing w:val="40"/>
              <w:sz w:val="20"/>
              <w:szCs w:val="20"/>
            </w:rPr>
            <w:t xml:space="preserve"> </w:t>
          </w:r>
          <w:r>
            <w:rPr>
              <w:spacing w:val="14"/>
              <w:sz w:val="20"/>
              <w:szCs w:val="20"/>
            </w:rPr>
            <w:t>21:</w:t>
          </w:r>
          <w:r>
            <w:rPr>
              <w:spacing w:val="14"/>
              <w:sz w:val="20"/>
              <w:szCs w:val="20"/>
            </w:rPr>
            <w:t xml:space="preserve"> </w:t>
          </w:r>
          <w:r>
            <w:rPr>
              <w:spacing w:val="14"/>
              <w:sz w:val="20"/>
              <w:szCs w:val="20"/>
            </w:rPr>
            <w:t>四氯化钛(元/吨)</w:t>
          </w:r>
          <w:r>
            <w:rPr>
              <w:sz w:val="20"/>
              <w:szCs w:val="20"/>
            </w:rPr>
            <w:tab/>
          </w:r>
          <w:hyperlink w:anchor="bookmark26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12</w:t>
            </w:r>
          </w:hyperlink>
        </w:p>
        <w:p>
          <w:pPr>
            <w:pStyle w:val="BodyText"/>
            <w:tabs>
              <w:tab w:val="right" w:leader="dot" w:pos="10555"/>
            </w:tabs>
            <w:spacing w:before="142" w:line="227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3"/>
              <w:sz w:val="20"/>
              <w:szCs w:val="20"/>
            </w:rPr>
            <w:t>图</w:t>
          </w:r>
          <w:r>
            <w:rPr>
              <w:spacing w:val="-34"/>
              <w:sz w:val="20"/>
              <w:szCs w:val="20"/>
            </w:rPr>
            <w:t xml:space="preserve"> </w:t>
          </w:r>
          <w:r>
            <w:rPr>
              <w:spacing w:val="13"/>
              <w:sz w:val="20"/>
              <w:szCs w:val="20"/>
            </w:rPr>
            <w:t>2</w:t>
          </w:r>
          <w:r>
            <w:rPr>
              <w:spacing w:val="-35"/>
              <w:sz w:val="20"/>
              <w:szCs w:val="20"/>
            </w:rPr>
            <w:t xml:space="preserve"> </w:t>
          </w:r>
          <w:r>
            <w:rPr>
              <w:spacing w:val="13"/>
              <w:sz w:val="20"/>
              <w:szCs w:val="20"/>
            </w:rPr>
            <w:t>2</w:t>
          </w:r>
          <w:r>
            <w:rPr>
              <w:spacing w:val="-8"/>
              <w:sz w:val="20"/>
              <w:szCs w:val="20"/>
            </w:rPr>
            <w:t xml:space="preserve"> </w:t>
          </w:r>
          <w:r>
            <w:rPr>
              <w:spacing w:val="13"/>
              <w:sz w:val="20"/>
              <w:szCs w:val="20"/>
            </w:rPr>
            <w:t>:焦炭(元/吨)</w:t>
          </w:r>
          <w:r>
            <w:rPr>
              <w:sz w:val="20"/>
              <w:szCs w:val="20"/>
            </w:rPr>
            <w:tab/>
          </w:r>
          <w:hyperlink w:anchor="bookmark27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12</w:t>
            </w:r>
          </w:hyperlink>
        </w:p>
        <w:p>
          <w:pPr>
            <w:pStyle w:val="BodyText"/>
            <w:tabs>
              <w:tab w:val="right" w:leader="dot" w:pos="10575"/>
            </w:tabs>
            <w:spacing w:before="22" w:line="225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8"/>
              <w:sz w:val="20"/>
              <w:szCs w:val="20"/>
            </w:rPr>
            <w:t>图</w:t>
          </w:r>
          <w:r>
            <w:rPr>
              <w:spacing w:val="-25"/>
              <w:sz w:val="20"/>
              <w:szCs w:val="20"/>
            </w:rPr>
            <w:t xml:space="preserve"> </w:t>
          </w:r>
          <w:r>
            <w:rPr>
              <w:spacing w:val="8"/>
              <w:sz w:val="20"/>
              <w:szCs w:val="20"/>
            </w:rPr>
            <w:t>2</w:t>
          </w:r>
          <w:r>
            <w:rPr>
              <w:spacing w:val="-31"/>
              <w:sz w:val="20"/>
              <w:szCs w:val="20"/>
            </w:rPr>
            <w:t xml:space="preserve"> </w:t>
          </w:r>
          <w:r>
            <w:rPr>
              <w:spacing w:val="8"/>
              <w:sz w:val="20"/>
              <w:szCs w:val="20"/>
            </w:rPr>
            <w:t>3</w:t>
          </w:r>
          <w:r>
            <w:rPr>
              <w:spacing w:val="8"/>
              <w:sz w:val="20"/>
              <w:szCs w:val="20"/>
            </w:rPr>
            <w:t xml:space="preserve"> </w:t>
          </w:r>
          <w:r>
            <w:rPr>
              <w:spacing w:val="8"/>
              <w:sz w:val="20"/>
              <w:szCs w:val="20"/>
            </w:rPr>
            <w:t>:</w:t>
          </w:r>
          <w:r>
            <w:rPr>
              <w:spacing w:val="-22"/>
              <w:sz w:val="20"/>
              <w:szCs w:val="20"/>
            </w:rPr>
            <w:t xml:space="preserve"> </w:t>
          </w:r>
          <w:r>
            <w:rPr>
              <w:spacing w:val="8"/>
              <w:sz w:val="20"/>
              <w:szCs w:val="20"/>
            </w:rPr>
            <w:t>高效氯氟氰菊酯(万元/吨)</w:t>
          </w:r>
          <w:r>
            <w:rPr>
              <w:sz w:val="20"/>
              <w:szCs w:val="20"/>
            </w:rPr>
            <w:tab/>
          </w:r>
          <w:r>
            <w:rPr>
              <w:spacing w:val="-27"/>
              <w:sz w:val="20"/>
              <w:szCs w:val="20"/>
            </w:rPr>
            <w:t xml:space="preserve"> </w:t>
          </w:r>
          <w:hyperlink w:anchor="bookmark28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12</w:t>
            </w:r>
          </w:hyperlink>
        </w:p>
        <w:p>
          <w:pPr>
            <w:pStyle w:val="BodyText"/>
            <w:tabs>
              <w:tab w:val="right" w:leader="dot" w:pos="10555"/>
            </w:tabs>
            <w:spacing w:before="136" w:line="224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0"/>
              <w:sz w:val="20"/>
              <w:szCs w:val="20"/>
            </w:rPr>
            <w:t>图</w:t>
          </w:r>
          <w:r>
            <w:rPr>
              <w:spacing w:val="-38"/>
              <w:sz w:val="20"/>
              <w:szCs w:val="20"/>
            </w:rPr>
            <w:t xml:space="preserve"> </w:t>
          </w:r>
          <w:r>
            <w:rPr>
              <w:spacing w:val="10"/>
              <w:sz w:val="20"/>
              <w:szCs w:val="20"/>
            </w:rPr>
            <w:t>2</w:t>
          </w:r>
          <w:r>
            <w:rPr>
              <w:spacing w:val="-43"/>
              <w:sz w:val="20"/>
              <w:szCs w:val="20"/>
            </w:rPr>
            <w:t xml:space="preserve"> </w:t>
          </w:r>
          <w:r>
            <w:rPr>
              <w:spacing w:val="10"/>
              <w:sz w:val="20"/>
              <w:szCs w:val="20"/>
            </w:rPr>
            <w:t>4</w:t>
          </w:r>
          <w:r>
            <w:rPr>
              <w:spacing w:val="-11"/>
              <w:sz w:val="20"/>
              <w:szCs w:val="20"/>
            </w:rPr>
            <w:t xml:space="preserve"> </w:t>
          </w:r>
          <w:r>
            <w:rPr>
              <w:spacing w:val="10"/>
              <w:sz w:val="20"/>
              <w:szCs w:val="20"/>
            </w:rPr>
            <w:t>:</w:t>
          </w:r>
          <w:r>
            <w:rPr>
              <w:spacing w:val="-52"/>
              <w:sz w:val="20"/>
              <w:szCs w:val="20"/>
            </w:rPr>
            <w:t xml:space="preserve"> </w:t>
          </w:r>
          <w:r>
            <w:rPr>
              <w:spacing w:val="10"/>
              <w:sz w:val="20"/>
              <w:szCs w:val="20"/>
            </w:rPr>
            <w:t>氯化钾(元/吨)</w:t>
          </w:r>
          <w:r>
            <w:rPr>
              <w:sz w:val="20"/>
              <w:szCs w:val="20"/>
            </w:rPr>
            <w:tab/>
          </w:r>
          <w:hyperlink w:anchor="bookmark29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12</w:t>
            </w:r>
          </w:hyperlink>
        </w:p>
        <w:p>
          <w:pPr>
            <w:pStyle w:val="BodyText"/>
            <w:tabs>
              <w:tab w:val="right" w:leader="dot" w:pos="10575"/>
            </w:tabs>
            <w:spacing w:before="40" w:line="228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24"/>
              <w:sz w:val="20"/>
              <w:szCs w:val="20"/>
            </w:rPr>
            <w:t>图25:</w:t>
          </w:r>
          <w:r>
            <w:rPr>
              <w:spacing w:val="-2"/>
              <w:sz w:val="20"/>
              <w:szCs w:val="20"/>
            </w:rPr>
            <w:t xml:space="preserve"> </w:t>
          </w:r>
          <w:r>
            <w:rPr>
              <w:spacing w:val="24"/>
              <w:sz w:val="20"/>
              <w:szCs w:val="20"/>
            </w:rPr>
            <w:t>复合肥(元/吨)</w:t>
          </w:r>
          <w:r>
            <w:rPr>
              <w:sz w:val="20"/>
              <w:szCs w:val="20"/>
            </w:rPr>
            <w:tab/>
          </w:r>
          <w:hyperlink w:anchor="bookmark30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13</w:t>
            </w:r>
          </w:hyperlink>
        </w:p>
        <w:p>
          <w:pPr>
            <w:pStyle w:val="BodyText"/>
            <w:tabs>
              <w:tab w:val="right" w:leader="dot" w:pos="10565"/>
            </w:tabs>
            <w:spacing w:before="107" w:line="222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23"/>
              <w:sz w:val="20"/>
              <w:szCs w:val="20"/>
            </w:rPr>
            <w:t>图26:</w:t>
          </w:r>
          <w:r>
            <w:rPr>
              <w:spacing w:val="-3"/>
              <w:sz w:val="20"/>
              <w:szCs w:val="20"/>
            </w:rPr>
            <w:t xml:space="preserve"> </w:t>
          </w:r>
          <w:r>
            <w:rPr>
              <w:spacing w:val="23"/>
              <w:sz w:val="20"/>
              <w:szCs w:val="20"/>
            </w:rPr>
            <w:t>三聚氰胺(元/吨)</w:t>
          </w:r>
          <w:r>
            <w:rPr>
              <w:sz w:val="20"/>
              <w:szCs w:val="20"/>
            </w:rPr>
            <w:tab/>
          </w:r>
          <w:hyperlink w:anchor="bookmark31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13</w:t>
            </w:r>
          </w:hyperlink>
        </w:p>
        <w:p>
          <w:pPr>
            <w:pStyle w:val="BodyText"/>
            <w:tabs>
              <w:tab w:val="right" w:leader="dot" w:pos="10565"/>
            </w:tabs>
            <w:spacing w:before="40" w:line="222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9"/>
              <w:sz w:val="20"/>
              <w:szCs w:val="20"/>
            </w:rPr>
            <w:t>图</w:t>
          </w:r>
          <w:r>
            <w:rPr>
              <w:spacing w:val="-40"/>
              <w:sz w:val="20"/>
              <w:szCs w:val="20"/>
            </w:rPr>
            <w:t xml:space="preserve"> </w:t>
          </w:r>
          <w:r>
            <w:rPr>
              <w:spacing w:val="9"/>
              <w:sz w:val="20"/>
              <w:szCs w:val="20"/>
            </w:rPr>
            <w:t>2</w:t>
          </w:r>
          <w:r>
            <w:rPr>
              <w:spacing w:val="-37"/>
              <w:sz w:val="20"/>
              <w:szCs w:val="20"/>
            </w:rPr>
            <w:t xml:space="preserve"> </w:t>
          </w:r>
          <w:r>
            <w:rPr>
              <w:spacing w:val="9"/>
              <w:sz w:val="20"/>
              <w:szCs w:val="20"/>
            </w:rPr>
            <w:t>7</w:t>
          </w:r>
          <w:r>
            <w:rPr>
              <w:spacing w:val="9"/>
              <w:sz w:val="20"/>
              <w:szCs w:val="20"/>
            </w:rPr>
            <w:t xml:space="preserve"> </w:t>
          </w:r>
          <w:r>
            <w:rPr>
              <w:spacing w:val="9"/>
              <w:sz w:val="20"/>
              <w:szCs w:val="20"/>
            </w:rPr>
            <w:t>:</w:t>
          </w:r>
          <w:r>
            <w:rPr>
              <w:spacing w:val="-12"/>
              <w:sz w:val="20"/>
              <w:szCs w:val="20"/>
            </w:rPr>
            <w:t xml:space="preserve"> </w:t>
          </w:r>
          <w:r>
            <w:rPr>
              <w:spacing w:val="9"/>
              <w:sz w:val="20"/>
              <w:szCs w:val="20"/>
            </w:rPr>
            <w:t>三聚磷酸钠(元/吨)</w:t>
          </w:r>
          <w:r>
            <w:rPr>
              <w:sz w:val="20"/>
              <w:szCs w:val="20"/>
            </w:rPr>
            <w:tab/>
          </w:r>
          <w:hyperlink w:anchor="bookmark32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13</w:t>
            </w:r>
          </w:hyperlink>
        </w:p>
        <w:p>
          <w:pPr>
            <w:pStyle w:val="BodyText"/>
            <w:tabs>
              <w:tab w:val="right" w:leader="dot" w:pos="10565"/>
            </w:tabs>
            <w:spacing w:before="145" w:line="228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21"/>
              <w:sz w:val="20"/>
              <w:szCs w:val="20"/>
            </w:rPr>
            <w:t>图28:</w:t>
          </w:r>
          <w:r>
            <w:rPr>
              <w:spacing w:val="-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>DMC</w:t>
          </w:r>
          <w:r>
            <w:rPr>
              <w:rFonts w:ascii="Times New Roman" w:eastAsia="Times New Roman" w:hAnsi="Times New Roman" w:cs="Times New Roman"/>
              <w:spacing w:val="4"/>
              <w:sz w:val="20"/>
              <w:szCs w:val="20"/>
            </w:rPr>
            <w:t xml:space="preserve">  </w:t>
          </w:r>
          <w:r>
            <w:rPr>
              <w:spacing w:val="21"/>
              <w:sz w:val="20"/>
              <w:szCs w:val="20"/>
            </w:rPr>
            <w:t>(元/吨)</w:t>
          </w:r>
          <w:r>
            <w:rPr>
              <w:sz w:val="20"/>
              <w:szCs w:val="20"/>
            </w:rPr>
            <w:tab/>
          </w:r>
          <w:r>
            <w:rPr>
              <w:spacing w:val="-37"/>
              <w:sz w:val="20"/>
              <w:szCs w:val="20"/>
            </w:rPr>
            <w:t xml:space="preserve"> </w:t>
          </w:r>
          <w:hyperlink w:anchor="bookmark33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13</w:t>
            </w:r>
          </w:hyperlink>
        </w:p>
        <w:p>
          <w:pPr>
            <w:pStyle w:val="BodyText"/>
            <w:tabs>
              <w:tab w:val="right" w:leader="dot" w:pos="10565"/>
            </w:tabs>
            <w:spacing w:before="73" w:line="228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23"/>
              <w:sz w:val="20"/>
              <w:szCs w:val="20"/>
            </w:rPr>
            <w:t>图29:</w:t>
          </w:r>
          <w:r>
            <w:rPr>
              <w:spacing w:val="-4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>EVA</w:t>
          </w:r>
          <w:r>
            <w:rPr>
              <w:rFonts w:ascii="Times New Roman" w:eastAsia="Times New Roman" w:hAnsi="Times New Roman" w:cs="Times New Roman"/>
              <w:spacing w:val="23"/>
              <w:sz w:val="20"/>
              <w:szCs w:val="20"/>
            </w:rPr>
            <w:t xml:space="preserve"> </w:t>
          </w:r>
          <w:r>
            <w:rPr>
              <w:spacing w:val="23"/>
              <w:sz w:val="20"/>
              <w:szCs w:val="20"/>
            </w:rPr>
            <w:t>光伏价(元/吨)</w:t>
          </w:r>
          <w:r>
            <w:rPr>
              <w:sz w:val="20"/>
              <w:szCs w:val="20"/>
            </w:rPr>
            <w:tab/>
          </w:r>
          <w:r>
            <w:rPr>
              <w:spacing w:val="-47"/>
              <w:sz w:val="20"/>
              <w:szCs w:val="20"/>
            </w:rPr>
            <w:t xml:space="preserve"> </w:t>
          </w:r>
          <w:hyperlink w:anchor="bookmark34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13</w:t>
            </w:r>
          </w:hyperlink>
        </w:p>
        <w:p>
          <w:pPr>
            <w:pStyle w:val="BodyText"/>
            <w:tabs>
              <w:tab w:val="right" w:leader="dot" w:pos="10555"/>
            </w:tabs>
            <w:spacing w:before="93" w:line="228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5"/>
              <w:sz w:val="20"/>
              <w:szCs w:val="20"/>
            </w:rPr>
            <w:t>图</w:t>
          </w:r>
          <w:r>
            <w:rPr>
              <w:spacing w:val="-33"/>
              <w:sz w:val="20"/>
              <w:szCs w:val="20"/>
            </w:rPr>
            <w:t xml:space="preserve"> </w:t>
          </w:r>
          <w:r>
            <w:rPr>
              <w:spacing w:val="15"/>
              <w:sz w:val="20"/>
              <w:szCs w:val="20"/>
            </w:rPr>
            <w:t>3</w:t>
          </w:r>
          <w:r>
            <w:rPr>
              <w:spacing w:val="-46"/>
              <w:sz w:val="20"/>
              <w:szCs w:val="20"/>
            </w:rPr>
            <w:t xml:space="preserve"> </w:t>
          </w:r>
          <w:r>
            <w:rPr>
              <w:spacing w:val="15"/>
              <w:sz w:val="20"/>
              <w:szCs w:val="20"/>
            </w:rPr>
            <w:t>0</w:t>
          </w:r>
          <w:r>
            <w:rPr>
              <w:spacing w:val="-18"/>
              <w:sz w:val="20"/>
              <w:szCs w:val="20"/>
            </w:rPr>
            <w:t xml:space="preserve"> </w:t>
          </w:r>
          <w:r>
            <w:rPr>
              <w:spacing w:val="15"/>
              <w:sz w:val="20"/>
              <w:szCs w:val="20"/>
            </w:rPr>
            <w:t>:</w:t>
          </w:r>
          <w:r>
            <w:rPr>
              <w:spacing w:val="-32"/>
              <w:sz w:val="20"/>
              <w:szCs w:val="20"/>
            </w:rPr>
            <w:t xml:space="preserve"> </w:t>
          </w:r>
          <w:r>
            <w:rPr>
              <w:spacing w:val="15"/>
              <w:sz w:val="20"/>
              <w:szCs w:val="20"/>
            </w:rPr>
            <w:t>尼龙66(元/吨)</w:t>
          </w:r>
          <w:r>
            <w:rPr>
              <w:sz w:val="20"/>
              <w:szCs w:val="20"/>
            </w:rPr>
            <w:tab/>
          </w:r>
          <w:r>
            <w:rPr>
              <w:spacing w:val="-67"/>
              <w:sz w:val="20"/>
              <w:szCs w:val="20"/>
            </w:rPr>
            <w:t xml:space="preserve"> </w:t>
          </w:r>
          <w:hyperlink w:anchor="bookmark35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13</w:t>
            </w:r>
          </w:hyperlink>
        </w:p>
        <w:p>
          <w:pPr>
            <w:pStyle w:val="BodyText"/>
            <w:tabs>
              <w:tab w:val="right" w:leader="dot" w:pos="10555"/>
            </w:tabs>
            <w:spacing w:before="63" w:line="228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  <w:sectPr>
              <w:headerReference w:type="default" r:id="rId33"/>
              <w:footerReference w:type="default" r:id="rId34"/>
              <w:pgSz w:w="11910" w:h="16840"/>
              <w:pgMar w:top="1389" w:right="652" w:bottom="1289" w:left="560" w:header="759" w:footer="759" w:gutter="0"/>
              <w:pgNumType w:start="12"/>
              <w:cols w:space="708"/>
            </w:sectPr>
          </w:pPr>
          <w:r>
            <w:rPr>
              <w:spacing w:val="15"/>
              <w:sz w:val="20"/>
              <w:szCs w:val="20"/>
            </w:rPr>
            <w:t>图</w:t>
          </w:r>
          <w:r>
            <w:rPr>
              <w:spacing w:val="78"/>
              <w:sz w:val="20"/>
              <w:szCs w:val="20"/>
            </w:rPr>
            <w:t xml:space="preserve"> </w:t>
          </w:r>
          <w:r>
            <w:rPr>
              <w:spacing w:val="15"/>
              <w:sz w:val="20"/>
              <w:szCs w:val="20"/>
            </w:rPr>
            <w:t>31: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>PVA</w:t>
          </w:r>
          <w:r>
            <w:rPr>
              <w:rFonts w:ascii="Times New Roman" w:eastAsia="Times New Roman" w:hAnsi="Times New Roman" w:cs="Times New Roman"/>
              <w:spacing w:val="1"/>
              <w:sz w:val="20"/>
              <w:szCs w:val="20"/>
            </w:rPr>
            <w:t xml:space="preserve">  </w:t>
          </w:r>
          <w:r>
            <w:rPr>
              <w:spacing w:val="15"/>
              <w:sz w:val="20"/>
              <w:szCs w:val="20"/>
            </w:rPr>
            <w:t>(元/吨)</w:t>
          </w:r>
          <w:r>
            <w:rPr>
              <w:sz w:val="20"/>
              <w:szCs w:val="20"/>
            </w:rPr>
            <w:tab/>
          </w:r>
          <w:r>
            <w:rPr>
              <w:spacing w:val="-17"/>
              <w:sz w:val="20"/>
              <w:szCs w:val="20"/>
            </w:rPr>
            <w:t xml:space="preserve"> </w:t>
          </w:r>
          <w:hyperlink w:anchor="bookmark36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14</w:t>
            </w:r>
          </w:hyperlink>
        </w:p>
      </w:sdtContent>
    </w:sdt>
    <w:sdt>
      <w:sdtPr>
        <w:rPr>
          <w:rFonts w:ascii="KaiTi" w:eastAsia="KaiTi" w:hAnsi="KaiTi" w:cs="KaiTi"/>
          <w:sz w:val="28"/>
          <w:szCs w:val="28"/>
        </w:rPr>
        <w:id w:val="1558773208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0"/>
          <w:szCs w:val="20"/>
        </w:rPr>
      </w:sdtEndPr>
      <w:sdtContent>
        <w:p>
          <w:pPr>
            <w:pStyle w:val="BodyText"/>
            <w:tabs>
              <w:tab w:val="right" w:leader="dot" w:pos="10565"/>
            </w:tabs>
            <w:spacing w:before="51" w:line="225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7"/>
              <w:sz w:val="20"/>
              <w:szCs w:val="20"/>
            </w:rPr>
            <w:t>图</w:t>
          </w:r>
          <w:r>
            <w:rPr>
              <w:spacing w:val="74"/>
              <w:sz w:val="20"/>
              <w:szCs w:val="20"/>
            </w:rPr>
            <w:t xml:space="preserve"> </w:t>
          </w:r>
          <w:r>
            <w:rPr>
              <w:spacing w:val="17"/>
              <w:sz w:val="20"/>
              <w:szCs w:val="20"/>
            </w:rPr>
            <w:t>32:</w:t>
          </w:r>
          <w:r>
            <w:rPr>
              <w:spacing w:val="-42"/>
              <w:sz w:val="20"/>
              <w:szCs w:val="20"/>
            </w:rPr>
            <w:t xml:space="preserve"> </w:t>
          </w:r>
          <w:r>
            <w:rPr>
              <w:spacing w:val="17"/>
              <w:sz w:val="20"/>
              <w:szCs w:val="20"/>
            </w:rPr>
            <w:t>苯乙烯(元/吨)</w:t>
          </w:r>
          <w:r>
            <w:rPr>
              <w:sz w:val="20"/>
              <w:szCs w:val="20"/>
            </w:rPr>
            <w:tab/>
          </w:r>
          <w:r>
            <w:rPr>
              <w:spacing w:val="-27"/>
              <w:sz w:val="20"/>
              <w:szCs w:val="20"/>
            </w:rPr>
            <w:t xml:space="preserve"> </w:t>
          </w:r>
          <w:hyperlink w:anchor="bookmark37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14</w:t>
            </w:r>
          </w:hyperlink>
        </w:p>
        <w:p>
          <w:pPr>
            <w:pStyle w:val="BodyText"/>
            <w:tabs>
              <w:tab w:val="right" w:leader="dot" w:pos="10575"/>
            </w:tabs>
            <w:spacing w:before="79" w:line="228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7"/>
              <w:sz w:val="20"/>
              <w:szCs w:val="20"/>
            </w:rPr>
            <w:t>图</w:t>
          </w:r>
          <w:r>
            <w:rPr>
              <w:spacing w:val="67"/>
              <w:sz w:val="20"/>
              <w:szCs w:val="20"/>
            </w:rPr>
            <w:t xml:space="preserve"> </w:t>
          </w:r>
          <w:r>
            <w:rPr>
              <w:spacing w:val="7"/>
              <w:sz w:val="20"/>
              <w:szCs w:val="20"/>
            </w:rPr>
            <w:t>33:</w:t>
          </w:r>
          <w:r>
            <w:rPr>
              <w:rFonts w:ascii="Times New Roman" w:eastAsia="Times New Roman" w:hAnsi="Times New Roman" w:cs="Times New Roman"/>
              <w:spacing w:val="7"/>
              <w:sz w:val="20"/>
              <w:szCs w:val="20"/>
            </w:rPr>
            <w:t>R</w:t>
          </w:r>
          <w:r>
            <w:rPr>
              <w:rFonts w:ascii="Times New Roman" w:eastAsia="Times New Roman" w:hAnsi="Times New Roman" w:cs="Times New Roman"/>
              <w:spacing w:val="-22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7"/>
              <w:sz w:val="20"/>
              <w:szCs w:val="20"/>
            </w:rPr>
            <w:t xml:space="preserve">410 a  </w:t>
          </w:r>
          <w:r>
            <w:rPr>
              <w:spacing w:val="7"/>
              <w:sz w:val="20"/>
              <w:szCs w:val="20"/>
            </w:rPr>
            <w:t>(元/吨)</w:t>
          </w:r>
          <w:r>
            <w:rPr>
              <w:sz w:val="20"/>
              <w:szCs w:val="20"/>
            </w:rPr>
            <w:tab/>
          </w:r>
          <w:hyperlink w:anchor="bookmark38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14</w:t>
            </w:r>
          </w:hyperlink>
        </w:p>
        <w:p>
          <w:pPr>
            <w:pStyle w:val="BodyText"/>
            <w:tabs>
              <w:tab w:val="right" w:leader="dot" w:pos="10575"/>
            </w:tabs>
            <w:spacing w:before="63" w:line="228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9"/>
              <w:sz w:val="20"/>
              <w:szCs w:val="20"/>
            </w:rPr>
            <w:t>图</w:t>
          </w:r>
          <w:r>
            <w:rPr>
              <w:spacing w:val="-9"/>
              <w:sz w:val="20"/>
              <w:szCs w:val="20"/>
            </w:rPr>
            <w:t xml:space="preserve"> </w:t>
          </w:r>
          <w:r>
            <w:rPr>
              <w:spacing w:val="9"/>
              <w:sz w:val="20"/>
              <w:szCs w:val="20"/>
            </w:rPr>
            <w:t>3</w:t>
          </w:r>
          <w:r>
            <w:rPr>
              <w:spacing w:val="-26"/>
              <w:sz w:val="20"/>
              <w:szCs w:val="20"/>
            </w:rPr>
            <w:t xml:space="preserve"> </w:t>
          </w:r>
          <w:r>
            <w:rPr>
              <w:spacing w:val="9"/>
              <w:sz w:val="20"/>
              <w:szCs w:val="20"/>
            </w:rPr>
            <w:t>4</w:t>
          </w:r>
          <w:r>
            <w:rPr>
              <w:spacing w:val="9"/>
              <w:sz w:val="20"/>
              <w:szCs w:val="20"/>
            </w:rPr>
            <w:t xml:space="preserve"> </w:t>
          </w:r>
          <w:r>
            <w:rPr>
              <w:spacing w:val="9"/>
              <w:sz w:val="20"/>
              <w:szCs w:val="20"/>
            </w:rPr>
            <w:t>:天然橡胶-顺丁橡胶(元/吨)</w:t>
          </w:r>
          <w:r>
            <w:rPr>
              <w:sz w:val="20"/>
              <w:szCs w:val="20"/>
            </w:rPr>
            <w:tab/>
          </w:r>
          <w:hyperlink w:anchor="bookmark39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14</w:t>
            </w:r>
          </w:hyperlink>
        </w:p>
        <w:p>
          <w:pPr>
            <w:pStyle w:val="BodyText"/>
            <w:tabs>
              <w:tab w:val="right" w:leader="dot" w:pos="10555"/>
            </w:tabs>
            <w:spacing w:before="143" w:line="228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3"/>
              <w:sz w:val="20"/>
              <w:szCs w:val="20"/>
            </w:rPr>
            <w:t>图</w:t>
          </w:r>
          <w:r>
            <w:rPr>
              <w:spacing w:val="-31"/>
              <w:sz w:val="20"/>
              <w:szCs w:val="20"/>
            </w:rPr>
            <w:t xml:space="preserve"> </w:t>
          </w:r>
          <w:r>
            <w:rPr>
              <w:spacing w:val="13"/>
              <w:sz w:val="20"/>
              <w:szCs w:val="20"/>
            </w:rPr>
            <w:t>3</w:t>
          </w:r>
          <w:r>
            <w:rPr>
              <w:spacing w:val="-38"/>
              <w:sz w:val="20"/>
              <w:szCs w:val="20"/>
            </w:rPr>
            <w:t xml:space="preserve"> </w:t>
          </w:r>
          <w:r>
            <w:rPr>
              <w:spacing w:val="13"/>
              <w:sz w:val="20"/>
              <w:szCs w:val="20"/>
            </w:rPr>
            <w:t>5</w:t>
          </w:r>
          <w:r>
            <w:rPr>
              <w:spacing w:val="-8"/>
              <w:sz w:val="20"/>
              <w:szCs w:val="20"/>
            </w:rPr>
            <w:t xml:space="preserve"> </w:t>
          </w:r>
          <w:r>
            <w:rPr>
              <w:spacing w:val="13"/>
              <w:sz w:val="20"/>
              <w:szCs w:val="20"/>
            </w:rPr>
            <w:t>:顺酐(元/吨)</w:t>
          </w:r>
          <w:r>
            <w:rPr>
              <w:sz w:val="20"/>
              <w:szCs w:val="20"/>
            </w:rPr>
            <w:tab/>
          </w:r>
          <w:hyperlink w:anchor="bookmark40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14</w:t>
            </w:r>
          </w:hyperlink>
        </w:p>
        <w:p>
          <w:pPr>
            <w:pStyle w:val="BodyText"/>
            <w:tabs>
              <w:tab w:val="right" w:leader="dot" w:pos="10565"/>
            </w:tabs>
            <w:spacing w:before="37" w:line="222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1"/>
              <w:sz w:val="20"/>
              <w:szCs w:val="20"/>
            </w:rPr>
            <w:t>图</w:t>
          </w:r>
          <w:r>
            <w:rPr>
              <w:spacing w:val="-34"/>
              <w:sz w:val="20"/>
              <w:szCs w:val="20"/>
            </w:rPr>
            <w:t xml:space="preserve"> </w:t>
          </w:r>
          <w:r>
            <w:rPr>
              <w:spacing w:val="11"/>
              <w:sz w:val="20"/>
              <w:szCs w:val="20"/>
            </w:rPr>
            <w:t>3</w:t>
          </w:r>
          <w:r>
            <w:rPr>
              <w:spacing w:val="-35"/>
              <w:sz w:val="20"/>
              <w:szCs w:val="20"/>
            </w:rPr>
            <w:t xml:space="preserve"> </w:t>
          </w:r>
          <w:r>
            <w:rPr>
              <w:spacing w:val="11"/>
              <w:sz w:val="20"/>
              <w:szCs w:val="20"/>
            </w:rPr>
            <w:t>6</w:t>
          </w:r>
          <w:r>
            <w:rPr>
              <w:spacing w:val="11"/>
              <w:sz w:val="20"/>
              <w:szCs w:val="20"/>
            </w:rPr>
            <w:t xml:space="preserve"> </w:t>
          </w:r>
          <w:r>
            <w:rPr>
              <w:spacing w:val="11"/>
              <w:sz w:val="20"/>
              <w:szCs w:val="20"/>
            </w:rPr>
            <w:t>:聚丙烯酰胺(元/吨)</w:t>
          </w:r>
          <w:r>
            <w:rPr>
              <w:sz w:val="20"/>
              <w:szCs w:val="20"/>
            </w:rPr>
            <w:tab/>
          </w:r>
          <w:hyperlink w:anchor="bookmark41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14</w:t>
            </w:r>
          </w:hyperlink>
        </w:p>
        <w:p>
          <w:pPr>
            <w:pStyle w:val="BodyText"/>
            <w:tabs>
              <w:tab w:val="right" w:leader="dot" w:pos="10575"/>
            </w:tabs>
            <w:spacing w:before="52" w:line="225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7"/>
              <w:sz w:val="20"/>
              <w:szCs w:val="20"/>
            </w:rPr>
            <w:t>图</w:t>
          </w:r>
          <w:r>
            <w:rPr>
              <w:spacing w:val="-38"/>
              <w:sz w:val="20"/>
              <w:szCs w:val="20"/>
            </w:rPr>
            <w:t xml:space="preserve"> </w:t>
          </w:r>
          <w:r>
            <w:rPr>
              <w:spacing w:val="7"/>
              <w:sz w:val="20"/>
              <w:szCs w:val="20"/>
            </w:rPr>
            <w:t>3</w:t>
          </w:r>
          <w:r>
            <w:rPr>
              <w:spacing w:val="-37"/>
              <w:sz w:val="20"/>
              <w:szCs w:val="20"/>
            </w:rPr>
            <w:t xml:space="preserve"> </w:t>
          </w:r>
          <w:r>
            <w:rPr>
              <w:spacing w:val="7"/>
              <w:sz w:val="20"/>
              <w:szCs w:val="20"/>
            </w:rPr>
            <w:t>7</w:t>
          </w:r>
          <w:r>
            <w:rPr>
              <w:spacing w:val="7"/>
              <w:sz w:val="20"/>
              <w:szCs w:val="20"/>
            </w:rPr>
            <w:t xml:space="preserve"> </w:t>
          </w:r>
          <w:r>
            <w:rPr>
              <w:spacing w:val="7"/>
              <w:sz w:val="20"/>
              <w:szCs w:val="20"/>
            </w:rPr>
            <w:t>:</w:t>
          </w:r>
          <w:r>
            <w:rPr>
              <w:spacing w:val="-12"/>
              <w:sz w:val="20"/>
              <w:szCs w:val="20"/>
            </w:rPr>
            <w:t xml:space="preserve"> </w:t>
          </w:r>
          <w:r>
            <w:rPr>
              <w:spacing w:val="7"/>
              <w:sz w:val="20"/>
              <w:szCs w:val="20"/>
            </w:rPr>
            <w:t>天然橡胶-丁苯橡胶(元/吨)</w:t>
          </w:r>
          <w:r>
            <w:rPr>
              <w:sz w:val="20"/>
              <w:szCs w:val="20"/>
            </w:rPr>
            <w:tab/>
          </w:r>
          <w:hyperlink w:anchor="bookmark42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15</w:t>
            </w:r>
          </w:hyperlink>
        </w:p>
        <w:p>
          <w:pPr>
            <w:pStyle w:val="BodyText"/>
            <w:tabs>
              <w:tab w:val="right" w:leader="dot" w:pos="10555"/>
            </w:tabs>
            <w:spacing w:before="79" w:line="228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4"/>
              <w:sz w:val="20"/>
              <w:szCs w:val="20"/>
            </w:rPr>
            <w:t>图</w:t>
          </w:r>
          <w:r>
            <w:rPr>
              <w:spacing w:val="34"/>
              <w:sz w:val="20"/>
              <w:szCs w:val="20"/>
            </w:rPr>
            <w:t xml:space="preserve"> </w:t>
          </w:r>
          <w:r>
            <w:rPr>
              <w:spacing w:val="14"/>
              <w:sz w:val="20"/>
              <w:szCs w:val="20"/>
            </w:rPr>
            <w:t>38:</w:t>
          </w:r>
          <w:r>
            <w:rPr>
              <w:spacing w:val="-32"/>
              <w:sz w:val="20"/>
              <w:szCs w:val="20"/>
            </w:rPr>
            <w:t xml:space="preserve"> </w:t>
          </w:r>
          <w:r>
            <w:rPr>
              <w:spacing w:val="14"/>
              <w:sz w:val="20"/>
              <w:szCs w:val="20"/>
            </w:rPr>
            <w:t>醋酐(元/吨)</w:t>
          </w:r>
          <w:r>
            <w:rPr>
              <w:sz w:val="20"/>
              <w:szCs w:val="20"/>
            </w:rPr>
            <w:tab/>
          </w:r>
          <w:hyperlink w:anchor="bookmark43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15</w:t>
            </w:r>
          </w:hyperlink>
        </w:p>
        <w:p>
          <w:pPr>
            <w:pStyle w:val="BodyText"/>
            <w:tabs>
              <w:tab w:val="right" w:leader="dot" w:pos="10485"/>
            </w:tabs>
            <w:spacing w:before="83" w:line="228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6"/>
              <w:sz w:val="20"/>
              <w:szCs w:val="20"/>
            </w:rPr>
            <w:t>图</w:t>
          </w:r>
          <w:r>
            <w:rPr>
              <w:spacing w:val="57"/>
              <w:sz w:val="20"/>
              <w:szCs w:val="20"/>
            </w:rPr>
            <w:t xml:space="preserve"> </w:t>
          </w:r>
          <w:r>
            <w:rPr>
              <w:spacing w:val="6"/>
              <w:sz w:val="20"/>
              <w:szCs w:val="20"/>
            </w:rPr>
            <w:t>39:双酚</w:t>
          </w:r>
          <w:r>
            <w:rPr>
              <w:spacing w:val="6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6"/>
              <w:sz w:val="20"/>
              <w:szCs w:val="20"/>
            </w:rPr>
            <w:t>A</w:t>
          </w:r>
          <w:r>
            <w:rPr>
              <w:rFonts w:ascii="Times New Roman" w:eastAsia="Times New Roman" w:hAnsi="Times New Roman" w:cs="Times New Roman"/>
              <w:spacing w:val="37"/>
              <w:sz w:val="20"/>
              <w:szCs w:val="20"/>
            </w:rPr>
            <w:t xml:space="preserve"> </w:t>
          </w:r>
          <w:r>
            <w:rPr>
              <w:spacing w:val="6"/>
              <w:sz w:val="20"/>
              <w:szCs w:val="20"/>
            </w:rPr>
            <w:t>(元/吨)</w:t>
          </w:r>
          <w:r>
            <w:rPr>
              <w:sz w:val="20"/>
              <w:szCs w:val="20"/>
            </w:rPr>
            <w:tab/>
          </w:r>
          <w:r>
            <w:rPr>
              <w:spacing w:val="-37"/>
              <w:sz w:val="20"/>
              <w:szCs w:val="20"/>
            </w:rPr>
            <w:t xml:space="preserve"> </w:t>
          </w:r>
          <w:hyperlink w:anchor="bookmark44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15</w:t>
            </w:r>
          </w:hyperlink>
        </w:p>
        <w:p>
          <w:pPr>
            <w:pStyle w:val="BodyText"/>
            <w:tabs>
              <w:tab w:val="right" w:leader="dot" w:pos="10575"/>
            </w:tabs>
            <w:spacing w:before="93" w:line="228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5"/>
              <w:sz w:val="20"/>
              <w:szCs w:val="20"/>
            </w:rPr>
            <w:t>图</w:t>
          </w:r>
          <w:r>
            <w:rPr>
              <w:spacing w:val="5"/>
              <w:sz w:val="20"/>
              <w:szCs w:val="20"/>
            </w:rPr>
            <w:t xml:space="preserve"> </w:t>
          </w:r>
          <w:r>
            <w:rPr>
              <w:spacing w:val="5"/>
              <w:sz w:val="20"/>
              <w:szCs w:val="20"/>
            </w:rPr>
            <w:t>40:</w:t>
          </w:r>
          <w:r>
            <w:rPr>
              <w:spacing w:val="8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>PTA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 xml:space="preserve">  </w:t>
          </w:r>
          <w:r>
            <w:rPr>
              <w:spacing w:val="5"/>
              <w:sz w:val="20"/>
              <w:szCs w:val="20"/>
            </w:rPr>
            <w:t>(元/吨)</w:t>
          </w:r>
          <w:r>
            <w:rPr>
              <w:sz w:val="20"/>
              <w:szCs w:val="20"/>
            </w:rPr>
            <w:tab/>
          </w:r>
          <w:hyperlink w:anchor="bookmark45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15</w:t>
            </w:r>
          </w:hyperlink>
        </w:p>
      </w:sdtContent>
    </w:sdt>
    <w:p>
      <w:pPr>
        <w:spacing w:line="228" w:lineRule="auto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35"/>
          <w:footerReference w:type="default" r:id="rId36"/>
          <w:type w:val="nextPage"/>
          <w:pgSz w:w="11910" w:h="16840"/>
          <w:pgMar w:top="1389" w:right="652" w:bottom="1289" w:left="560" w:header="759" w:footer="759" w:gutter="0"/>
          <w:pgNumType w:start="13"/>
          <w:cols w:space="708"/>
          <w:titlePg w:val="0"/>
        </w:sectPr>
      </w:pPr>
    </w:p>
    <w:p>
      <w:pPr>
        <w:pStyle w:val="BodyText"/>
        <w:spacing w:before="150" w:line="229" w:lineRule="auto"/>
        <w:ind w:left="3084"/>
        <w:outlineLvl w:val="0"/>
        <w:rPr>
          <w:sz w:val="32"/>
          <w:szCs w:val="32"/>
        </w:rPr>
      </w:pPr>
      <w:bookmarkStart w:id="0" w:name="bookmark1"/>
      <w:bookmarkEnd w:id="0"/>
      <w:bookmarkStart w:id="1" w:name="bookmark2"/>
      <w:bookmarkEnd w:id="1"/>
      <w:r>
        <w:rPr>
          <w:b/>
          <w:bCs/>
          <w:spacing w:val="-5"/>
          <w:sz w:val="32"/>
          <w:szCs w:val="32"/>
        </w:rPr>
        <w:t>一、行业整体观点</w:t>
      </w:r>
    </w:p>
    <w:p>
      <w:pPr>
        <w:pStyle w:val="BodyText"/>
        <w:spacing w:before="142" w:line="271" w:lineRule="auto"/>
        <w:ind w:left="3080" w:right="16"/>
        <w:jc w:val="both"/>
      </w:pPr>
      <w:r>
        <w:rPr>
          <w:spacing w:val="3"/>
        </w:rPr>
        <w:t>1.2月19日~2月23日，</w:t>
      </w:r>
      <w:r>
        <w:rPr>
          <w:spacing w:val="3"/>
        </w:rPr>
        <w:t xml:space="preserve"> </w:t>
      </w:r>
      <w:r>
        <w:rPr>
          <w:rFonts w:ascii="SimSun" w:eastAsia="SimSun" w:hAnsi="SimSun" w:cs="SimSun"/>
        </w:rPr>
        <w:t>SW</w:t>
      </w:r>
      <w:r>
        <w:rPr>
          <w:rFonts w:ascii="SimSun" w:eastAsia="SimSun" w:hAnsi="SimSun" w:cs="SimSun"/>
          <w:spacing w:val="54"/>
        </w:rPr>
        <w:t xml:space="preserve"> </w:t>
      </w:r>
      <w:r>
        <w:rPr>
          <w:spacing w:val="3"/>
        </w:rPr>
        <w:t>基础化工板块上涨5.01</w:t>
      </w:r>
      <w:r>
        <w:rPr>
          <w:spacing w:val="2"/>
        </w:rPr>
        <w:t>%,跑赢万得全</w:t>
      </w:r>
      <w:r>
        <w:rPr>
          <w:rFonts w:ascii="SimSun" w:eastAsia="SimSun" w:hAnsi="SimSun" w:cs="SimSun"/>
          <w:spacing w:val="2"/>
        </w:rPr>
        <w:t>A</w:t>
      </w:r>
      <w:r>
        <w:rPr>
          <w:rFonts w:ascii="SimSun" w:eastAsia="SimSun" w:hAnsi="SimSun" w:cs="SimSun"/>
          <w:spacing w:val="-58"/>
        </w:rPr>
        <w:t xml:space="preserve"> </w:t>
      </w:r>
      <w:r>
        <w:rPr>
          <w:spacing w:val="2"/>
        </w:rPr>
        <w:t>指数0.07</w:t>
      </w:r>
      <w:r>
        <w:rPr>
          <w:rFonts w:ascii="SimSun" w:eastAsia="SimSun" w:hAnsi="SimSun" w:cs="SimSun"/>
        </w:rPr>
        <w:t>pct</w:t>
      </w:r>
      <w:r>
        <w:rPr>
          <w:rFonts w:ascii="SimSun" w:eastAsia="SimSun" w:hAnsi="SimSun" w:cs="SimSun"/>
          <w:spacing w:val="2"/>
        </w:rPr>
        <w:t>;</w:t>
      </w:r>
      <w:r>
        <w:rPr>
          <w:spacing w:val="2"/>
        </w:rPr>
        <w:t>化</w:t>
      </w:r>
      <w:r>
        <w:t xml:space="preserve"> </w:t>
      </w:r>
      <w:r>
        <w:rPr>
          <w:spacing w:val="-5"/>
        </w:rPr>
        <w:t>工子行业上涨较多，表现较差的有纯碱、氨纶板块，表现较好的有炭黑、涂料油墨等</w:t>
      </w:r>
      <w:r>
        <w:rPr>
          <w:spacing w:val="17"/>
        </w:rPr>
        <w:t xml:space="preserve"> </w:t>
      </w:r>
      <w:r>
        <w:rPr>
          <w:spacing w:val="-8"/>
        </w:rPr>
        <w:t>板块。</w:t>
      </w:r>
    </w:p>
    <w:p>
      <w:pPr>
        <w:pStyle w:val="BodyText"/>
        <w:spacing w:before="213" w:line="287" w:lineRule="auto"/>
        <w:ind w:left="3080" w:right="25" w:firstLine="3"/>
      </w:pPr>
      <w:r>
        <w:rPr>
          <w:b/>
          <w:bCs/>
          <w:spacing w:val="-11"/>
        </w:rPr>
        <w:t>2.供给约束：</w:t>
      </w:r>
      <w:r>
        <w:rPr>
          <w:spacing w:val="-11"/>
        </w:rPr>
        <w:t>“双碳”浪潮下，上游能源资本开支下降，全球油价维持高位；以钛矿、</w:t>
      </w:r>
      <w:r>
        <w:rPr>
          <w:spacing w:val="4"/>
        </w:rPr>
        <w:t xml:space="preserve"> </w:t>
      </w:r>
      <w:r>
        <w:rPr>
          <w:spacing w:val="-8"/>
        </w:rPr>
        <w:t>磷矿为代表等资源型行业受限于扩产周期和需求释放引发供需错配；</w:t>
      </w:r>
      <w:r>
        <w:rPr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-8"/>
        </w:rPr>
        <w:t>MDI</w:t>
      </w:r>
      <w:r>
        <w:rPr>
          <w:rFonts w:ascii="SimSun" w:eastAsia="SimSun" w:hAnsi="SimSun" w:cs="SimSun"/>
          <w:spacing w:val="-8"/>
        </w:rPr>
        <w:t>、</w:t>
      </w:r>
      <w:r>
        <w:rPr>
          <w:spacing w:val="-8"/>
        </w:rPr>
        <w:t>创制农药</w:t>
      </w:r>
      <w:r>
        <w:t xml:space="preserve"> </w:t>
      </w:r>
      <w:r>
        <w:rPr>
          <w:spacing w:val="-5"/>
        </w:rPr>
        <w:t>等行业技术壁垒高企；尿素、纯碱、乙烷裂解、制冷剂总量控制下，产品盈利有望持</w:t>
      </w:r>
      <w:r>
        <w:rPr>
          <w:spacing w:val="8"/>
        </w:rPr>
        <w:t xml:space="preserve"> </w:t>
      </w:r>
      <w:r>
        <w:rPr>
          <w:spacing w:val="-9"/>
        </w:rPr>
        <w:t>续改善。</w:t>
      </w:r>
    </w:p>
    <w:p>
      <w:pPr>
        <w:pStyle w:val="BodyText"/>
        <w:spacing w:before="215" w:line="280" w:lineRule="auto"/>
        <w:ind w:left="3083" w:right="22"/>
      </w:pPr>
      <w:r>
        <w:rPr>
          <w:b/>
          <w:bCs/>
          <w:spacing w:val="2"/>
        </w:rPr>
        <w:t>供给约束方向建议关注：资源品以油气(中国石油、</w:t>
      </w:r>
      <w:r>
        <w:rPr>
          <w:b/>
          <w:bCs/>
          <w:spacing w:val="1"/>
        </w:rPr>
        <w:t>中国石油股份、中国海油、中</w:t>
      </w:r>
      <w:r>
        <w:t xml:space="preserve"> </w:t>
      </w:r>
      <w:r>
        <w:rPr>
          <w:b/>
          <w:bCs/>
          <w:spacing w:val="-2"/>
        </w:rPr>
        <w:t>国海洋石油)、矿藏(钛精矿-龙佰集团、天然碱-远兴能源、磷矿-川恒股份、钾矿-</w:t>
      </w:r>
      <w:r>
        <w:rPr>
          <w:spacing w:val="1"/>
        </w:rPr>
        <w:t xml:space="preserve">  </w:t>
      </w:r>
      <w:r>
        <w:rPr>
          <w:b/>
          <w:bCs/>
          <w:spacing w:val="6"/>
        </w:rPr>
        <w:t>亚钾国际)等为代表；制造端以</w:t>
      </w:r>
      <w:r>
        <w:rPr>
          <w:rFonts w:ascii="SimSun" w:eastAsia="SimSun" w:hAnsi="SimSun" w:cs="SimSun"/>
          <w:b/>
          <w:bCs/>
        </w:rPr>
        <w:t>MDI</w:t>
      </w:r>
      <w:r>
        <w:rPr>
          <w:rFonts w:ascii="SimSun" w:eastAsia="SimSun" w:hAnsi="SimSun" w:cs="SimSun"/>
          <w:spacing w:val="6"/>
        </w:rPr>
        <w:t xml:space="preserve"> </w:t>
      </w:r>
      <w:r>
        <w:rPr>
          <w:b/>
          <w:bCs/>
          <w:spacing w:val="6"/>
        </w:rPr>
        <w:t>(万华化学)、创制农药、尿素(华鲁恒升)、</w:t>
      </w:r>
      <w:r>
        <w:rPr>
          <w:spacing w:val="1"/>
        </w:rPr>
        <w:t xml:space="preserve">  </w:t>
      </w:r>
      <w:r>
        <w:rPr>
          <w:b/>
          <w:bCs/>
          <w:spacing w:val="9"/>
        </w:rPr>
        <w:t>乙烷裂解(卫星化学)、制冷剂(巨化股份、永和股份、三美化工、昊华科技)为</w:t>
      </w:r>
      <w:r>
        <w:rPr>
          <w:spacing w:val="5"/>
        </w:rPr>
        <w:t xml:space="preserve">  </w:t>
      </w:r>
      <w:r>
        <w:rPr>
          <w:b/>
          <w:bCs/>
          <w:spacing w:val="-11"/>
        </w:rPr>
        <w:t>代表。</w:t>
      </w:r>
    </w:p>
    <w:p>
      <w:pPr>
        <w:pStyle w:val="BodyText"/>
        <w:spacing w:before="211" w:line="281" w:lineRule="auto"/>
        <w:ind w:left="3080" w:right="40"/>
        <w:jc w:val="both"/>
      </w:pPr>
      <w:r>
        <w:rPr>
          <w:spacing w:val="-2"/>
        </w:rPr>
        <w:t>3.</w:t>
      </w:r>
      <w:r>
        <w:rPr>
          <w:spacing w:val="-23"/>
        </w:rPr>
        <w:t xml:space="preserve"> </w:t>
      </w:r>
      <w:r>
        <w:rPr>
          <w:spacing w:val="-2"/>
        </w:rPr>
        <w:t>新技术：成长行业本质也属于供给约束的范畴。优秀企业在合成生物学、海外农</w:t>
      </w:r>
      <w:r>
        <w:t xml:space="preserve"> </w:t>
      </w:r>
      <w:r>
        <w:rPr>
          <w:spacing w:val="-5"/>
        </w:rPr>
        <w:t>药制剂、润滑油添加剂、电子材料、芳纶涂覆、液流电池、真空玻璃</w:t>
      </w:r>
      <w:r>
        <w:rPr>
          <w:spacing w:val="-6"/>
        </w:rPr>
        <w:t>、化学炼胶等领</w:t>
      </w:r>
      <w:r>
        <w:t xml:space="preserve"> </w:t>
      </w:r>
      <w:r>
        <w:rPr>
          <w:spacing w:val="-3"/>
        </w:rPr>
        <w:t>域有望实现0到1的突破。</w:t>
      </w:r>
    </w:p>
    <w:p>
      <w:pPr>
        <w:pStyle w:val="BodyText"/>
        <w:spacing w:before="221" w:line="268" w:lineRule="auto"/>
        <w:ind w:left="3083" w:right="33"/>
        <w:jc w:val="both"/>
      </w:pPr>
      <w:r>
        <w:rPr>
          <w:b/>
          <w:bCs/>
          <w:spacing w:val="7"/>
        </w:rPr>
        <w:t>新技术方向建议关注：合成生物、农药制剂出海(润丰股份)、润滑油添加剂(瑞</w:t>
      </w:r>
      <w:r>
        <w:rPr>
          <w:spacing w:val="5"/>
        </w:rPr>
        <w:t xml:space="preserve"> </w:t>
      </w:r>
      <w:r>
        <w:rPr>
          <w:b/>
          <w:bCs/>
          <w:spacing w:val="4"/>
        </w:rPr>
        <w:t>丰新材)、新材料(泰和新材、赛特新材、振华股份)、电子材料(万润股份、格林</w:t>
      </w:r>
      <w:r>
        <w:rPr>
          <w:spacing w:val="3"/>
        </w:rPr>
        <w:t xml:space="preserve"> </w:t>
      </w:r>
      <w:r>
        <w:rPr>
          <w:b/>
          <w:bCs/>
          <w:spacing w:val="10"/>
        </w:rPr>
        <w:t>达等)、车用材料(赛轮轮胎、海利得等)。</w:t>
      </w:r>
    </w:p>
    <w:p>
      <w:pPr>
        <w:pStyle w:val="BodyText"/>
        <w:spacing w:before="183" w:line="268" w:lineRule="auto"/>
        <w:ind w:left="3080" w:right="27"/>
        <w:jc w:val="both"/>
      </w:pPr>
      <w:r>
        <w:rPr>
          <w:spacing w:val="-1"/>
        </w:rPr>
        <w:t>4.</w:t>
      </w:r>
      <w:r>
        <w:rPr>
          <w:spacing w:val="-33"/>
        </w:rPr>
        <w:t xml:space="preserve"> </w:t>
      </w:r>
      <w:r>
        <w:rPr>
          <w:spacing w:val="-1"/>
        </w:rPr>
        <w:t>库存周期底部寻找拐点：化工行业大部分产品价差已回落至历史底部，</w:t>
      </w:r>
      <w:r>
        <w:rPr>
          <w:spacing w:val="-2"/>
        </w:rPr>
        <w:t>若基本面</w:t>
      </w:r>
      <w:r>
        <w:t xml:space="preserve"> </w:t>
      </w:r>
      <w:r>
        <w:rPr>
          <w:spacing w:val="1"/>
        </w:rPr>
        <w:t>边际改善将对产品量价有较明显拉动。化工龙头公</w:t>
      </w:r>
      <w:r>
        <w:t>司凭借成本、技术、资本开支等</w:t>
      </w:r>
      <w:r>
        <w:t xml:space="preserve"> </w:t>
      </w:r>
      <w:r>
        <w:t>优势，龙头有望率先确认拐点；海外库存周期回升对应中国出口中枢修复，出口链</w:t>
      </w:r>
      <w:r>
        <w:rPr>
          <w:spacing w:val="13"/>
        </w:rPr>
        <w:t xml:space="preserve"> </w:t>
      </w:r>
      <w:r>
        <w:rPr>
          <w:spacing w:val="-5"/>
        </w:rPr>
        <w:t>条的子行业基本面有望迎接改善。</w:t>
      </w:r>
    </w:p>
    <w:p>
      <w:pPr>
        <w:pStyle w:val="BodyText"/>
        <w:spacing w:before="237" w:line="273" w:lineRule="auto"/>
        <w:ind w:left="3083"/>
      </w:pPr>
      <w:r>
        <w:rPr>
          <w:b/>
          <w:bCs/>
        </w:rPr>
        <w:t>库存周期方向建议关注：出口链的化纤(聚合顺、新凤鸣，桐昆股份、华峰化学、</w:t>
      </w:r>
      <w:r>
        <w:rPr>
          <w:spacing w:val="6"/>
        </w:rPr>
        <w:t xml:space="preserve">  </w:t>
      </w:r>
      <w:r>
        <w:rPr>
          <w:b/>
          <w:bCs/>
          <w:spacing w:val="8"/>
        </w:rPr>
        <w:t>三友化工)、香精香料(金禾实业、新和成、亚香股份)、农药(润</w:t>
      </w:r>
      <w:r>
        <w:rPr>
          <w:b/>
          <w:bCs/>
          <w:spacing w:val="7"/>
        </w:rPr>
        <w:t>丰股份等)、民</w:t>
      </w:r>
      <w:r>
        <w:t xml:space="preserve"> </w:t>
      </w:r>
      <w:r>
        <w:rPr>
          <w:b/>
          <w:bCs/>
          <w:spacing w:val="4"/>
        </w:rPr>
        <w:t>营炼化(荣盛石化、恒力石化、东方盛虹)、地产</w:t>
      </w:r>
      <w:r>
        <w:rPr>
          <w:spacing w:val="-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4"/>
        </w:rPr>
        <w:t>(</w:t>
      </w:r>
      <w:r>
        <w:rPr>
          <w:rFonts w:ascii="Times New Roman" w:eastAsia="Times New Roman" w:hAnsi="Times New Roman" w:cs="Times New Roman"/>
          <w:b/>
          <w:bCs/>
        </w:rPr>
        <w:t>MDI</w:t>
      </w:r>
      <w:r>
        <w:rPr>
          <w:rFonts w:ascii="Times New Roman" w:eastAsia="Times New Roman" w:hAnsi="Times New Roman" w:cs="Times New Roman"/>
          <w:b/>
          <w:bCs/>
          <w:spacing w:val="-30"/>
        </w:rPr>
        <w:t xml:space="preserve"> </w:t>
      </w:r>
      <w:r>
        <w:rPr>
          <w:rFonts w:ascii="SimSun" w:eastAsia="SimSun" w:hAnsi="SimSun" w:cs="SimSun"/>
          <w:b/>
          <w:bCs/>
          <w:spacing w:val="4"/>
        </w:rPr>
        <w:t>、</w:t>
      </w:r>
      <w:r>
        <w:rPr>
          <w:b/>
          <w:bCs/>
          <w:spacing w:val="4"/>
        </w:rPr>
        <w:t>钛白粉、</w:t>
      </w:r>
      <w:r>
        <w:rPr>
          <w:rFonts w:ascii="Times New Roman" w:eastAsia="Times New Roman" w:hAnsi="Times New Roman" w:cs="Times New Roman"/>
          <w:b/>
          <w:bCs/>
        </w:rPr>
        <w:t>PVC</w:t>
      </w:r>
      <w:r>
        <w:rPr>
          <w:b/>
          <w:bCs/>
          <w:spacing w:val="4"/>
        </w:rPr>
        <w:t>等</w:t>
      </w:r>
      <w:r>
        <w:rPr>
          <w:spacing w:val="-50"/>
        </w:rPr>
        <w:t xml:space="preserve"> </w:t>
      </w:r>
      <w:r>
        <w:rPr>
          <w:b/>
          <w:bCs/>
          <w:spacing w:val="4"/>
        </w:rPr>
        <w:t>)</w:t>
      </w:r>
      <w:r>
        <w:rPr>
          <w:spacing w:val="-54"/>
        </w:rPr>
        <w:t xml:space="preserve"> </w:t>
      </w:r>
      <w:r>
        <w:rPr>
          <w:b/>
          <w:bCs/>
          <w:spacing w:val="4"/>
        </w:rPr>
        <w:t>。</w:t>
      </w:r>
    </w:p>
    <w:p>
      <w:pPr>
        <w:spacing w:line="420" w:lineRule="auto"/>
        <w:rPr>
          <w:rFonts w:ascii="Arial"/>
          <w:sz w:val="21"/>
        </w:rPr>
      </w:pPr>
    </w:p>
    <w:p>
      <w:pPr>
        <w:pStyle w:val="BodyText"/>
        <w:spacing w:before="105" w:line="227" w:lineRule="auto"/>
        <w:ind w:left="3084"/>
        <w:rPr>
          <w:sz w:val="32"/>
          <w:szCs w:val="32"/>
        </w:rPr>
      </w:pPr>
      <w:r>
        <w:rPr>
          <w:b/>
          <w:bCs/>
          <w:spacing w:val="-6"/>
          <w:sz w:val="32"/>
          <w:szCs w:val="32"/>
        </w:rPr>
        <w:t>二、重点子行业信息跟踪</w:t>
      </w:r>
    </w:p>
    <w:p>
      <w:pPr>
        <w:pStyle w:val="BodyText"/>
        <w:spacing w:before="167" w:line="220" w:lineRule="auto"/>
        <w:ind w:left="3083"/>
      </w:pPr>
      <w:r>
        <w:rPr>
          <w:b/>
          <w:bCs/>
          <w:u w:val="single" w:color="auto"/>
        </w:rPr>
        <w:t>MDI</w:t>
      </w:r>
      <w:r>
        <w:rPr>
          <w:b/>
          <w:bCs/>
          <w:spacing w:val="12"/>
          <w:u w:val="single" w:color="auto"/>
        </w:rPr>
        <w:t>:成本端持续提振，</w:t>
      </w:r>
      <w:r>
        <w:rPr>
          <w:b/>
          <w:bCs/>
          <w:u w:val="single" w:color="auto"/>
        </w:rPr>
        <w:t>MDI</w:t>
      </w:r>
      <w:r>
        <w:rPr>
          <w:b/>
          <w:bCs/>
          <w:spacing w:val="12"/>
          <w:u w:val="single" w:color="auto"/>
        </w:rPr>
        <w:t>价差小幅上涨</w:t>
      </w:r>
    </w:p>
    <w:p>
      <w:pPr>
        <w:pStyle w:val="BodyText"/>
        <w:spacing w:before="150" w:line="274" w:lineRule="auto"/>
        <w:ind w:left="3080" w:right="18"/>
        <w:sectPr>
          <w:headerReference w:type="default" r:id="rId37"/>
          <w:footerReference w:type="default" r:id="rId38"/>
          <w:pgSz w:w="11910" w:h="16840"/>
          <w:pgMar w:top="1389" w:right="649" w:bottom="995" w:left="560" w:header="759" w:footer="740" w:gutter="0"/>
          <w:pgNumType w:start="14"/>
          <w:cols w:space="708"/>
        </w:sectPr>
      </w:pPr>
      <w:r>
        <w:rPr>
          <w:spacing w:val="-5"/>
        </w:rPr>
        <w:t>根据百川资讯数据，供应端，国内方面，本周国内装置大多提负运行，</w:t>
      </w:r>
      <w:r>
        <w:rPr>
          <w:rFonts w:ascii="Times New Roman" w:eastAsia="Times New Roman" w:hAnsi="Times New Roman" w:cs="Times New Roman"/>
          <w:spacing w:val="-5"/>
        </w:rPr>
        <w:t>MDI</w:t>
      </w:r>
      <w:r>
        <w:rPr>
          <w:spacing w:val="-5"/>
        </w:rPr>
        <w:t>整体供应</w:t>
      </w:r>
      <w:r>
        <w:rPr>
          <w:spacing w:val="17"/>
        </w:rPr>
        <w:t xml:space="preserve"> </w:t>
      </w:r>
      <w:r>
        <w:rPr>
          <w:spacing w:val="-2"/>
        </w:rPr>
        <w:t>量增加，上海某工厂二期24万吨/年装置于1月18日母液调整停车，1月31日重启；宁</w:t>
      </w:r>
      <w:r>
        <w:rPr>
          <w:spacing w:val="1"/>
        </w:rPr>
        <w:t xml:space="preserve"> </w:t>
      </w:r>
      <w:r>
        <w:rPr>
          <w:spacing w:val="1"/>
        </w:rPr>
        <w:t>波一大厂40万吨装置正常运行，二期80万吨装置</w:t>
      </w:r>
      <w:r>
        <w:t>1月31日重启；西南某工厂1月下旬</w:t>
      </w:r>
      <w:r>
        <w:t xml:space="preserve"> </w:t>
      </w:r>
      <w:r>
        <w:rPr>
          <w:spacing w:val="-2"/>
        </w:rPr>
        <w:t>重启正常运行；福建某厂40万吨/年装置计划于3月4日开始停产检修，预计检修30天</w:t>
      </w:r>
      <w:r>
        <w:rPr>
          <w:spacing w:val="15"/>
        </w:rPr>
        <w:t xml:space="preserve"> </w:t>
      </w:r>
      <w:r>
        <w:rPr>
          <w:spacing w:val="-2"/>
        </w:rPr>
        <w:t>左右。国外方面，2月19日海外韩国</w:t>
      </w:r>
      <w:r>
        <w:rPr>
          <w:rFonts w:ascii="SimSun" w:eastAsia="SimSun" w:hAnsi="SimSun" w:cs="SimSun"/>
          <w:spacing w:val="-2"/>
        </w:rPr>
        <w:t>B</w:t>
      </w:r>
      <w:r>
        <w:rPr>
          <w:rFonts w:ascii="SimSun" w:eastAsia="SimSun" w:hAnsi="SimSun" w:cs="SimSun"/>
          <w:spacing w:val="-57"/>
        </w:rPr>
        <w:t xml:space="preserve"> </w:t>
      </w:r>
      <w:r>
        <w:rPr>
          <w:spacing w:val="-2"/>
        </w:rPr>
        <w:t>工厂</w:t>
      </w:r>
      <w:r>
        <w:rPr>
          <w:rFonts w:ascii="SimSun" w:eastAsia="SimSun" w:hAnsi="SimSun" w:cs="SimSun"/>
          <w:spacing w:val="-2"/>
        </w:rPr>
        <w:t xml:space="preserve">MDI </w:t>
      </w:r>
      <w:r>
        <w:rPr>
          <w:spacing w:val="-2"/>
        </w:rPr>
        <w:t>装置故障停车</w:t>
      </w:r>
      <w:r>
        <w:rPr>
          <w:spacing w:val="-3"/>
        </w:rPr>
        <w:t>，具体恢复时间未定，</w:t>
      </w:r>
      <w:r>
        <w:rPr>
          <w:spacing w:val="-3"/>
        </w:rPr>
        <w:t xml:space="preserve"> </w:t>
      </w:r>
      <w:r>
        <w:t>其他装置处于正常运行状态，海外整体供应量波动有限。需求端，下游氨纶工厂开</w:t>
      </w:r>
      <w:r>
        <w:rPr>
          <w:spacing w:val="16"/>
        </w:rPr>
        <w:t xml:space="preserve"> </w:t>
      </w:r>
      <w:r>
        <w:rPr>
          <w:spacing w:val="-3"/>
        </w:rPr>
        <w:t>工负荷运行8成左右，本周工厂报盘持稳，终端需求恢复缓慢，下游工厂出货压力尚</w:t>
      </w:r>
      <w:r>
        <w:rPr>
          <w:spacing w:val="16"/>
        </w:rPr>
        <w:t xml:space="preserve"> </w:t>
      </w:r>
      <w:r>
        <w:rPr>
          <w:spacing w:val="-5"/>
        </w:rPr>
        <w:t>存，多消化原料库存为主。成本端，本周国内纯苯市场弱势下滑，中</w:t>
      </w:r>
      <w:r>
        <w:rPr>
          <w:spacing w:val="-6"/>
        </w:rPr>
        <w:t>石化纯苯挂牌接</w:t>
      </w:r>
    </w:p>
    <w:p>
      <w:pPr>
        <w:pStyle w:val="BodyText"/>
        <w:tabs>
          <w:tab w:val="left" w:pos="1821"/>
        </w:tabs>
        <w:spacing w:before="70" w:line="220" w:lineRule="auto"/>
        <w:ind w:left="50"/>
      </w:pPr>
      <w:r>
        <w:rPr>
          <w:u w:val="single" w:color="auto"/>
        </w:rPr>
        <w:tab/>
      </w:r>
      <w:r>
        <w:rPr>
          <w:spacing w:val="30"/>
          <w:u w:val="single" w:color="auto"/>
        </w:rPr>
        <w:t>连下调300元/吨，现执行8550元/吨现汇自</w:t>
      </w:r>
      <w:r>
        <w:rPr>
          <w:spacing w:val="29"/>
          <w:u w:val="single" w:color="auto"/>
        </w:rPr>
        <w:t>提。苯胺市场供需相对平衡，价格较为稳</w:t>
      </w:r>
    </w:p>
    <w:p>
      <w:pPr>
        <w:spacing w:before="104" w:line="193" w:lineRule="auto"/>
        <w:jc w:val="right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20"/>
          <w:w w:val="94"/>
          <w:sz w:val="21"/>
          <w:szCs w:val="21"/>
        </w:rPr>
        <w:t>识别风险，发现价值</w:t>
      </w:r>
      <w:r>
        <w:rPr>
          <w:rFonts w:ascii="SimHei" w:eastAsia="SimHei" w:hAnsi="SimHei" w:cs="SimHei"/>
          <w:spacing w:val="1"/>
          <w:sz w:val="21"/>
          <w:szCs w:val="21"/>
        </w:rPr>
        <w:t xml:space="preserve">                       </w:t>
      </w:r>
      <w:r>
        <w:rPr>
          <w:rFonts w:ascii="SimHei" w:eastAsia="SimHei" w:hAnsi="SimHei" w:cs="SimHei"/>
          <w:sz w:val="21"/>
          <w:szCs w:val="21"/>
        </w:rPr>
        <w:t xml:space="preserve">                                          </w:t>
      </w:r>
      <w:r>
        <w:rPr>
          <w:rFonts w:ascii="SimHei" w:eastAsia="SimHei" w:hAnsi="SimHei" w:cs="SimHei"/>
          <w:b/>
          <w:bCs/>
          <w:spacing w:val="-20"/>
          <w:w w:val="94"/>
          <w:sz w:val="21"/>
          <w:szCs w:val="21"/>
        </w:rPr>
        <w:t>请务必阅读末页的免责声明</w:t>
      </w:r>
    </w:p>
    <w:p>
      <w:pPr>
        <w:spacing w:line="193" w:lineRule="auto"/>
        <w:rPr>
          <w:rFonts w:ascii="SimHei" w:eastAsia="SimHei" w:hAnsi="SimHei" w:cs="SimHei"/>
          <w:sz w:val="21"/>
          <w:szCs w:val="21"/>
        </w:rPr>
        <w:sectPr>
          <w:headerReference w:type="default" r:id="rId39"/>
          <w:footerReference w:type="default" r:id="rId40"/>
          <w:type w:val="nextPage"/>
          <w:pgSz w:w="11910" w:h="16840"/>
          <w:pgMar w:top="1389" w:right="649" w:bottom="995" w:left="560" w:header="759" w:footer="740" w:gutter="0"/>
          <w:pgNumType w:start="15"/>
          <w:cols w:space="708"/>
          <w:titlePg w:val="0"/>
        </w:sectPr>
      </w:pPr>
    </w:p>
    <w:p>
      <w:pPr>
        <w:pStyle w:val="BodyText"/>
        <w:spacing w:before="69" w:line="261" w:lineRule="auto"/>
        <w:ind w:left="3080" w:right="34"/>
        <w:jc w:val="both"/>
      </w:pPr>
      <w:r>
        <w:rPr>
          <w:spacing w:val="-1"/>
        </w:rPr>
        <w:t>定。聚合</w:t>
      </w:r>
      <w:r>
        <w:rPr>
          <w:rFonts w:ascii="Arial" w:eastAsia="Arial" w:hAnsi="Arial" w:cs="Arial"/>
          <w:spacing w:val="-1"/>
        </w:rPr>
        <w:t>MDV</w:t>
      </w:r>
      <w:r>
        <w:rPr>
          <w:spacing w:val="-1"/>
        </w:rPr>
        <w:t>纯</w:t>
      </w:r>
      <w:r>
        <w:rPr>
          <w:rFonts w:ascii="Arial" w:eastAsia="Arial" w:hAnsi="Arial" w:cs="Arial"/>
          <w:spacing w:val="-1"/>
        </w:rPr>
        <w:t>MDI</w:t>
      </w:r>
      <w:r>
        <w:rPr>
          <w:spacing w:val="-1"/>
        </w:rPr>
        <w:t>生产成本，环比上周+2.05%/-1</w:t>
      </w:r>
      <w:r>
        <w:rPr>
          <w:spacing w:val="-2"/>
        </w:rPr>
        <w:t>.36%。聚合</w:t>
      </w:r>
      <w:r>
        <w:rPr>
          <w:rFonts w:ascii="Arial" w:eastAsia="Arial" w:hAnsi="Arial" w:cs="Arial"/>
          <w:spacing w:val="-2"/>
        </w:rPr>
        <w:t>MDI/</w:t>
      </w:r>
      <w:r>
        <w:rPr>
          <w:spacing w:val="-2"/>
        </w:rPr>
        <w:t>纯</w:t>
      </w:r>
      <w:r>
        <w:rPr>
          <w:rFonts w:ascii="Arial" w:eastAsia="Arial" w:hAnsi="Arial" w:cs="Arial"/>
          <w:spacing w:val="-2"/>
        </w:rPr>
        <w:t>MDI</w:t>
      </w:r>
      <w:r>
        <w:rPr>
          <w:spacing w:val="-2"/>
        </w:rPr>
        <w:t>市场价为</w:t>
      </w:r>
      <w:r>
        <w:t xml:space="preserve"> </w:t>
      </w:r>
      <w:r>
        <w:rPr>
          <w:spacing w:val="15"/>
        </w:rPr>
        <w:t>17000/21100元/吨，较之前一周价格+1.49%/+1.</w:t>
      </w:r>
      <w:r>
        <w:rPr>
          <w:spacing w:val="14"/>
        </w:rPr>
        <w:t>44%,聚合</w:t>
      </w:r>
      <w:r>
        <w:rPr>
          <w:rFonts w:ascii="Times New Roman" w:eastAsia="Times New Roman" w:hAnsi="Times New Roman" w:cs="Times New Roman"/>
        </w:rPr>
        <w:t>MDI</w:t>
      </w:r>
      <w:r>
        <w:rPr>
          <w:rFonts w:ascii="Times New Roman" w:eastAsia="Times New Roman" w:hAnsi="Times New Roman" w:cs="Times New Roman"/>
          <w:spacing w:val="14"/>
        </w:rPr>
        <w:t>/</w:t>
      </w:r>
      <w:r>
        <w:rPr>
          <w:spacing w:val="14"/>
        </w:rPr>
        <w:t>纯</w:t>
      </w:r>
      <w:r>
        <w:rPr>
          <w:rFonts w:ascii="Times New Roman" w:eastAsia="Times New Roman" w:hAnsi="Times New Roman" w:cs="Times New Roman"/>
        </w:rPr>
        <w:t>MDI</w:t>
      </w:r>
      <w:r>
        <w:rPr>
          <w:spacing w:val="14"/>
        </w:rPr>
        <w:t>价差为</w:t>
      </w:r>
      <w:r>
        <w:t xml:space="preserve"> </w:t>
      </w:r>
      <w:r>
        <w:rPr>
          <w:spacing w:val="3"/>
        </w:rPr>
        <w:t>9425/12407元/吨，较之前一周价差+2.68%/+2.45%。</w:t>
      </w:r>
    </w:p>
    <w:p>
      <w:pPr>
        <w:spacing w:before="161" w:line="221" w:lineRule="auto"/>
        <w:ind w:left="3083"/>
        <w:rPr>
          <w:rFonts w:ascii="FangSong" w:eastAsia="FangSong" w:hAnsi="FangSong" w:cs="FangSong"/>
          <w:sz w:val="21"/>
          <w:szCs w:val="21"/>
        </w:rPr>
      </w:pPr>
      <w:bookmarkStart w:id="2" w:name="bookmark3"/>
      <w:bookmarkEnd w:id="2"/>
      <w:bookmarkStart w:id="3" w:name="bookmark4"/>
      <w:bookmarkEnd w:id="3"/>
      <w:r>
        <w:rPr>
          <w:rFonts w:ascii="FangSong" w:eastAsia="FangSong" w:hAnsi="FangSong" w:cs="FangSong"/>
          <w:b/>
          <w:bCs/>
          <w:sz w:val="21"/>
          <w:szCs w:val="21"/>
          <w:u w:val="single" w:color="auto"/>
        </w:rPr>
        <w:t>TDI</w:t>
      </w:r>
      <w:r>
        <w:rPr>
          <w:rFonts w:ascii="FangSong" w:eastAsia="FangSong" w:hAnsi="FangSong" w:cs="FangSong"/>
          <w:b/>
          <w:bCs/>
          <w:spacing w:val="11"/>
          <w:sz w:val="21"/>
          <w:szCs w:val="21"/>
          <w:u w:val="single" w:color="auto"/>
        </w:rPr>
        <w:t>:供给减少，助推</w:t>
      </w:r>
      <w:r>
        <w:rPr>
          <w:rFonts w:ascii="FangSong" w:eastAsia="FangSong" w:hAnsi="FangSong" w:cs="FangSong"/>
          <w:b/>
          <w:bCs/>
          <w:sz w:val="21"/>
          <w:szCs w:val="21"/>
          <w:u w:val="single" w:color="auto"/>
        </w:rPr>
        <w:t>TDI</w:t>
      </w:r>
      <w:r>
        <w:rPr>
          <w:rFonts w:ascii="FangSong" w:eastAsia="FangSong" w:hAnsi="FangSong" w:cs="FangSong"/>
          <w:b/>
          <w:bCs/>
          <w:spacing w:val="11"/>
          <w:sz w:val="21"/>
          <w:szCs w:val="21"/>
          <w:u w:val="single" w:color="auto"/>
        </w:rPr>
        <w:t>价格上行</w:t>
      </w:r>
    </w:p>
    <w:p>
      <w:pPr>
        <w:pStyle w:val="BodyText"/>
        <w:spacing w:before="167" w:line="269" w:lineRule="auto"/>
        <w:ind w:left="3080" w:right="39"/>
      </w:pPr>
      <w:r>
        <w:rPr>
          <w:spacing w:val="-8"/>
        </w:rPr>
        <w:t>根据百川资讯数据，供给端，本周</w:t>
      </w:r>
      <w:r>
        <w:rPr>
          <w:rFonts w:ascii="SimSun" w:eastAsia="SimSun" w:hAnsi="SimSun" w:cs="SimSun"/>
          <w:spacing w:val="-8"/>
        </w:rPr>
        <w:t>TDI</w:t>
      </w:r>
      <w:r>
        <w:rPr>
          <w:spacing w:val="-8"/>
        </w:rPr>
        <w:t>产量环比下降，周内西部</w:t>
      </w:r>
      <w:r>
        <w:rPr>
          <w:spacing w:val="-9"/>
        </w:rPr>
        <w:t>某工厂装置停车检修，</w:t>
      </w:r>
      <w:r>
        <w:t xml:space="preserve"> </w:t>
      </w:r>
      <w:r>
        <w:rPr>
          <w:rFonts w:ascii="SimSun" w:eastAsia="SimSun" w:hAnsi="SimSun" w:cs="SimSun"/>
        </w:rPr>
        <w:t>TDI</w:t>
      </w:r>
      <w:r>
        <w:rPr>
          <w:spacing w:val="3"/>
        </w:rPr>
        <w:t>整体开工有所下滑；福建某工厂将于2024年3月4日开始停产检修，预计检修30</w:t>
      </w:r>
      <w:r>
        <w:rPr>
          <w:spacing w:val="9"/>
        </w:rPr>
        <w:t xml:space="preserve"> </w:t>
      </w:r>
      <w:r>
        <w:rPr>
          <w:spacing w:val="1"/>
        </w:rPr>
        <w:t>天左右。需求端，下游企业需求未完全恢复</w:t>
      </w:r>
      <w:r>
        <w:t>，多消耗原料库存观望等待为主。本周</w:t>
      </w:r>
      <w:r>
        <w:t xml:space="preserve"> </w:t>
      </w:r>
      <w:r>
        <w:rPr>
          <w:rFonts w:ascii="Times New Roman" w:eastAsia="Times New Roman" w:hAnsi="Times New Roman" w:cs="Times New Roman"/>
        </w:rPr>
        <w:t>TDI</w:t>
      </w:r>
      <w:r>
        <w:rPr>
          <w:spacing w:val="1"/>
        </w:rPr>
        <w:t>成本支撑强势，</w:t>
      </w:r>
      <w:r>
        <w:rPr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TDI</w:t>
      </w:r>
      <w:r>
        <w:rPr>
          <w:spacing w:val="1"/>
        </w:rPr>
        <w:t>市场均价为17300元/吨，较之前一周价格+1.62%</w:t>
      </w:r>
      <w:r>
        <w:t>,</w:t>
      </w:r>
      <w:r>
        <w:rPr>
          <w:rFonts w:ascii="Times New Roman" w:eastAsia="Times New Roman" w:hAnsi="Times New Roman" w:cs="Times New Roman"/>
        </w:rPr>
        <w:t>TDI</w:t>
      </w:r>
      <w:r>
        <w:t>价差</w:t>
      </w:r>
      <w:r>
        <w:t xml:space="preserve"> </w:t>
      </w:r>
      <w:r>
        <w:rPr>
          <w:spacing w:val="1"/>
        </w:rPr>
        <w:t>为10576元/吨，较之前一周价差+2.</w:t>
      </w:r>
      <w:r>
        <w:t>80%。</w:t>
      </w:r>
    </w:p>
    <w:p>
      <w:pPr>
        <w:pStyle w:val="BodyText"/>
        <w:spacing w:before="216" w:line="220" w:lineRule="auto"/>
        <w:ind w:left="3083"/>
      </w:pPr>
      <w:r>
        <w:rPr>
          <w:b/>
          <w:bCs/>
          <w:spacing w:val="-2"/>
          <w:u w:val="single" w:color="auto"/>
        </w:rPr>
        <w:t>涤纶长丝：成本下降叠加开工率增长，涤纶长丝价格</w:t>
      </w:r>
      <w:r>
        <w:rPr>
          <w:b/>
          <w:bCs/>
          <w:spacing w:val="-3"/>
          <w:u w:val="single" w:color="auto"/>
        </w:rPr>
        <w:t>持续上行</w:t>
      </w:r>
    </w:p>
    <w:p>
      <w:pPr>
        <w:pStyle w:val="BodyText"/>
        <w:spacing w:before="145" w:line="276" w:lineRule="auto"/>
        <w:ind w:left="3080"/>
        <w:jc w:val="both"/>
      </w:pPr>
      <w:r>
        <w:t>根据百川资讯信息，成本端，本周原料市场整体走势较为</w:t>
      </w:r>
      <w:r>
        <w:rPr>
          <w:spacing w:val="-1"/>
        </w:rPr>
        <w:t>震荡，平均聚合成本较上</w:t>
      </w:r>
      <w:r>
        <w:rPr>
          <w:spacing w:val="-1"/>
        </w:rPr>
        <w:t xml:space="preserve"> </w:t>
      </w:r>
      <w:r>
        <w:rPr>
          <w:spacing w:val="-5"/>
        </w:rPr>
        <w:t>周下跌，平均聚合成本环比下跌39.17元/吨。供给端，本周涤纶长丝整体行业开工率</w:t>
      </w:r>
      <w:r>
        <w:rPr>
          <w:spacing w:val="9"/>
        </w:rPr>
        <w:t xml:space="preserve"> </w:t>
      </w:r>
      <w:r>
        <w:rPr>
          <w:spacing w:val="3"/>
        </w:rPr>
        <w:t>约为79.85%,较上周继续提升，本周多套前期停车检修装置重启，市场供应量明显</w:t>
      </w:r>
      <w:r>
        <w:rPr>
          <w:spacing w:val="7"/>
        </w:rPr>
        <w:t xml:space="preserve"> </w:t>
      </w:r>
      <w:r>
        <w:rPr>
          <w:spacing w:val="3"/>
        </w:rPr>
        <w:t>增多。需求端，目前下游织机综合开机率为57.36%,较上周大幅提升。本周成本支</w:t>
      </w:r>
      <w:r>
        <w:rPr>
          <w:spacing w:val="2"/>
        </w:rPr>
        <w:t xml:space="preserve"> </w:t>
      </w:r>
      <w:r>
        <w:rPr>
          <w:spacing w:val="-1"/>
        </w:rPr>
        <w:t>撑强势，需求有所恢复，国内涤纶长丝</w:t>
      </w:r>
      <w:r>
        <w:rPr>
          <w:rFonts w:ascii="SimSun" w:eastAsia="SimSun" w:hAnsi="SimSun" w:cs="SimSun"/>
          <w:spacing w:val="-1"/>
        </w:rPr>
        <w:t xml:space="preserve">POY/DTY/FDY  </w:t>
      </w:r>
      <w:r>
        <w:rPr>
          <w:spacing w:val="-1"/>
        </w:rPr>
        <w:t>价格分</w:t>
      </w:r>
      <w:r>
        <w:rPr>
          <w:spacing w:val="-2"/>
        </w:rPr>
        <w:t>别为9000/9100/7925元</w:t>
      </w:r>
      <w:r>
        <w:t xml:space="preserve"> </w:t>
      </w:r>
      <w:r>
        <w:t>/吨，分别较之前一周价格变动0.00%/+0.55%/+0.63%,国内涤纶长丝</w:t>
      </w:r>
      <w:r>
        <w:rPr>
          <w:rFonts w:ascii="Times New Roman" w:eastAsia="Times New Roman" w:hAnsi="Times New Roman" w:cs="Times New Roman"/>
        </w:rPr>
        <w:t xml:space="preserve">POY/DTY/FDY </w:t>
      </w:r>
      <w:r>
        <w:rPr>
          <w:spacing w:val="4"/>
        </w:rPr>
        <w:t>价差分别为2364/2464/1289</w:t>
      </w:r>
      <w:r>
        <w:rPr>
          <w:spacing w:val="3"/>
        </w:rPr>
        <w:t>元/吨，分别较之前一周变动+2.26%/+4.33%/+8.61%。</w:t>
      </w:r>
    </w:p>
    <w:p>
      <w:pPr>
        <w:pStyle w:val="BodyText"/>
        <w:spacing w:before="217" w:line="220" w:lineRule="auto"/>
        <w:ind w:left="3083"/>
      </w:pPr>
      <w:r>
        <w:rPr>
          <w:b/>
          <w:bCs/>
          <w:spacing w:val="-4"/>
          <w:u w:val="single" w:color="auto"/>
        </w:rPr>
        <w:t>萤石：需求端小幅回暖，萤石价格弱涨运行</w:t>
      </w:r>
    </w:p>
    <w:p>
      <w:pPr>
        <w:pStyle w:val="BodyText"/>
        <w:spacing w:before="131" w:line="273" w:lineRule="auto"/>
        <w:ind w:left="3080" w:right="49"/>
      </w:pPr>
      <w:r>
        <w:rPr>
          <w:spacing w:val="-5"/>
        </w:rPr>
        <w:t>根据百川资讯数据，供给端，本周萤石行业生产有</w:t>
      </w:r>
      <w:r>
        <w:rPr>
          <w:spacing w:val="-6"/>
        </w:rPr>
        <w:t>所恢复，但受两会、异常天气以及</w:t>
      </w:r>
      <w:r>
        <w:t xml:space="preserve"> </w:t>
      </w:r>
      <w:r>
        <w:rPr>
          <w:spacing w:val="-7"/>
        </w:rPr>
        <w:t>矿山检查等影响，较去年相比依旧偏弱。需求端，本周萤石市场需求低位小幅回升，</w:t>
      </w:r>
      <w:r>
        <w:rPr>
          <w:spacing w:val="12"/>
        </w:rPr>
        <w:t xml:space="preserve"> </w:t>
      </w:r>
      <w:r>
        <w:rPr>
          <w:spacing w:val="1"/>
        </w:rPr>
        <w:t>但行业开工限制下本周萤石需求回暖有限。整体来看本</w:t>
      </w:r>
      <w:r>
        <w:t>周萤石市场氛围清淡，国内</w:t>
      </w:r>
      <w:r>
        <w:t xml:space="preserve"> </w:t>
      </w:r>
      <w:r>
        <w:rPr>
          <w:spacing w:val="-2"/>
        </w:rPr>
        <w:t>萤石粉价格为3300元/吨，价格环比上周+0.76%</w:t>
      </w:r>
      <w:r>
        <w:rPr>
          <w:spacing w:val="-3"/>
        </w:rPr>
        <w:t>。短期来看，当前萤石市场供需矛盾</w:t>
      </w:r>
      <w:r>
        <w:t xml:space="preserve"> </w:t>
      </w:r>
      <w:r>
        <w:rPr>
          <w:spacing w:val="-5"/>
        </w:rPr>
        <w:t>持续，萤石市场短期内难有大的改观；长期来看，随着下游业者的“银四”来</w:t>
      </w:r>
      <w:r>
        <w:rPr>
          <w:spacing w:val="-6"/>
        </w:rPr>
        <w:t>临，萤</w:t>
      </w:r>
      <w:r>
        <w:t xml:space="preserve"> </w:t>
      </w:r>
      <w:r>
        <w:rPr>
          <w:spacing w:val="-8"/>
        </w:rPr>
        <w:t>石有望持续回暖。</w:t>
      </w:r>
    </w:p>
    <w:p>
      <w:pPr>
        <w:pStyle w:val="BodyText"/>
        <w:spacing w:before="225" w:line="220" w:lineRule="auto"/>
        <w:ind w:left="3083"/>
      </w:pPr>
      <w:r>
        <w:rPr>
          <w:b/>
          <w:bCs/>
          <w:spacing w:val="-1"/>
          <w:u w:val="single" w:color="auto"/>
        </w:rPr>
        <w:t>制冷剂：分配实施方案政策落地，市场供应缩减制冷剂景气</w:t>
      </w:r>
      <w:r>
        <w:rPr>
          <w:b/>
          <w:bCs/>
          <w:spacing w:val="-2"/>
          <w:u w:val="single" w:color="auto"/>
        </w:rPr>
        <w:t>上行</w:t>
      </w:r>
    </w:p>
    <w:p>
      <w:pPr>
        <w:pStyle w:val="BodyText"/>
        <w:spacing w:before="178" w:line="272" w:lineRule="auto"/>
        <w:ind w:left="3080" w:right="41"/>
      </w:pPr>
      <w:r>
        <w:rPr>
          <w:rFonts w:ascii="SimSun" w:eastAsia="SimSun" w:hAnsi="SimSun" w:cs="SimSun"/>
        </w:rPr>
        <w:t>HFCs</w:t>
      </w:r>
      <w:r>
        <w:rPr>
          <w:rFonts w:ascii="SimSun" w:eastAsia="SimSun" w:hAnsi="SimSun" w:cs="SimSun"/>
          <w:spacing w:val="1"/>
        </w:rPr>
        <w:t xml:space="preserve"> </w:t>
      </w:r>
      <w:r>
        <w:rPr>
          <w:spacing w:val="1"/>
        </w:rPr>
        <w:t>制冷剂为目前我国正在发展的第三代主流制</w:t>
      </w:r>
      <w:r>
        <w:t>冷剂。根据《基加利修正案》,我</w:t>
      </w:r>
      <w:r>
        <w:t xml:space="preserve"> </w:t>
      </w:r>
      <w:r>
        <w:rPr>
          <w:spacing w:val="8"/>
        </w:rPr>
        <w:t>国应自2024年将生产和使用</w:t>
      </w:r>
      <w:r>
        <w:rPr>
          <w:rFonts w:ascii="SimSun" w:eastAsia="SimSun" w:hAnsi="SimSun" w:cs="SimSun"/>
        </w:rPr>
        <w:t>HFCs</w:t>
      </w:r>
      <w:r>
        <w:rPr>
          <w:rFonts w:ascii="SimSun" w:eastAsia="SimSun" w:hAnsi="SimSun" w:cs="SimSun"/>
          <w:spacing w:val="8"/>
        </w:rPr>
        <w:t xml:space="preserve"> </w:t>
      </w:r>
      <w:r>
        <w:rPr>
          <w:spacing w:val="8"/>
        </w:rPr>
        <w:t>冻结在基线水平(基线是2020至2022年</w:t>
      </w:r>
      <w:r>
        <w:rPr>
          <w:rFonts w:ascii="SimSun" w:eastAsia="SimSun" w:hAnsi="SimSun" w:cs="SimSun"/>
        </w:rPr>
        <w:t>HFCs</w:t>
      </w:r>
      <w:r>
        <w:rPr>
          <w:rFonts w:ascii="SimSun" w:eastAsia="SimSun" w:hAnsi="SimSun" w:cs="SimSun"/>
          <w:spacing w:val="8"/>
        </w:rPr>
        <w:t xml:space="preserve"> </w:t>
      </w:r>
      <w:r>
        <w:rPr>
          <w:spacing w:val="8"/>
        </w:rPr>
        <w:t>平</w:t>
      </w:r>
      <w:r>
        <w:rPr>
          <w:spacing w:val="8"/>
        </w:rPr>
        <w:t xml:space="preserve"> </w:t>
      </w:r>
      <w:r>
        <w:rPr>
          <w:spacing w:val="4"/>
        </w:rPr>
        <w:t>均值加上</w:t>
      </w:r>
      <w:r>
        <w:rPr>
          <w:rFonts w:ascii="SimSun" w:eastAsia="SimSun" w:hAnsi="SimSun" w:cs="SimSun"/>
        </w:rPr>
        <w:t>HCFCs</w:t>
      </w:r>
      <w:r>
        <w:rPr>
          <w:rFonts w:ascii="SimSun" w:eastAsia="SimSun" w:hAnsi="SimSun" w:cs="SimSun"/>
          <w:spacing w:val="63"/>
        </w:rPr>
        <w:t xml:space="preserve"> </w:t>
      </w:r>
      <w:r>
        <w:rPr>
          <w:spacing w:val="4"/>
        </w:rPr>
        <w:t>基线水平的65%,以二氧化碳当量为单位计算),20</w:t>
      </w:r>
      <w:r>
        <w:rPr>
          <w:spacing w:val="3"/>
        </w:rPr>
        <w:t>29年开始削减。</w:t>
      </w:r>
      <w:r>
        <w:t xml:space="preserve"> </w:t>
      </w:r>
      <w:r>
        <w:rPr>
          <w:spacing w:val="-2"/>
        </w:rPr>
        <w:t>9月21日，根据国家生态环境部公告，《2024年度氢氟碳化物配额总量设定与分配实</w:t>
      </w:r>
      <w:r>
        <w:rPr>
          <w:spacing w:val="7"/>
        </w:rPr>
        <w:t xml:space="preserve"> </w:t>
      </w:r>
      <w:r>
        <w:t>施方案(征求意见稿)》发布，制冷剂配额政策征求意见稿公布，看好三代制冷剂行</w:t>
      </w:r>
      <w:r>
        <w:rPr>
          <w:spacing w:val="18"/>
        </w:rPr>
        <w:t xml:space="preserve"> </w:t>
      </w:r>
      <w:r>
        <w:rPr>
          <w:spacing w:val="-1"/>
        </w:rPr>
        <w:t>业长期景气向上。供应端，鲁西化工1万吨装置停车检修；浙江三美年产能4万吨装</w:t>
      </w:r>
      <w:r>
        <w:rPr>
          <w:spacing w:val="17"/>
        </w:rPr>
        <w:t xml:space="preserve"> </w:t>
      </w:r>
      <w:r>
        <w:rPr>
          <w:spacing w:val="-5"/>
        </w:rPr>
        <w:t>置停车，市场供应持续偏紧。需求端，整体以刚需采购为主</w:t>
      </w:r>
      <w:r>
        <w:rPr>
          <w:spacing w:val="-6"/>
        </w:rPr>
        <w:t>，下游需求偏弱运行。根</w:t>
      </w:r>
    </w:p>
    <w:p>
      <w:pPr>
        <w:pStyle w:val="BodyText"/>
        <w:spacing w:before="70" w:line="309" w:lineRule="auto"/>
        <w:ind w:left="3080" w:right="47"/>
        <w:jc w:val="both"/>
      </w:pPr>
      <w:r>
        <w:rPr>
          <w:spacing w:val="-4"/>
        </w:rPr>
        <w:t>据百川资讯数据，本周市场供应量有限，R32/R125/R134a/R410a</w:t>
      </w:r>
      <w:r>
        <w:rPr>
          <w:spacing w:val="-4"/>
        </w:rPr>
        <w:t xml:space="preserve">  </w:t>
      </w:r>
      <w:r>
        <w:rPr>
          <w:spacing w:val="-4"/>
        </w:rPr>
        <w:t>制冷剂价格分别为</w:t>
      </w:r>
      <w:r>
        <w:rPr>
          <w:spacing w:val="8"/>
        </w:rPr>
        <w:t xml:space="preserve"> </w:t>
      </w:r>
      <w:r>
        <w:rPr>
          <w:spacing w:val="-3"/>
        </w:rPr>
        <w:t>24500/42000/32000/33000</w:t>
      </w:r>
      <w:r>
        <w:rPr>
          <w:spacing w:val="31"/>
        </w:rPr>
        <w:t xml:space="preserve">  </w:t>
      </w:r>
      <w:r>
        <w:rPr>
          <w:spacing w:val="-3"/>
        </w:rPr>
        <w:t>元</w:t>
      </w:r>
      <w:r>
        <w:rPr>
          <w:spacing w:val="94"/>
        </w:rPr>
        <w:t xml:space="preserve"> </w:t>
      </w:r>
      <w:r>
        <w:rPr>
          <w:spacing w:val="-3"/>
        </w:rPr>
        <w:t>/</w:t>
      </w:r>
      <w:r>
        <w:rPr>
          <w:spacing w:val="63"/>
        </w:rPr>
        <w:t xml:space="preserve"> </w:t>
      </w:r>
      <w:r>
        <w:rPr>
          <w:spacing w:val="-3"/>
        </w:rPr>
        <w:t>吨</w:t>
      </w:r>
      <w:r>
        <w:rPr>
          <w:spacing w:val="-3"/>
        </w:rPr>
        <w:t xml:space="preserve">  </w:t>
      </w:r>
      <w:r>
        <w:rPr>
          <w:spacing w:val="-3"/>
        </w:rPr>
        <w:t>,</w:t>
      </w:r>
      <w:r>
        <w:rPr>
          <w:spacing w:val="33"/>
        </w:rPr>
        <w:t xml:space="preserve">  </w:t>
      </w:r>
      <w:r>
        <w:rPr>
          <w:spacing w:val="-3"/>
        </w:rPr>
        <w:t>较</w:t>
      </w:r>
      <w:r>
        <w:rPr>
          <w:spacing w:val="-3"/>
        </w:rPr>
        <w:t xml:space="preserve">  </w:t>
      </w:r>
      <w:r>
        <w:rPr>
          <w:spacing w:val="-3"/>
        </w:rPr>
        <w:t>之</w:t>
      </w:r>
      <w:r>
        <w:rPr>
          <w:spacing w:val="-3"/>
        </w:rPr>
        <w:t xml:space="preserve">  </w:t>
      </w:r>
      <w:r>
        <w:rPr>
          <w:spacing w:val="-3"/>
        </w:rPr>
        <w:t>前</w:t>
      </w:r>
      <w:r>
        <w:rPr>
          <w:spacing w:val="-3"/>
        </w:rPr>
        <w:t xml:space="preserve">  </w:t>
      </w:r>
      <w:r>
        <w:rPr>
          <w:spacing w:val="-3"/>
        </w:rPr>
        <w:t>一</w:t>
      </w:r>
      <w:r>
        <w:rPr>
          <w:spacing w:val="-3"/>
        </w:rPr>
        <w:t xml:space="preserve">  </w:t>
      </w:r>
      <w:r>
        <w:rPr>
          <w:spacing w:val="-3"/>
        </w:rPr>
        <w:t>周</w:t>
      </w:r>
      <w:r>
        <w:rPr>
          <w:spacing w:val="-3"/>
        </w:rPr>
        <w:t xml:space="preserve">  </w:t>
      </w:r>
      <w:r>
        <w:rPr>
          <w:spacing w:val="-3"/>
        </w:rPr>
        <w:t>价</w:t>
      </w:r>
      <w:r>
        <w:rPr>
          <w:spacing w:val="-3"/>
        </w:rPr>
        <w:t xml:space="preserve">  </w:t>
      </w:r>
      <w:r>
        <w:rPr>
          <w:spacing w:val="-3"/>
        </w:rPr>
        <w:t>格</w:t>
      </w:r>
      <w:r>
        <w:rPr>
          <w:spacing w:val="-3"/>
        </w:rPr>
        <w:t xml:space="preserve">  </w:t>
      </w:r>
      <w:r>
        <w:rPr>
          <w:spacing w:val="-3"/>
        </w:rPr>
        <w:t>变</w:t>
      </w:r>
      <w:r>
        <w:rPr>
          <w:spacing w:val="-3"/>
        </w:rPr>
        <w:t xml:space="preserve">  </w:t>
      </w:r>
      <w:r>
        <w:rPr>
          <w:spacing w:val="-3"/>
        </w:rPr>
        <w:t>动</w:t>
      </w:r>
    </w:p>
    <w:p>
      <w:pPr>
        <w:spacing w:before="1" w:line="224" w:lineRule="auto"/>
        <w:ind w:left="308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+4.26%/+5.00%/+1.59%/+3.13%。</w:t>
      </w:r>
    </w:p>
    <w:p>
      <w:pPr>
        <w:spacing w:line="384" w:lineRule="auto"/>
        <w:rPr>
          <w:rFonts w:ascii="Arial"/>
          <w:sz w:val="21"/>
        </w:rPr>
      </w:pPr>
    </w:p>
    <w:p>
      <w:pPr>
        <w:pStyle w:val="BodyText"/>
        <w:spacing w:before="104" w:line="229" w:lineRule="auto"/>
        <w:ind w:left="3084"/>
        <w:outlineLvl w:val="0"/>
        <w:rPr>
          <w:sz w:val="32"/>
          <w:szCs w:val="32"/>
        </w:rPr>
        <w:sectPr>
          <w:headerReference w:type="default" r:id="rId41"/>
          <w:footerReference w:type="default" r:id="rId42"/>
          <w:pgSz w:w="11910" w:h="16840"/>
          <w:pgMar w:top="1389" w:right="635" w:bottom="1289" w:left="560" w:header="759" w:footer="743" w:gutter="0"/>
          <w:pgNumType w:start="16"/>
          <w:cols w:space="708"/>
        </w:sectPr>
      </w:pPr>
      <w:r>
        <w:rPr>
          <w:b/>
          <w:bCs/>
          <w:spacing w:val="-9"/>
          <w:sz w:val="32"/>
          <w:szCs w:val="32"/>
        </w:rPr>
        <w:t>三、数据跟踪</w:t>
      </w:r>
    </w:p>
    <w:p>
      <w:pPr>
        <w:pStyle w:val="BodyText"/>
        <w:spacing w:before="176" w:line="224" w:lineRule="auto"/>
        <w:ind w:left="3212"/>
      </w:pPr>
      <w:r>
        <w:rPr>
          <w:b/>
          <w:bCs/>
          <w:spacing w:val="28"/>
        </w:rPr>
        <w:t>(</w:t>
      </w:r>
      <w:r>
        <w:rPr>
          <w:spacing w:val="-42"/>
        </w:rPr>
        <w:t xml:space="preserve"> </w:t>
      </w:r>
      <w:r>
        <w:rPr>
          <w:b/>
          <w:bCs/>
          <w:spacing w:val="28"/>
        </w:rPr>
        <w:t>一</w:t>
      </w:r>
      <w:r>
        <w:rPr>
          <w:spacing w:val="-54"/>
        </w:rPr>
        <w:t xml:space="preserve"> </w:t>
      </w:r>
      <w:r>
        <w:rPr>
          <w:b/>
          <w:bCs/>
          <w:spacing w:val="28"/>
        </w:rPr>
        <w:t>)行业走势：跑输万得全</w:t>
      </w:r>
      <w:r>
        <w:rPr>
          <w:rFonts w:ascii="Times New Roman" w:eastAsia="Times New Roman" w:hAnsi="Times New Roman" w:cs="Times New Roman"/>
          <w:b/>
          <w:bCs/>
          <w:spacing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31"/>
        </w:rPr>
        <w:t xml:space="preserve"> </w:t>
      </w:r>
      <w:r>
        <w:rPr>
          <w:b/>
          <w:bCs/>
          <w:spacing w:val="28"/>
        </w:rPr>
        <w:t>指数表现</w:t>
      </w:r>
    </w:p>
    <w:p>
      <w:pPr>
        <w:pStyle w:val="BodyText"/>
        <w:spacing w:before="18" w:line="266" w:lineRule="auto"/>
        <w:ind w:left="3080" w:right="10"/>
      </w:pPr>
      <w:r>
        <w:rPr>
          <w:spacing w:val="2"/>
        </w:rPr>
        <w:t>2月26日~3月1日，</w:t>
      </w:r>
      <w:r>
        <w:rPr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SW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spacing w:val="2"/>
        </w:rPr>
        <w:t>基础化工板块上涨2.3</w:t>
      </w:r>
      <w:r>
        <w:rPr>
          <w:spacing w:val="1"/>
        </w:rPr>
        <w:t>9%,跑输万得全</w:t>
      </w:r>
      <w:r>
        <w:rPr>
          <w:rFonts w:ascii="Times New Roman" w:eastAsia="Times New Roman" w:hAnsi="Times New Roman" w:cs="Times New Roman"/>
          <w:spacing w:val="1"/>
        </w:rPr>
        <w:t>A</w:t>
      </w:r>
      <w:r>
        <w:rPr>
          <w:spacing w:val="1"/>
        </w:rPr>
        <w:t>指数0.03</w:t>
      </w:r>
      <w:r>
        <w:rPr>
          <w:rFonts w:ascii="Times New Roman" w:eastAsia="Times New Roman" w:hAnsi="Times New Roman" w:cs="Times New Roman"/>
        </w:rPr>
        <w:t>pct</w:t>
      </w:r>
      <w:r>
        <w:rPr>
          <w:rFonts w:ascii="Times New Roman" w:eastAsia="Times New Roman" w:hAnsi="Times New Roman" w:cs="Times New Roman"/>
          <w:spacing w:val="1"/>
        </w:rPr>
        <w:t xml:space="preserve">;  </w:t>
      </w:r>
      <w:r>
        <w:rPr>
          <w:spacing w:val="1"/>
        </w:rPr>
        <w:t>化工子</w:t>
      </w:r>
      <w:r>
        <w:t xml:space="preserve"> </w:t>
      </w:r>
      <w:r>
        <w:rPr>
          <w:spacing w:val="-5"/>
        </w:rPr>
        <w:t>行业上涨较多，表现较差的有锦纶、炭黑和石油化工板块，表现较好的有有机硅、钾</w:t>
      </w:r>
    </w:p>
    <w:p>
      <w:pPr>
        <w:spacing w:line="266" w:lineRule="auto"/>
        <w:sectPr>
          <w:headerReference w:type="default" r:id="rId43"/>
          <w:footerReference w:type="default" r:id="rId44"/>
          <w:type w:val="nextPage"/>
          <w:pgSz w:w="11910" w:h="16840"/>
          <w:pgMar w:top="1389" w:right="635" w:bottom="1289" w:left="560" w:header="759" w:footer="743" w:gutter="0"/>
          <w:pgNumType w:start="17"/>
          <w:cols w:space="708"/>
          <w:titlePg w:val="0"/>
        </w:sectPr>
      </w:pPr>
    </w:p>
    <w:p>
      <w:pPr>
        <w:spacing w:before="118"/>
      </w:pP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400074</wp:posOffset>
            </wp:positionH>
            <wp:positionV relativeFrom="page">
              <wp:posOffset>863578</wp:posOffset>
            </wp:positionV>
            <wp:extent cx="6724658" cy="635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72465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headerReference w:type="default" r:id="rId46"/>
          <w:footerReference w:type="default" r:id="rId47"/>
          <w:pgSz w:w="11910" w:h="16840"/>
          <w:pgMar w:top="400" w:right="600" w:bottom="979" w:left="459" w:header="0" w:footer="748" w:gutter="0"/>
          <w:pgNumType w:start="18"/>
          <w:cols w:num="1" w:space="708" w:equalWidth="0">
            <w:col w:w="10851" w:space="0"/>
          </w:cols>
        </w:sectPr>
      </w:pPr>
    </w:p>
    <w:p>
      <w:pPr>
        <w:spacing w:line="609" w:lineRule="exact"/>
        <w:ind w:firstLine="100"/>
      </w:pPr>
      <w:r>
        <w:rPr>
          <w:position w:val="-12"/>
        </w:rPr>
        <w:drawing>
          <wp:inline distT="0" distB="0" distL="0" distR="0">
            <wp:extent cx="393721" cy="38731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93721" cy="38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56" w:line="216" w:lineRule="auto"/>
        <w:ind w:left="14"/>
        <w:rPr>
          <w:rFonts w:ascii="YouYuan" w:eastAsia="YouYuan" w:hAnsi="YouYuan" w:cs="YouYuan"/>
          <w:sz w:val="30"/>
          <w:szCs w:val="30"/>
        </w:rPr>
      </w:pPr>
      <w:bookmarkStart w:id="4" w:name="bookmark9"/>
      <w:bookmarkEnd w:id="4"/>
      <w:bookmarkStart w:id="5" w:name="bookmark10"/>
      <w:bookmarkEnd w:id="5"/>
      <w:r>
        <w:rPr>
          <w:rFonts w:ascii="YouYuan" w:eastAsia="YouYuan" w:hAnsi="YouYuan" w:cs="YouYuan"/>
          <w:b/>
          <w:bCs/>
          <w:color w:val="00468D"/>
          <w:spacing w:val="-6"/>
          <w:sz w:val="30"/>
          <w:szCs w:val="30"/>
        </w:rPr>
        <w:t>广发证考</w:t>
      </w:r>
    </w:p>
    <w:p>
      <w:pPr>
        <w:spacing w:before="47" w:line="168" w:lineRule="auto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color w:val="00A3EA"/>
          <w:spacing w:val="-14"/>
          <w:sz w:val="19"/>
          <w:szCs w:val="19"/>
        </w:rPr>
        <w:t>GF SECURITIE5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83" w:lineRule="auto"/>
        <w:rPr>
          <w:rFonts w:ascii="Arial"/>
          <w:sz w:val="21"/>
        </w:rPr>
      </w:pPr>
    </w:p>
    <w:p>
      <w:pPr>
        <w:spacing w:before="62" w:line="217" w:lineRule="auto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14"/>
          <w:sz w:val="19"/>
          <w:szCs w:val="19"/>
        </w:rPr>
        <w:t>投资策略周报|基础化工</w:t>
      </w:r>
    </w:p>
    <w:p>
      <w:pPr>
        <w:spacing w:line="217" w:lineRule="auto"/>
        <w:rPr>
          <w:rFonts w:ascii="SimHei" w:eastAsia="SimHei" w:hAnsi="SimHei" w:cs="SimHei"/>
          <w:sz w:val="19"/>
          <w:szCs w:val="19"/>
        </w:rPr>
        <w:sectPr>
          <w:headerReference w:type="default" r:id="rId49"/>
          <w:footerReference w:type="default" r:id="rId50"/>
          <w:type w:val="continuous"/>
          <w:pgSz w:w="11910" w:h="16840"/>
          <w:pgMar w:top="400" w:right="600" w:bottom="979" w:left="459" w:header="0" w:footer="748" w:gutter="0"/>
          <w:pgNumType w:start="19"/>
          <w:cols w:num="3" w:space="708" w:equalWidth="0">
            <w:col w:w="721" w:space="49"/>
            <w:col w:w="7673" w:space="100"/>
            <w:col w:w="2308" w:space="0"/>
          </w:cols>
        </w:sectPr>
      </w:pPr>
    </w:p>
    <w:p>
      <w:pPr>
        <w:pStyle w:val="BodyText"/>
        <w:spacing w:before="76" w:line="226" w:lineRule="auto"/>
        <w:ind w:left="3180"/>
        <w:rPr>
          <w:sz w:val="19"/>
          <w:szCs w:val="19"/>
        </w:rPr>
      </w:pPr>
      <w:r>
        <w:rPr>
          <w:spacing w:val="8"/>
          <w:sz w:val="19"/>
          <w:szCs w:val="19"/>
        </w:rPr>
        <w:t>肥等板块。</w:t>
      </w:r>
    </w:p>
    <w:p>
      <w:pPr>
        <w:pStyle w:val="BodyText"/>
        <w:spacing w:before="205" w:line="184" w:lineRule="auto"/>
        <w:ind w:left="272"/>
        <w:rPr>
          <w:sz w:val="19"/>
          <w:szCs w:val="19"/>
        </w:rPr>
      </w:pPr>
      <w:r>
        <w:pict>
          <v:shape id="_x0000_s1029" type="#_x0000_t202" style="width:75.7pt;height:13.7pt;margin-top:9.27pt;margin-left:112.11pt;position:absolute;z-index:-25165209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7" w:lineRule="auto"/>
                    <w:ind w:left="20"/>
                    <w:rPr>
                      <w:sz w:val="19"/>
                      <w:szCs w:val="19"/>
                    </w:rPr>
                  </w:pPr>
                  <w:r>
                    <w:rPr>
                      <w:b/>
                      <w:bCs/>
                      <w:spacing w:val="-12"/>
                      <w:w w:val="97"/>
                      <w:sz w:val="19"/>
                      <w:szCs w:val="19"/>
                    </w:rPr>
                    <w:t>周</w:t>
                  </w:r>
                  <w:r>
                    <w:rPr>
                      <w:spacing w:val="43"/>
                      <w:sz w:val="19"/>
                      <w:szCs w:val="19"/>
                    </w:rPr>
                    <w:t xml:space="preserve"> </w:t>
                  </w:r>
                  <w:r>
                    <w:rPr>
                      <w:b/>
                      <w:bCs/>
                      <w:spacing w:val="-12"/>
                      <w:w w:val="97"/>
                      <w:sz w:val="19"/>
                      <w:szCs w:val="19"/>
                    </w:rPr>
                    <w:t>涨</w:t>
                  </w:r>
                  <w:r>
                    <w:rPr>
                      <w:spacing w:val="47"/>
                      <w:w w:val="101"/>
                      <w:sz w:val="19"/>
                      <w:szCs w:val="19"/>
                    </w:rPr>
                    <w:t xml:space="preserve"> </w:t>
                  </w:r>
                  <w:r>
                    <w:rPr>
                      <w:b/>
                      <w:bCs/>
                      <w:spacing w:val="-12"/>
                      <w:w w:val="97"/>
                      <w:sz w:val="19"/>
                      <w:szCs w:val="19"/>
                    </w:rPr>
                    <w:t>幅</w:t>
                  </w:r>
                  <w:r>
                    <w:rPr>
                      <w:spacing w:val="72"/>
                      <w:w w:val="101"/>
                      <w:sz w:val="19"/>
                      <w:szCs w:val="19"/>
                    </w:rPr>
                    <w:t xml:space="preserve"> </w:t>
                  </w:r>
                  <w:r>
                    <w:rPr>
                      <w:b/>
                      <w:bCs/>
                      <w:spacing w:val="-12"/>
                      <w:w w:val="97"/>
                      <w:sz w:val="19"/>
                      <w:szCs w:val="19"/>
                    </w:rPr>
                    <w:t>(</w:t>
                  </w:r>
                  <w:r>
                    <w:rPr>
                      <w:spacing w:val="34"/>
                      <w:sz w:val="19"/>
                      <w:szCs w:val="19"/>
                    </w:rPr>
                    <w:t xml:space="preserve"> </w:t>
                  </w:r>
                  <w:r>
                    <w:rPr>
                      <w:b/>
                      <w:bCs/>
                      <w:spacing w:val="-12"/>
                      <w:w w:val="97"/>
                      <w:sz w:val="19"/>
                      <w:szCs w:val="19"/>
                    </w:rPr>
                    <w:t>%</w:t>
                  </w:r>
                  <w:r>
                    <w:rPr>
                      <w:spacing w:val="34"/>
                      <w:sz w:val="19"/>
                      <w:szCs w:val="19"/>
                    </w:rPr>
                    <w:t xml:space="preserve"> </w:t>
                  </w:r>
                  <w:r>
                    <w:rPr>
                      <w:b/>
                      <w:bCs/>
                      <w:spacing w:val="-12"/>
                      <w:w w:val="97"/>
                      <w:sz w:val="19"/>
                      <w:szCs w:val="19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30" type="#_x0000_t202" style="width:11pt;height:9.1pt;margin-top:13.1pt;margin-left:96.6pt;position:absolute;z-index:25166540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41" w:lineRule="exact"/>
                    <w:ind w:left="20"/>
                    <w:rPr>
                      <w:sz w:val="19"/>
                      <w:szCs w:val="19"/>
                    </w:rPr>
                  </w:pPr>
                  <w:r>
                    <w:rPr>
                      <w:b/>
                      <w:bCs/>
                      <w:spacing w:val="-2"/>
                      <w:position w:val="-3"/>
                      <w:sz w:val="19"/>
                      <w:szCs w:val="19"/>
                    </w:rPr>
                    <w:t>一</w:t>
                  </w:r>
                </w:p>
              </w:txbxContent>
            </v:textbox>
          </v:shape>
        </w:pict>
      </w:r>
      <w:r>
        <w:rPr>
          <w:b/>
          <w:bCs/>
          <w:spacing w:val="-19"/>
          <w:sz w:val="19"/>
          <w:szCs w:val="19"/>
        </w:rPr>
        <w:t>图</w:t>
      </w:r>
      <w:r>
        <w:rPr>
          <w:spacing w:val="46"/>
          <w:sz w:val="19"/>
          <w:szCs w:val="19"/>
        </w:rPr>
        <w:t xml:space="preserve"> </w:t>
      </w:r>
      <w:r>
        <w:rPr>
          <w:b/>
          <w:bCs/>
          <w:spacing w:val="-19"/>
          <w:sz w:val="19"/>
          <w:szCs w:val="19"/>
        </w:rPr>
        <w:t>1</w:t>
      </w:r>
      <w:r>
        <w:rPr>
          <w:spacing w:val="62"/>
          <w:sz w:val="19"/>
          <w:szCs w:val="19"/>
        </w:rPr>
        <w:t xml:space="preserve"> </w:t>
      </w:r>
      <w:r>
        <w:rPr>
          <w:b/>
          <w:bCs/>
          <w:spacing w:val="-19"/>
          <w:sz w:val="19"/>
          <w:szCs w:val="19"/>
        </w:rPr>
        <w:t>:</w:t>
      </w:r>
      <w:r>
        <w:rPr>
          <w:spacing w:val="40"/>
          <w:sz w:val="19"/>
          <w:szCs w:val="19"/>
        </w:rPr>
        <w:t xml:space="preserve"> </w:t>
      </w:r>
      <w:r>
        <w:rPr>
          <w:b/>
          <w:bCs/>
          <w:spacing w:val="-19"/>
          <w:sz w:val="19"/>
          <w:szCs w:val="19"/>
        </w:rPr>
        <w:t>子</w:t>
      </w:r>
      <w:r>
        <w:rPr>
          <w:spacing w:val="41"/>
          <w:w w:val="101"/>
          <w:sz w:val="19"/>
          <w:szCs w:val="19"/>
        </w:rPr>
        <w:t xml:space="preserve"> </w:t>
      </w:r>
      <w:r>
        <w:rPr>
          <w:b/>
          <w:bCs/>
          <w:spacing w:val="-19"/>
          <w:sz w:val="19"/>
          <w:szCs w:val="19"/>
        </w:rPr>
        <w:t>行</w:t>
      </w:r>
      <w:r>
        <w:rPr>
          <w:spacing w:val="46"/>
          <w:sz w:val="19"/>
          <w:szCs w:val="19"/>
        </w:rPr>
        <w:t xml:space="preserve"> </w:t>
      </w:r>
      <w:r>
        <w:rPr>
          <w:b/>
          <w:bCs/>
          <w:spacing w:val="-19"/>
          <w:sz w:val="19"/>
          <w:szCs w:val="19"/>
        </w:rPr>
        <w:t>业</w:t>
      </w:r>
    </w:p>
    <w:tbl>
      <w:tblPr>
        <w:tblStyle w:val="TableNormal2"/>
        <w:tblW w:w="10739" w:type="dxa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739"/>
      </w:tblGrid>
      <w:tr>
        <w:tblPrEx>
          <w:tblW w:w="10739" w:type="dxa"/>
          <w:tblInd w:w="11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373"/>
        </w:trPr>
        <w:tc>
          <w:tcPr>
            <w:tcW w:w="10739" w:type="dxa"/>
            <w:tcBorders>
              <w:top w:val="single" w:sz="2" w:space="0" w:color="000000"/>
            </w:tcBorders>
            <w:vAlign w:val="top"/>
          </w:tcPr>
          <w:p>
            <w:pPr>
              <w:spacing w:before="61" w:line="4302" w:lineRule="exact"/>
            </w:pPr>
            <w:r>
              <w:rPr>
                <w:position w:val="-86"/>
              </w:rPr>
              <w:drawing>
                <wp:inline distT="0" distB="0" distL="0" distR="0">
                  <wp:extent cx="6819265" cy="2731393"/>
                  <wp:effectExtent l="0" t="0" r="0" b="0"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xmlns:r="http://schemas.openxmlformats.org/officeDocument/2006/relationships"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265" cy="2731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10739" w:type="dxa"/>
          <w:tblInd w:w="110" w:type="dxa"/>
          <w:tblLayout w:type="fixed"/>
        </w:tblPrEx>
        <w:trPr>
          <w:trHeight w:val="908"/>
        </w:trPr>
        <w:tc>
          <w:tcPr>
            <w:tcW w:w="10739" w:type="dxa"/>
            <w:vAlign w:val="top"/>
          </w:tcPr>
          <w:p>
            <w:pPr>
              <w:pStyle w:val="TableText"/>
              <w:spacing w:before="22" w:line="224" w:lineRule="auto"/>
              <w:ind w:left="159"/>
              <w:rPr>
                <w:sz w:val="19"/>
                <w:szCs w:val="19"/>
              </w:rPr>
            </w:pPr>
            <w:r>
              <w:rPr>
                <w:spacing w:val="-11"/>
                <w:sz w:val="19"/>
                <w:szCs w:val="19"/>
              </w:rPr>
              <w:t>数据来源：</w:t>
            </w:r>
            <w:r>
              <w:rPr>
                <w:spacing w:val="-22"/>
                <w:sz w:val="19"/>
                <w:szCs w:val="19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sz w:val="19"/>
                <w:szCs w:val="19"/>
              </w:rPr>
              <w:t>Wind,</w:t>
            </w:r>
            <w:r>
              <w:rPr>
                <w:rFonts w:ascii="SimSun" w:eastAsia="SimSun" w:hAnsi="SimSun" w:cs="SimSun"/>
                <w:spacing w:val="22"/>
                <w:sz w:val="19"/>
                <w:szCs w:val="19"/>
              </w:rPr>
              <w:t xml:space="preserve"> </w:t>
            </w:r>
            <w:r>
              <w:rPr>
                <w:spacing w:val="-11"/>
                <w:sz w:val="19"/>
                <w:szCs w:val="19"/>
              </w:rPr>
              <w:t>广发证券发展研究中心</w:t>
            </w:r>
          </w:p>
          <w:p>
            <w:pPr>
              <w:spacing w:line="39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2" w:lineRule="auto"/>
              <w:ind w:left="162"/>
              <w:rPr>
                <w:sz w:val="19"/>
                <w:szCs w:val="19"/>
              </w:rPr>
            </w:pPr>
            <w:r>
              <w:rPr>
                <w:b/>
                <w:bCs/>
                <w:spacing w:val="-17"/>
                <w:sz w:val="19"/>
                <w:szCs w:val="19"/>
              </w:rPr>
              <w:t>图</w:t>
            </w:r>
            <w:r>
              <w:rPr>
                <w:spacing w:val="-25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17"/>
                <w:sz w:val="19"/>
                <w:szCs w:val="19"/>
              </w:rPr>
              <w:t>2</w:t>
            </w:r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17"/>
                <w:sz w:val="19"/>
                <w:szCs w:val="19"/>
              </w:rPr>
              <w:t>:</w:t>
            </w:r>
            <w:r>
              <w:rPr>
                <w:spacing w:val="-34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17"/>
                <w:sz w:val="19"/>
                <w:szCs w:val="19"/>
              </w:rPr>
              <w:t>子</w:t>
            </w:r>
            <w:r>
              <w:rPr>
                <w:spacing w:val="-34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17"/>
                <w:sz w:val="19"/>
                <w:szCs w:val="19"/>
              </w:rPr>
              <w:t>行</w:t>
            </w:r>
            <w:r>
              <w:rPr>
                <w:spacing w:val="-28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17"/>
                <w:sz w:val="19"/>
                <w:szCs w:val="19"/>
              </w:rPr>
              <w:t>业</w:t>
            </w:r>
            <w:r>
              <w:rPr>
                <w:spacing w:val="-34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17"/>
                <w:sz w:val="19"/>
                <w:szCs w:val="19"/>
              </w:rPr>
              <w:t>一</w:t>
            </w:r>
            <w:r>
              <w:rPr>
                <w:spacing w:val="-41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17"/>
                <w:sz w:val="19"/>
                <w:szCs w:val="19"/>
              </w:rPr>
              <w:t>个</w:t>
            </w:r>
            <w:r>
              <w:rPr>
                <w:spacing w:val="-28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17"/>
                <w:sz w:val="19"/>
                <w:szCs w:val="19"/>
              </w:rPr>
              <w:t>月</w:t>
            </w:r>
            <w:r>
              <w:rPr>
                <w:spacing w:val="-32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17"/>
                <w:sz w:val="19"/>
                <w:szCs w:val="19"/>
              </w:rPr>
              <w:t>涨</w:t>
            </w:r>
            <w:r>
              <w:rPr>
                <w:spacing w:val="-27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17"/>
                <w:sz w:val="19"/>
                <w:szCs w:val="19"/>
              </w:rPr>
              <w:t>幅</w:t>
            </w:r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17"/>
                <w:sz w:val="19"/>
                <w:szCs w:val="19"/>
              </w:rPr>
              <w:t>(</w:t>
            </w:r>
            <w:r>
              <w:rPr>
                <w:spacing w:val="-40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17"/>
                <w:sz w:val="19"/>
                <w:szCs w:val="19"/>
              </w:rPr>
              <w:t>%</w:t>
            </w:r>
            <w:r>
              <w:rPr>
                <w:spacing w:val="-40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17"/>
                <w:sz w:val="19"/>
                <w:szCs w:val="19"/>
              </w:rPr>
              <w:t>)</w:t>
            </w:r>
          </w:p>
        </w:tc>
      </w:tr>
      <w:tr>
        <w:tblPrEx>
          <w:tblW w:w="10739" w:type="dxa"/>
          <w:tblInd w:w="110" w:type="dxa"/>
          <w:tblLayout w:type="fixed"/>
        </w:tblPrEx>
        <w:trPr>
          <w:trHeight w:val="4088"/>
        </w:trPr>
        <w:tc>
          <w:tcPr>
            <w:tcW w:w="10739" w:type="dxa"/>
            <w:tcBorders>
              <w:bottom w:val="single" w:sz="2" w:space="0" w:color="000000"/>
            </w:tcBorders>
            <w:vAlign w:val="top"/>
          </w:tcPr>
          <w:p>
            <w:pPr>
              <w:spacing w:line="3870" w:lineRule="exact"/>
            </w:pPr>
            <w:r>
              <w:rPr>
                <w:position w:val="-77"/>
              </w:rPr>
              <w:drawing>
                <wp:inline distT="0" distB="0" distL="0" distR="0">
                  <wp:extent cx="6819265" cy="2457450"/>
                  <wp:effectExtent l="0" t="0" r="0" b="0"/>
                  <wp:docPr id="34" name="IM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 34"/>
                          <pic:cNvPicPr/>
                        </pic:nvPicPr>
                        <pic:blipFill>
                          <a:blip xmlns:r="http://schemas.openxmlformats.org/officeDocument/2006/relationships"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265" cy="24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53"/>
          <w:footerReference w:type="default" r:id="rId54"/>
          <w:type w:val="continuous"/>
          <w:pgSz w:w="11910" w:h="16840"/>
          <w:pgMar w:top="400" w:right="600" w:bottom="979" w:left="459" w:header="0" w:footer="748" w:gutter="0"/>
          <w:pgNumType w:start="20"/>
          <w:cols w:num="1" w:space="708" w:equalWidth="0">
            <w:col w:w="10851" w:space="0"/>
          </w:cols>
        </w:sectPr>
      </w:pPr>
    </w:p>
    <w:tbl>
      <w:tblPr>
        <w:tblStyle w:val="TableNormal3"/>
        <w:tblW w:w="10739" w:type="dxa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739"/>
      </w:tblGrid>
      <w:tr>
        <w:tblPrEx>
          <w:tblW w:w="10739" w:type="dxa"/>
          <w:tblInd w:w="11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102"/>
        </w:trPr>
        <w:tc>
          <w:tcPr>
            <w:tcW w:w="10739" w:type="dxa"/>
            <w:tcBorders>
              <w:top w:val="single" w:sz="2" w:space="0" w:color="000000"/>
              <w:bottom w:val="single" w:sz="6" w:space="0" w:color="0000FF"/>
            </w:tcBorders>
            <w:vAlign w:val="top"/>
          </w:tcPr>
          <w:p>
            <w:pPr>
              <w:pStyle w:val="TableText"/>
              <w:spacing w:before="81" w:line="224" w:lineRule="auto"/>
              <w:ind w:left="159"/>
              <w:rPr>
                <w:sz w:val="19"/>
                <w:szCs w:val="19"/>
              </w:rPr>
            </w:pPr>
            <w:r>
              <w:rPr>
                <w:spacing w:val="-12"/>
                <w:sz w:val="19"/>
                <w:szCs w:val="19"/>
              </w:rPr>
              <w:t>数据来源：</w:t>
            </w:r>
            <w:r>
              <w:rPr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SimSun" w:eastAsia="SimSun" w:hAnsi="SimSun" w:cs="SimSun"/>
                <w:spacing w:val="-12"/>
                <w:sz w:val="19"/>
                <w:szCs w:val="19"/>
              </w:rPr>
              <w:t>Wind,</w:t>
            </w:r>
            <w:r>
              <w:rPr>
                <w:rFonts w:ascii="SimSun" w:eastAsia="SimSun" w:hAnsi="SimSun" w:cs="SimSun"/>
                <w:spacing w:val="32"/>
                <w:sz w:val="19"/>
                <w:szCs w:val="19"/>
              </w:rPr>
              <w:t xml:space="preserve"> </w:t>
            </w:r>
            <w:r>
              <w:rPr>
                <w:spacing w:val="-12"/>
                <w:sz w:val="19"/>
                <w:szCs w:val="19"/>
              </w:rPr>
              <w:t>广发证券发展研究中心</w:t>
            </w:r>
          </w:p>
        </w:tc>
      </w:tr>
    </w:tbl>
    <w:p>
      <w:pPr>
        <w:spacing w:line="26" w:lineRule="exact"/>
        <w:rPr>
          <w:rFonts w:ascii="Arial"/>
          <w:sz w:val="2"/>
        </w:rPr>
      </w:pPr>
    </w:p>
    <w:p>
      <w:pPr>
        <w:spacing w:line="26" w:lineRule="exact"/>
        <w:rPr>
          <w:rFonts w:ascii="Arial" w:eastAsia="Arial" w:hAnsi="Arial" w:cs="Arial"/>
          <w:sz w:val="2"/>
          <w:szCs w:val="2"/>
        </w:rPr>
        <w:sectPr>
          <w:headerReference w:type="default" r:id="rId55"/>
          <w:footerReference w:type="default" r:id="rId56"/>
          <w:type w:val="nextPage"/>
          <w:pgSz w:w="11910" w:h="16840"/>
          <w:pgMar w:top="400" w:right="600" w:bottom="979" w:left="459" w:header="0" w:footer="748" w:gutter="0"/>
          <w:pgNumType w:start="21"/>
          <w:cols w:num="1" w:space="708" w:equalWidth="0">
            <w:col w:w="10851" w:space="0"/>
          </w:cols>
          <w:titlePg w:val="0"/>
        </w:sectPr>
      </w:pPr>
    </w:p>
    <w:p>
      <w:pPr>
        <w:spacing w:before="39" w:line="195" w:lineRule="auto"/>
        <w:ind w:left="162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-11"/>
          <w:sz w:val="19"/>
          <w:szCs w:val="19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6" w:line="187" w:lineRule="auto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-11"/>
          <w:sz w:val="19"/>
          <w:szCs w:val="19"/>
        </w:rPr>
        <w:t>请务必阅读末页的免责声明</w:t>
      </w:r>
    </w:p>
    <w:p>
      <w:pPr>
        <w:spacing w:line="187" w:lineRule="auto"/>
        <w:rPr>
          <w:rFonts w:ascii="SimHei" w:eastAsia="SimHei" w:hAnsi="SimHei" w:cs="SimHei"/>
          <w:sz w:val="19"/>
          <w:szCs w:val="19"/>
        </w:rPr>
        <w:sectPr>
          <w:headerReference w:type="default" r:id="rId57"/>
          <w:footerReference w:type="default" r:id="rId58"/>
          <w:type w:val="continuous"/>
          <w:pgSz w:w="11910" w:h="16840"/>
          <w:pgMar w:top="400" w:right="600" w:bottom="979" w:left="459" w:header="0" w:footer="748" w:gutter="0"/>
          <w:pgNumType w:start="22"/>
          <w:cols w:num="2" w:space="708" w:equalWidth="0">
            <w:col w:w="8543" w:space="100"/>
            <w:col w:w="2208" w:space="0"/>
          </w:cols>
        </w:sectPr>
      </w:pPr>
    </w:p>
    <w:p>
      <w:pPr>
        <w:spacing w:before="118"/>
      </w:pP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463527</wp:posOffset>
            </wp:positionH>
            <wp:positionV relativeFrom="page">
              <wp:posOffset>6750081</wp:posOffset>
            </wp:positionV>
            <wp:extent cx="3238488" cy="635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23848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3841776</wp:posOffset>
            </wp:positionH>
            <wp:positionV relativeFrom="page">
              <wp:posOffset>6750081</wp:posOffset>
            </wp:positionV>
            <wp:extent cx="3327351" cy="6350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32735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374663</wp:posOffset>
            </wp:positionH>
            <wp:positionV relativeFrom="page">
              <wp:posOffset>9874285</wp:posOffset>
            </wp:positionV>
            <wp:extent cx="6750070" cy="12618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750070" cy="12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headerReference w:type="default" r:id="rId61"/>
          <w:footerReference w:type="default" r:id="rId62"/>
          <w:pgSz w:w="11910" w:h="16840"/>
          <w:pgMar w:top="400" w:right="610" w:bottom="989" w:left="459" w:header="0" w:footer="758" w:gutter="0"/>
          <w:pgNumType w:start="23"/>
          <w:cols w:num="1" w:space="708" w:equalWidth="0">
            <w:col w:w="10841" w:space="0"/>
          </w:cols>
        </w:sectPr>
      </w:pPr>
    </w:p>
    <w:p>
      <w:pPr>
        <w:spacing w:line="600" w:lineRule="exact"/>
        <w:ind w:firstLine="100"/>
      </w:pPr>
      <w:r>
        <w:rPr>
          <w:position w:val="-12"/>
        </w:rPr>
        <w:drawing>
          <wp:inline distT="0" distB="0" distL="0" distR="0">
            <wp:extent cx="393721" cy="381006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93721" cy="381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56" w:line="216" w:lineRule="auto"/>
        <w:ind w:left="4"/>
        <w:rPr>
          <w:rFonts w:ascii="YouYuan" w:eastAsia="YouYuan" w:hAnsi="YouYuan" w:cs="YouYuan"/>
          <w:sz w:val="30"/>
          <w:szCs w:val="30"/>
        </w:rPr>
      </w:pPr>
      <w:bookmarkStart w:id="6" w:name="bookmark11"/>
      <w:bookmarkEnd w:id="6"/>
      <w:bookmarkStart w:id="7" w:name="bookmark12"/>
      <w:bookmarkEnd w:id="7"/>
      <w:bookmarkStart w:id="8" w:name="bookmark5"/>
      <w:bookmarkEnd w:id="8"/>
      <w:r>
        <w:rPr>
          <w:rFonts w:ascii="YouYuan" w:eastAsia="YouYuan" w:hAnsi="YouYuan" w:cs="YouYuan"/>
          <w:b/>
          <w:bCs/>
          <w:color w:val="00468D"/>
          <w:spacing w:val="-6"/>
          <w:sz w:val="30"/>
          <w:szCs w:val="30"/>
        </w:rPr>
        <w:t>广发证考</w:t>
      </w:r>
    </w:p>
    <w:p>
      <w:pPr>
        <w:spacing w:before="47" w:line="157" w:lineRule="auto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color w:val="00A3EA"/>
          <w:spacing w:val="-14"/>
          <w:sz w:val="19"/>
          <w:szCs w:val="19"/>
        </w:rPr>
        <w:t>GF 5ECURITIE5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83" w:lineRule="auto"/>
        <w:rPr>
          <w:rFonts w:ascii="Arial"/>
          <w:sz w:val="21"/>
        </w:rPr>
      </w:pPr>
    </w:p>
    <w:p>
      <w:pPr>
        <w:spacing w:before="62" w:line="217" w:lineRule="auto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15"/>
          <w:sz w:val="19"/>
          <w:szCs w:val="19"/>
        </w:rPr>
        <w:t>投资策略周报|基础化工</w:t>
      </w:r>
    </w:p>
    <w:p>
      <w:pPr>
        <w:spacing w:line="217" w:lineRule="auto"/>
        <w:rPr>
          <w:rFonts w:ascii="SimHei" w:eastAsia="SimHei" w:hAnsi="SimHei" w:cs="SimHei"/>
          <w:sz w:val="19"/>
          <w:szCs w:val="19"/>
        </w:rPr>
        <w:sectPr>
          <w:headerReference w:type="default" r:id="rId64"/>
          <w:footerReference w:type="default" r:id="rId65"/>
          <w:type w:val="continuous"/>
          <w:pgSz w:w="11910" w:h="16840"/>
          <w:pgMar w:top="400" w:right="610" w:bottom="989" w:left="459" w:header="0" w:footer="758" w:gutter="0"/>
          <w:pgNumType w:start="24"/>
          <w:cols w:num="3" w:space="708" w:equalWidth="0">
            <w:col w:w="721" w:space="69"/>
            <w:col w:w="7643" w:space="100"/>
            <w:col w:w="2308" w:space="0"/>
          </w:cols>
        </w:sectPr>
      </w:pPr>
    </w:p>
    <w:p>
      <w:pPr>
        <w:pStyle w:val="BodyText"/>
        <w:spacing w:line="4600" w:lineRule="exact"/>
        <w:ind w:firstLine="110"/>
      </w:pPr>
      <w:r>
        <w:rPr>
          <w:position w:val="-92"/>
        </w:rPr>
        <w:pict>
          <v:group id="_x0000_i1031" style="width:536.5pt;height:230.05pt;mso-position-horizontal-relative:char;mso-position-vertical-relative:line" coordorigin="0,0" coordsize="10730,4601" filled="f" stroked="f">
            <v:shape id="_x0000_s1032" type="#_x0000_t75" style="width:10730;height:4040;position:absolute;top:280" filled="f" stroked="f">
              <v:imagedata r:id="rId66" o:title=""/>
            </v:shape>
            <v:shape id="_x0000_s1033" type="#_x0000_t202" style="width:2830;height:237;left:182;position:absolute;top:72" filled="f" stroked="f">
              <o:lock v:ext="edit" aspectratio="f"/>
              <v:textbox inset="0,0,0,0">
                <w:txbxContent>
                  <w:p>
                    <w:pPr>
                      <w:spacing w:before="20" w:line="224" w:lineRule="auto"/>
                      <w:ind w:left="20"/>
                      <w:rPr>
                        <w:rFonts w:ascii="KaiTi" w:eastAsia="KaiTi" w:hAnsi="KaiTi" w:cs="KaiTi"/>
                        <w:sz w:val="19"/>
                        <w:szCs w:val="19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spacing w:val="-16"/>
                        <w:sz w:val="19"/>
                        <w:szCs w:val="19"/>
                      </w:rPr>
                      <w:t>图</w:t>
                    </w:r>
                    <w:r>
                      <w:rPr>
                        <w:rFonts w:ascii="KaiTi" w:eastAsia="KaiTi" w:hAnsi="KaiTi" w:cs="KaiTi"/>
                        <w:spacing w:val="-39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6"/>
                        <w:sz w:val="19"/>
                        <w:szCs w:val="19"/>
                      </w:rPr>
                      <w:t>3</w:t>
                    </w:r>
                    <w:r>
                      <w:rPr>
                        <w:rFonts w:ascii="KaiTi" w:eastAsia="KaiTi" w:hAnsi="KaiTi" w:cs="KaiTi"/>
                        <w:spacing w:val="-16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6"/>
                        <w:sz w:val="19"/>
                        <w:szCs w:val="19"/>
                      </w:rPr>
                      <w:t>:</w:t>
                    </w:r>
                    <w:r>
                      <w:rPr>
                        <w:rFonts w:ascii="KaiTi" w:eastAsia="KaiTi" w:hAnsi="KaiTi" w:cs="KaiTi"/>
                        <w:spacing w:val="-36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6"/>
                        <w:sz w:val="19"/>
                        <w:szCs w:val="19"/>
                      </w:rPr>
                      <w:t>子</w:t>
                    </w:r>
                    <w:r>
                      <w:rPr>
                        <w:rFonts w:ascii="KaiTi" w:eastAsia="KaiTi" w:hAnsi="KaiTi" w:cs="KaiTi"/>
                        <w:spacing w:val="-3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6"/>
                        <w:sz w:val="19"/>
                        <w:szCs w:val="19"/>
                      </w:rPr>
                      <w:t>行</w:t>
                    </w:r>
                    <w:r>
                      <w:rPr>
                        <w:rFonts w:ascii="KaiTi" w:eastAsia="KaiTi" w:hAnsi="KaiTi" w:cs="KaiTi"/>
                        <w:spacing w:val="-30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6"/>
                        <w:sz w:val="19"/>
                        <w:szCs w:val="19"/>
                      </w:rPr>
                      <w:t>业</w:t>
                    </w:r>
                    <w:r>
                      <w:rPr>
                        <w:rFonts w:ascii="KaiTi" w:eastAsia="KaiTi" w:hAnsi="KaiTi" w:cs="KaiTi"/>
                        <w:spacing w:val="-4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6"/>
                        <w:sz w:val="19"/>
                        <w:szCs w:val="19"/>
                      </w:rPr>
                      <w:t>三</w:t>
                    </w:r>
                    <w:r>
                      <w:rPr>
                        <w:rFonts w:ascii="KaiTi" w:eastAsia="KaiTi" w:hAnsi="KaiTi" w:cs="KaiTi"/>
                        <w:spacing w:val="-4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6"/>
                        <w:sz w:val="19"/>
                        <w:szCs w:val="19"/>
                      </w:rPr>
                      <w:t>个</w:t>
                    </w:r>
                    <w:r>
                      <w:rPr>
                        <w:rFonts w:ascii="KaiTi" w:eastAsia="KaiTi" w:hAnsi="KaiTi" w:cs="KaiTi"/>
                        <w:spacing w:val="-30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6"/>
                        <w:sz w:val="19"/>
                        <w:szCs w:val="19"/>
                      </w:rPr>
                      <w:t>月</w:t>
                    </w:r>
                    <w:r>
                      <w:rPr>
                        <w:rFonts w:ascii="KaiTi" w:eastAsia="KaiTi" w:hAnsi="KaiTi" w:cs="KaiTi"/>
                        <w:spacing w:val="-33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6"/>
                        <w:sz w:val="19"/>
                        <w:szCs w:val="19"/>
                      </w:rPr>
                      <w:t>涨</w:t>
                    </w:r>
                    <w:r>
                      <w:rPr>
                        <w:rFonts w:ascii="KaiTi" w:eastAsia="KaiTi" w:hAnsi="KaiTi" w:cs="KaiTi"/>
                        <w:spacing w:val="-29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6"/>
                        <w:sz w:val="19"/>
                        <w:szCs w:val="19"/>
                      </w:rPr>
                      <w:t>幅</w:t>
                    </w:r>
                    <w:r>
                      <w:rPr>
                        <w:rFonts w:ascii="KaiTi" w:eastAsia="KaiTi" w:hAnsi="KaiTi" w:cs="KaiTi"/>
                        <w:spacing w:val="-16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6"/>
                        <w:sz w:val="19"/>
                        <w:szCs w:val="19"/>
                      </w:rPr>
                      <w:t>(</w:t>
                    </w:r>
                    <w:r>
                      <w:rPr>
                        <w:rFonts w:ascii="KaiTi" w:eastAsia="KaiTi" w:hAnsi="KaiTi" w:cs="KaiTi"/>
                        <w:spacing w:val="-4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6"/>
                        <w:sz w:val="19"/>
                        <w:szCs w:val="19"/>
                      </w:rPr>
                      <w:t>%</w:t>
                    </w:r>
                    <w:r>
                      <w:rPr>
                        <w:rFonts w:ascii="KaiTi" w:eastAsia="KaiTi" w:hAnsi="KaiTi" w:cs="KaiTi"/>
                        <w:spacing w:val="-4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6"/>
                        <w:sz w:val="19"/>
                        <w:szCs w:val="19"/>
                      </w:rPr>
                      <w:t>)</w:t>
                    </w:r>
                  </w:p>
                </w:txbxContent>
              </v:textbox>
            </v:shape>
            <v:rect id="_x0000_s1034" style="width:10690;height:10;left:10;position:absolute;top:4590" filled="t" fillcolor="black" stroked="f"/>
            <v:shape id="_x0000_s1035" type="#_x0000_t75" style="width:10590;height:10;left:60;position:absolute" filled="f" stroked="f">
              <v:imagedata r:id="rId45" o:title=""/>
            </v:shape>
            <w10:wrap type="none"/>
          </v:group>
        </w:pict>
      </w:r>
    </w:p>
    <w:p>
      <w:pPr>
        <w:pStyle w:val="BodyText"/>
        <w:spacing w:before="93" w:line="224" w:lineRule="auto"/>
        <w:ind w:left="280"/>
        <w:rPr>
          <w:sz w:val="19"/>
          <w:szCs w:val="19"/>
        </w:rPr>
      </w:pPr>
      <w:r>
        <w:rPr>
          <w:spacing w:val="-11"/>
          <w:sz w:val="19"/>
          <w:szCs w:val="19"/>
        </w:rPr>
        <w:t>数据来源：</w:t>
      </w:r>
      <w:r>
        <w:rPr>
          <w:spacing w:val="-30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11"/>
          <w:sz w:val="19"/>
          <w:szCs w:val="19"/>
        </w:rPr>
        <w:t>Wind,</w:t>
      </w:r>
      <w:r>
        <w:rPr>
          <w:rFonts w:ascii="SimSun" w:eastAsia="SimSun" w:hAnsi="SimSun" w:cs="SimSun"/>
          <w:spacing w:val="31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广发证券发展研究中心</w:t>
      </w:r>
    </w:p>
    <w:p>
      <w:pPr>
        <w:spacing w:line="415" w:lineRule="auto"/>
        <w:rPr>
          <w:rFonts w:ascii="Arial"/>
          <w:sz w:val="21"/>
        </w:rPr>
      </w:pPr>
    </w:p>
    <w:p>
      <w:pPr>
        <w:pStyle w:val="BodyText"/>
        <w:spacing w:before="81" w:line="232" w:lineRule="auto"/>
        <w:ind w:left="3303"/>
        <w:rPr>
          <w:sz w:val="25"/>
          <w:szCs w:val="25"/>
        </w:rPr>
      </w:pPr>
      <w:r>
        <w:rPr>
          <w:b/>
          <w:bCs/>
          <w:spacing w:val="2"/>
          <w:sz w:val="25"/>
          <w:szCs w:val="25"/>
        </w:rPr>
        <w:t>(二)宏观数据</w:t>
      </w:r>
    </w:p>
    <w:p>
      <w:pPr>
        <w:spacing w:line="20" w:lineRule="exact"/>
      </w:pPr>
    </w:p>
    <w:p>
      <w:pPr>
        <w:spacing w:line="20" w:lineRule="exact"/>
        <w:sectPr>
          <w:headerReference w:type="default" r:id="rId67"/>
          <w:footerReference w:type="default" r:id="rId68"/>
          <w:type w:val="continuous"/>
          <w:pgSz w:w="11910" w:h="16840"/>
          <w:pgMar w:top="400" w:right="610" w:bottom="989" w:left="459" w:header="0" w:footer="758" w:gutter="0"/>
          <w:pgNumType w:start="25"/>
          <w:cols w:num="1" w:space="708" w:equalWidth="0">
            <w:col w:w="10841" w:space="0"/>
          </w:cols>
        </w:sectPr>
      </w:pPr>
    </w:p>
    <w:p>
      <w:pPr>
        <w:pStyle w:val="BodyText"/>
        <w:spacing w:before="39" w:line="220" w:lineRule="auto"/>
        <w:ind w:left="432"/>
        <w:rPr>
          <w:sz w:val="19"/>
          <w:szCs w:val="19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255593</wp:posOffset>
            </wp:positionH>
            <wp:positionV relativeFrom="paragraph">
              <wp:posOffset>139521</wp:posOffset>
            </wp:positionV>
            <wp:extent cx="3135439" cy="6350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135439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15"/>
          <w:sz w:val="19"/>
          <w:szCs w:val="19"/>
        </w:rPr>
        <w:t>图</w:t>
      </w:r>
      <w:r>
        <w:rPr>
          <w:spacing w:val="-1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4</w:t>
      </w:r>
      <w:r>
        <w:rPr>
          <w:spacing w:val="-15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:</w:t>
      </w:r>
      <w:r>
        <w:rPr>
          <w:spacing w:val="-15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相</w:t>
      </w:r>
      <w:r>
        <w:rPr>
          <w:spacing w:val="-15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关</w:t>
      </w:r>
      <w:r>
        <w:rPr>
          <w:spacing w:val="-15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价</w:t>
      </w:r>
      <w:r>
        <w:rPr>
          <w:spacing w:val="-15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格</w:t>
      </w:r>
      <w:r>
        <w:rPr>
          <w:spacing w:val="-15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指</w:t>
      </w:r>
      <w:r>
        <w:rPr>
          <w:spacing w:val="-15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数</w:t>
      </w:r>
      <w:r>
        <w:rPr>
          <w:spacing w:val="21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(</w:t>
      </w:r>
      <w:r>
        <w:rPr>
          <w:spacing w:val="-15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当</w:t>
      </w:r>
      <w:r>
        <w:rPr>
          <w:spacing w:val="-15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月</w:t>
      </w:r>
      <w:r>
        <w:rPr>
          <w:spacing w:val="7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同</w:t>
      </w:r>
      <w:r>
        <w:rPr>
          <w:spacing w:val="-15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比</w:t>
      </w:r>
      <w:r>
        <w:rPr>
          <w:spacing w:val="-1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，</w:t>
      </w:r>
      <w:r>
        <w:rPr>
          <w:spacing w:val="-15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%</w:t>
      </w:r>
      <w:r>
        <w:rPr>
          <w:spacing w:val="-15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)</w:t>
      </w:r>
    </w:p>
    <w:p>
      <w:pPr>
        <w:spacing w:before="146" w:line="2668" w:lineRule="exact"/>
        <w:ind w:firstLine="430"/>
      </w:pPr>
      <w:r>
        <w:rPr>
          <w:position w:val="-53"/>
        </w:rPr>
        <w:drawing>
          <wp:inline distT="0" distB="0" distL="0" distR="0">
            <wp:extent cx="3016215" cy="1693812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016215" cy="1693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tabs>
          <w:tab w:val="left" w:pos="1050"/>
        </w:tabs>
        <w:spacing w:line="228" w:lineRule="auto"/>
        <w:ind w:left="670"/>
        <w:rPr>
          <w:sz w:val="13"/>
          <w:szCs w:val="13"/>
        </w:rPr>
      </w:pPr>
      <w:r>
        <w:rPr>
          <w:rFonts w:ascii="SimSun" w:eastAsia="SimSun" w:hAnsi="SimSun" w:cs="SimSun"/>
          <w:strike/>
          <w:sz w:val="13"/>
          <w:szCs w:val="13"/>
        </w:rPr>
        <w:tab/>
      </w:r>
      <w:r>
        <w:rPr>
          <w:rFonts w:ascii="SimSun" w:eastAsia="SimSun" w:hAnsi="SimSun" w:cs="SimSun"/>
          <w:spacing w:val="5"/>
          <w:sz w:val="13"/>
          <w:szCs w:val="13"/>
        </w:rPr>
        <w:t>-</w:t>
      </w:r>
      <w:r>
        <w:rPr>
          <w:rFonts w:ascii="SimSun" w:eastAsia="SimSun" w:hAnsi="SimSun" w:cs="SimSun"/>
          <w:sz w:val="13"/>
          <w:szCs w:val="13"/>
        </w:rPr>
        <w:t>PPIRM</w:t>
      </w:r>
      <w:r>
        <w:rPr>
          <w:rFonts w:ascii="SimSun" w:eastAsia="SimSun" w:hAnsi="SimSun" w:cs="SimSun"/>
          <w:spacing w:val="5"/>
          <w:sz w:val="13"/>
          <w:szCs w:val="13"/>
        </w:rPr>
        <w:t>:</w:t>
      </w:r>
      <w:r>
        <w:rPr>
          <w:spacing w:val="5"/>
          <w:sz w:val="13"/>
          <w:szCs w:val="13"/>
        </w:rPr>
        <w:t>化工原料类(左轴)</w:t>
      </w:r>
      <w:r>
        <w:rPr>
          <w:spacing w:val="2"/>
          <w:sz w:val="13"/>
          <w:szCs w:val="13"/>
        </w:rPr>
        <w:t xml:space="preserve">        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sz w:val="13"/>
          <w:szCs w:val="13"/>
        </w:rPr>
        <w:t>CPI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 xml:space="preserve">  </w:t>
      </w:r>
      <w:r>
        <w:rPr>
          <w:spacing w:val="5"/>
          <w:sz w:val="13"/>
          <w:szCs w:val="13"/>
        </w:rPr>
        <w:t>(右轴)</w:t>
      </w:r>
    </w:p>
    <w:p>
      <w:pPr>
        <w:spacing w:line="262" w:lineRule="auto"/>
        <w:rPr>
          <w:rFonts w:ascii="Arial"/>
          <w:sz w:val="21"/>
        </w:rPr>
      </w:pPr>
    </w:p>
    <w:p>
      <w:pPr>
        <w:pStyle w:val="BodyText"/>
        <w:spacing w:before="63" w:line="192" w:lineRule="auto"/>
        <w:ind w:left="410"/>
        <w:rPr>
          <w:sz w:val="19"/>
          <w:szCs w:val="19"/>
        </w:rPr>
      </w:pPr>
      <w:r>
        <w:rPr>
          <w:spacing w:val="-12"/>
          <w:sz w:val="19"/>
          <w:szCs w:val="19"/>
        </w:rPr>
        <w:t>数据来源：</w:t>
      </w:r>
      <w:r>
        <w:rPr>
          <w:spacing w:val="-12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12"/>
          <w:sz w:val="19"/>
          <w:szCs w:val="19"/>
        </w:rPr>
        <w:t>Wind,</w:t>
      </w:r>
      <w:r>
        <w:rPr>
          <w:rFonts w:ascii="SimSun" w:eastAsia="SimSun" w:hAnsi="SimSun" w:cs="SimSun"/>
          <w:spacing w:val="33"/>
          <w:sz w:val="19"/>
          <w:szCs w:val="19"/>
        </w:rPr>
        <w:t xml:space="preserve"> </w:t>
      </w:r>
      <w:r>
        <w:rPr>
          <w:spacing w:val="-12"/>
          <w:sz w:val="19"/>
          <w:szCs w:val="19"/>
        </w:rPr>
        <w:t>广发证券发展研究中心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8" w:line="220" w:lineRule="auto"/>
        <w:ind w:left="172"/>
        <w:rPr>
          <w:sz w:val="19"/>
          <w:szCs w:val="19"/>
        </w:rPr>
      </w:pPr>
      <w:r>
        <w:rPr>
          <w:b/>
          <w:bCs/>
          <w:spacing w:val="-16"/>
          <w:sz w:val="19"/>
          <w:szCs w:val="19"/>
          <w:u w:val="single" w:color="auto"/>
        </w:rPr>
        <w:t>图</w:t>
      </w:r>
      <w:r>
        <w:rPr>
          <w:spacing w:val="-41"/>
          <w:sz w:val="19"/>
          <w:szCs w:val="19"/>
          <w:u w:val="single" w:color="auto"/>
        </w:rPr>
        <w:t xml:space="preserve"> </w:t>
      </w:r>
      <w:r>
        <w:rPr>
          <w:b/>
          <w:bCs/>
          <w:spacing w:val="-16"/>
          <w:sz w:val="19"/>
          <w:szCs w:val="19"/>
          <w:u w:val="single" w:color="auto"/>
        </w:rPr>
        <w:t>5</w:t>
      </w:r>
      <w:r>
        <w:rPr>
          <w:spacing w:val="-16"/>
          <w:sz w:val="19"/>
          <w:szCs w:val="19"/>
          <w:u w:val="single" w:color="auto"/>
        </w:rPr>
        <w:t xml:space="preserve"> </w:t>
      </w:r>
      <w:r>
        <w:rPr>
          <w:b/>
          <w:bCs/>
          <w:spacing w:val="-16"/>
          <w:sz w:val="19"/>
          <w:szCs w:val="19"/>
          <w:u w:val="single" w:color="auto"/>
        </w:rPr>
        <w:t>:</w:t>
      </w:r>
      <w:r>
        <w:rPr>
          <w:spacing w:val="-38"/>
          <w:sz w:val="19"/>
          <w:szCs w:val="19"/>
          <w:u w:val="single" w:color="auto"/>
        </w:rPr>
        <w:t xml:space="preserve"> </w:t>
      </w:r>
      <w:r>
        <w:rPr>
          <w:b/>
          <w:bCs/>
          <w:spacing w:val="-16"/>
          <w:sz w:val="19"/>
          <w:szCs w:val="19"/>
          <w:u w:val="single" w:color="auto"/>
        </w:rPr>
        <w:t>规</w:t>
      </w:r>
      <w:r>
        <w:rPr>
          <w:spacing w:val="-44"/>
          <w:sz w:val="19"/>
          <w:szCs w:val="19"/>
          <w:u w:val="single" w:color="auto"/>
        </w:rPr>
        <w:t xml:space="preserve"> </w:t>
      </w:r>
      <w:r>
        <w:rPr>
          <w:b/>
          <w:bCs/>
          <w:spacing w:val="-16"/>
          <w:sz w:val="19"/>
          <w:szCs w:val="19"/>
          <w:u w:val="single" w:color="auto"/>
        </w:rPr>
        <w:t>模</w:t>
      </w:r>
      <w:r>
        <w:rPr>
          <w:spacing w:val="-16"/>
          <w:sz w:val="19"/>
          <w:szCs w:val="19"/>
          <w:u w:val="single" w:color="auto"/>
        </w:rPr>
        <w:t xml:space="preserve"> </w:t>
      </w:r>
      <w:r>
        <w:rPr>
          <w:b/>
          <w:bCs/>
          <w:spacing w:val="-16"/>
          <w:sz w:val="19"/>
          <w:szCs w:val="19"/>
          <w:u w:val="single" w:color="auto"/>
        </w:rPr>
        <w:t>以</w:t>
      </w:r>
      <w:r>
        <w:rPr>
          <w:spacing w:val="-35"/>
          <w:sz w:val="19"/>
          <w:szCs w:val="19"/>
          <w:u w:val="single" w:color="auto"/>
        </w:rPr>
        <w:t xml:space="preserve"> </w:t>
      </w:r>
      <w:r>
        <w:rPr>
          <w:b/>
          <w:bCs/>
          <w:spacing w:val="-16"/>
          <w:sz w:val="19"/>
          <w:szCs w:val="19"/>
          <w:u w:val="single" w:color="auto"/>
        </w:rPr>
        <w:t>上</w:t>
      </w:r>
      <w:r>
        <w:rPr>
          <w:spacing w:val="-36"/>
          <w:sz w:val="19"/>
          <w:szCs w:val="19"/>
          <w:u w:val="single" w:color="auto"/>
        </w:rPr>
        <w:t xml:space="preserve"> </w:t>
      </w:r>
      <w:r>
        <w:rPr>
          <w:b/>
          <w:bCs/>
          <w:spacing w:val="-16"/>
          <w:sz w:val="19"/>
          <w:szCs w:val="19"/>
          <w:u w:val="single" w:color="auto"/>
        </w:rPr>
        <w:t>工</w:t>
      </w:r>
      <w:r>
        <w:rPr>
          <w:spacing w:val="-27"/>
          <w:sz w:val="19"/>
          <w:szCs w:val="19"/>
          <w:u w:val="single" w:color="auto"/>
        </w:rPr>
        <w:t xml:space="preserve"> </w:t>
      </w:r>
      <w:r>
        <w:rPr>
          <w:b/>
          <w:bCs/>
          <w:spacing w:val="-16"/>
          <w:sz w:val="19"/>
          <w:szCs w:val="19"/>
          <w:u w:val="single" w:color="auto"/>
        </w:rPr>
        <w:t>业</w:t>
      </w:r>
      <w:r>
        <w:rPr>
          <w:spacing w:val="-35"/>
          <w:sz w:val="19"/>
          <w:szCs w:val="19"/>
          <w:u w:val="single" w:color="auto"/>
        </w:rPr>
        <w:t xml:space="preserve"> </w:t>
      </w:r>
      <w:r>
        <w:rPr>
          <w:b/>
          <w:bCs/>
          <w:spacing w:val="-16"/>
          <w:sz w:val="19"/>
          <w:szCs w:val="19"/>
          <w:u w:val="single" w:color="auto"/>
        </w:rPr>
        <w:t>增</w:t>
      </w:r>
      <w:r>
        <w:rPr>
          <w:spacing w:val="-41"/>
          <w:sz w:val="19"/>
          <w:szCs w:val="19"/>
          <w:u w:val="single" w:color="auto"/>
        </w:rPr>
        <w:t xml:space="preserve"> </w:t>
      </w:r>
      <w:r>
        <w:rPr>
          <w:b/>
          <w:bCs/>
          <w:spacing w:val="-16"/>
          <w:sz w:val="19"/>
          <w:szCs w:val="19"/>
          <w:u w:val="single" w:color="auto"/>
        </w:rPr>
        <w:t>加</w:t>
      </w:r>
      <w:r>
        <w:rPr>
          <w:spacing w:val="-42"/>
          <w:sz w:val="19"/>
          <w:szCs w:val="19"/>
          <w:u w:val="single" w:color="auto"/>
        </w:rPr>
        <w:t xml:space="preserve"> </w:t>
      </w:r>
      <w:r>
        <w:rPr>
          <w:b/>
          <w:bCs/>
          <w:spacing w:val="-16"/>
          <w:sz w:val="19"/>
          <w:szCs w:val="19"/>
          <w:u w:val="single" w:color="auto"/>
        </w:rPr>
        <w:t>值</w:t>
      </w:r>
      <w:r>
        <w:rPr>
          <w:spacing w:val="-35"/>
          <w:sz w:val="19"/>
          <w:szCs w:val="19"/>
          <w:u w:val="single" w:color="auto"/>
        </w:rPr>
        <w:t xml:space="preserve"> </w:t>
      </w:r>
      <w:r>
        <w:rPr>
          <w:b/>
          <w:bCs/>
          <w:spacing w:val="-16"/>
          <w:sz w:val="19"/>
          <w:szCs w:val="19"/>
          <w:u w:val="single" w:color="auto"/>
        </w:rPr>
        <w:t>增</w:t>
      </w:r>
      <w:r>
        <w:rPr>
          <w:spacing w:val="-35"/>
          <w:sz w:val="19"/>
          <w:szCs w:val="19"/>
          <w:u w:val="single" w:color="auto"/>
        </w:rPr>
        <w:t xml:space="preserve"> </w:t>
      </w:r>
      <w:r>
        <w:rPr>
          <w:b/>
          <w:bCs/>
          <w:spacing w:val="-16"/>
          <w:sz w:val="19"/>
          <w:szCs w:val="19"/>
          <w:u w:val="single" w:color="auto"/>
        </w:rPr>
        <w:t>速</w:t>
      </w:r>
      <w:r>
        <w:rPr>
          <w:spacing w:val="-16"/>
          <w:sz w:val="19"/>
          <w:szCs w:val="19"/>
          <w:u w:val="single" w:color="auto"/>
        </w:rPr>
        <w:t xml:space="preserve"> </w:t>
      </w:r>
      <w:r>
        <w:rPr>
          <w:b/>
          <w:bCs/>
          <w:spacing w:val="-16"/>
          <w:sz w:val="19"/>
          <w:szCs w:val="19"/>
          <w:u w:val="single" w:color="auto"/>
        </w:rPr>
        <w:t>(</w:t>
      </w:r>
      <w:r>
        <w:rPr>
          <w:spacing w:val="-16"/>
          <w:sz w:val="19"/>
          <w:szCs w:val="19"/>
          <w:u w:val="single" w:color="auto"/>
        </w:rPr>
        <w:t xml:space="preserve"> </w:t>
      </w:r>
      <w:r>
        <w:rPr>
          <w:b/>
          <w:bCs/>
          <w:spacing w:val="-16"/>
          <w:sz w:val="19"/>
          <w:szCs w:val="19"/>
          <w:u w:val="single" w:color="auto"/>
        </w:rPr>
        <w:t>累</w:t>
      </w:r>
      <w:r>
        <w:rPr>
          <w:spacing w:val="-33"/>
          <w:sz w:val="19"/>
          <w:szCs w:val="19"/>
          <w:u w:val="single" w:color="auto"/>
        </w:rPr>
        <w:t xml:space="preserve"> </w:t>
      </w:r>
      <w:r>
        <w:rPr>
          <w:b/>
          <w:bCs/>
          <w:spacing w:val="-16"/>
          <w:sz w:val="19"/>
          <w:szCs w:val="19"/>
          <w:u w:val="single" w:color="auto"/>
        </w:rPr>
        <w:t>计</w:t>
      </w:r>
      <w:r>
        <w:rPr>
          <w:spacing w:val="-16"/>
          <w:sz w:val="19"/>
          <w:szCs w:val="19"/>
          <w:u w:val="single" w:color="auto"/>
        </w:rPr>
        <w:t xml:space="preserve"> </w:t>
      </w:r>
      <w:r>
        <w:rPr>
          <w:b/>
          <w:bCs/>
          <w:spacing w:val="-16"/>
          <w:sz w:val="19"/>
          <w:szCs w:val="19"/>
          <w:u w:val="single" w:color="auto"/>
        </w:rPr>
        <w:t>同</w:t>
      </w:r>
      <w:r>
        <w:rPr>
          <w:spacing w:val="-20"/>
          <w:sz w:val="19"/>
          <w:szCs w:val="19"/>
          <w:u w:val="single" w:color="auto"/>
        </w:rPr>
        <w:t xml:space="preserve"> </w:t>
      </w:r>
      <w:r>
        <w:rPr>
          <w:b/>
          <w:bCs/>
          <w:spacing w:val="-17"/>
          <w:sz w:val="19"/>
          <w:szCs w:val="19"/>
          <w:u w:val="single" w:color="auto"/>
        </w:rPr>
        <w:t>比</w:t>
      </w:r>
      <w:r>
        <w:rPr>
          <w:spacing w:val="-23"/>
          <w:sz w:val="19"/>
          <w:szCs w:val="19"/>
          <w:u w:val="single" w:color="auto"/>
        </w:rPr>
        <w:t xml:space="preserve"> </w:t>
      </w:r>
      <w:r>
        <w:rPr>
          <w:b/>
          <w:bCs/>
          <w:spacing w:val="-17"/>
          <w:sz w:val="19"/>
          <w:szCs w:val="19"/>
          <w:u w:val="single" w:color="auto"/>
        </w:rPr>
        <w:t>，</w:t>
      </w:r>
      <w:r>
        <w:rPr>
          <w:spacing w:val="-40"/>
          <w:sz w:val="19"/>
          <w:szCs w:val="19"/>
          <w:u w:val="single" w:color="auto"/>
        </w:rPr>
        <w:t xml:space="preserve"> </w:t>
      </w:r>
      <w:r>
        <w:rPr>
          <w:b/>
          <w:bCs/>
          <w:spacing w:val="-17"/>
          <w:sz w:val="19"/>
          <w:szCs w:val="19"/>
          <w:u w:val="single" w:color="auto"/>
        </w:rPr>
        <w:t>%</w:t>
      </w:r>
      <w:r>
        <w:rPr>
          <w:spacing w:val="-39"/>
          <w:sz w:val="19"/>
          <w:szCs w:val="19"/>
          <w:u w:val="single" w:color="auto"/>
        </w:rPr>
        <w:t xml:space="preserve"> </w:t>
      </w:r>
      <w:r>
        <w:rPr>
          <w:b/>
          <w:bCs/>
          <w:spacing w:val="-17"/>
          <w:sz w:val="19"/>
          <w:szCs w:val="19"/>
          <w:u w:val="single" w:color="auto"/>
        </w:rPr>
        <w:t>)</w:t>
      </w:r>
      <w:r>
        <w:rPr>
          <w:sz w:val="19"/>
          <w:szCs w:val="19"/>
          <w:u w:val="single" w:color="auto"/>
        </w:rPr>
        <w:t xml:space="preserve">    </w:t>
      </w:r>
    </w:p>
    <w:p>
      <w:pPr>
        <w:spacing w:before="136" w:line="2650" w:lineRule="exact"/>
        <w:ind w:firstLine="310"/>
      </w:pPr>
      <w:r>
        <w:rPr>
          <w:position w:val="-52"/>
        </w:rPr>
        <w:drawing>
          <wp:inline distT="0" distB="0" distL="0" distR="0">
            <wp:extent cx="2895587" cy="1682713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895587" cy="16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4" w:line="224" w:lineRule="auto"/>
        <w:ind w:left="869"/>
        <w:rPr>
          <w:sz w:val="13"/>
          <w:szCs w:val="13"/>
        </w:rPr>
      </w:pPr>
      <w:r>
        <w:rPr>
          <w:spacing w:val="-6"/>
          <w:sz w:val="13"/>
          <w:szCs w:val="13"/>
        </w:rPr>
        <w:t>—化学原料及化学制品制造业</w:t>
      </w:r>
      <w:r>
        <w:rPr>
          <w:spacing w:val="4"/>
          <w:sz w:val="13"/>
          <w:szCs w:val="13"/>
        </w:rPr>
        <w:t xml:space="preserve">        </w:t>
      </w:r>
      <w:r>
        <w:rPr>
          <w:color w:val="FF0000"/>
          <w:spacing w:val="-6"/>
          <w:sz w:val="13"/>
          <w:szCs w:val="13"/>
        </w:rPr>
        <w:t>一</w:t>
      </w:r>
      <w:r>
        <w:rPr>
          <w:spacing w:val="-6"/>
          <w:sz w:val="13"/>
          <w:szCs w:val="13"/>
        </w:rPr>
        <w:t>化学纤维制造业</w:t>
      </w:r>
    </w:p>
    <w:p>
      <w:pPr>
        <w:spacing w:line="269" w:lineRule="auto"/>
        <w:rPr>
          <w:rFonts w:ascii="Arial"/>
          <w:sz w:val="21"/>
        </w:rPr>
      </w:pPr>
    </w:p>
    <w:p>
      <w:pPr>
        <w:pStyle w:val="BodyText"/>
        <w:spacing w:before="62" w:line="192" w:lineRule="auto"/>
        <w:ind w:left="119"/>
        <w:rPr>
          <w:sz w:val="19"/>
          <w:szCs w:val="19"/>
        </w:rPr>
      </w:pPr>
      <w:r>
        <w:rPr>
          <w:spacing w:val="-12"/>
          <w:sz w:val="19"/>
          <w:szCs w:val="19"/>
        </w:rPr>
        <w:t>数据来源：</w:t>
      </w:r>
      <w:r>
        <w:rPr>
          <w:spacing w:val="-12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12"/>
          <w:sz w:val="19"/>
          <w:szCs w:val="19"/>
        </w:rPr>
        <w:t>Wind,</w:t>
      </w:r>
      <w:r>
        <w:rPr>
          <w:rFonts w:ascii="SimSun" w:eastAsia="SimSun" w:hAnsi="SimSun" w:cs="SimSun"/>
          <w:spacing w:val="43"/>
          <w:sz w:val="19"/>
          <w:szCs w:val="19"/>
        </w:rPr>
        <w:t xml:space="preserve"> </w:t>
      </w:r>
      <w:r>
        <w:rPr>
          <w:spacing w:val="-12"/>
          <w:sz w:val="19"/>
          <w:szCs w:val="19"/>
        </w:rPr>
        <w:t>广发证券发展研究中心</w:t>
      </w:r>
    </w:p>
    <w:p>
      <w:pPr>
        <w:spacing w:line="192" w:lineRule="auto"/>
        <w:rPr>
          <w:sz w:val="19"/>
          <w:szCs w:val="19"/>
        </w:rPr>
        <w:sectPr>
          <w:headerReference w:type="default" r:id="rId72"/>
          <w:footerReference w:type="default" r:id="rId73"/>
          <w:type w:val="continuous"/>
          <w:pgSz w:w="11910" w:h="16840"/>
          <w:pgMar w:top="400" w:right="610" w:bottom="989" w:left="459" w:header="0" w:footer="758" w:gutter="0"/>
          <w:pgNumType w:start="26"/>
          <w:cols w:num="2" w:space="708" w:equalWidth="0">
            <w:col w:w="5491" w:space="100"/>
            <w:col w:w="5250" w:space="0"/>
          </w:cols>
        </w:sectPr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https://d.book118.com/228105134110006043</w:t>
        </w:r>
      </w:hyperlink>
    </w:p>
    <w:p>
      <w:pPr>
        <w:spacing w:before="7"/>
      </w:pPr>
    </w:p>
    <w:sectPr>
      <w:headerReference w:type="default" r:id="rId75"/>
      <w:footerReference w:type="default" r:id="rId76"/>
      <w:type w:val="continuous"/>
      <w:pgSz w:w="11910" w:h="16840"/>
      <w:pgMar w:top="400" w:right="610" w:bottom="989" w:left="459" w:header="0" w:footer="758" w:gutter="0"/>
      <w:pgNumType w:start="27"/>
      <w:cols w:num="1" w:space="708" w:equalWidth="0">
        <w:col w:w="1084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3" w:lineRule="auto"/>
      <w:ind w:left="5172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b/>
        <w:bCs/>
        <w:spacing w:val="-6"/>
        <w:sz w:val="17"/>
        <w:szCs w:val="17"/>
      </w:rPr>
      <w:t>1/17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3" w:lineRule="auto"/>
      <w:ind w:left="5172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b/>
        <w:bCs/>
        <w:spacing w:val="-6"/>
        <w:sz w:val="17"/>
        <w:szCs w:val="17"/>
      </w:rPr>
      <w:t>1/17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3" w:lineRule="auto"/>
      <w:ind w:left="5172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b/>
        <w:bCs/>
        <w:spacing w:val="-6"/>
        <w:sz w:val="17"/>
        <w:szCs w:val="17"/>
      </w:rPr>
      <w:t>1/17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3" w:lineRule="auto"/>
      <w:ind w:left="5172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b/>
        <w:bCs/>
        <w:spacing w:val="-6"/>
        <w:sz w:val="17"/>
        <w:szCs w:val="17"/>
      </w:rPr>
      <w:t>1/17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3" w:lineRule="auto"/>
      <w:ind w:left="5172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b/>
        <w:bCs/>
        <w:spacing w:val="-6"/>
        <w:sz w:val="17"/>
        <w:szCs w:val="17"/>
      </w:rPr>
      <w:t>1/17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5" w:lineRule="auto"/>
      <w:ind w:left="5132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b/>
        <w:bCs/>
        <w:spacing w:val="-9"/>
        <w:sz w:val="20"/>
        <w:szCs w:val="20"/>
      </w:rPr>
      <w:t>2/17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5" w:lineRule="auto"/>
      <w:ind w:left="5132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b/>
        <w:bCs/>
        <w:spacing w:val="-9"/>
        <w:sz w:val="20"/>
        <w:szCs w:val="20"/>
      </w:rPr>
      <w:t>2/17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5" w:lineRule="auto"/>
      <w:ind w:left="5132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b/>
        <w:bCs/>
        <w:spacing w:val="-9"/>
        <w:sz w:val="20"/>
        <w:szCs w:val="20"/>
      </w:rPr>
      <w:t>2/17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8" w:lineRule="auto"/>
      <w:ind w:left="5129"/>
      <w:rPr>
        <w:rFonts w:ascii="Times New Roman" w:eastAsia="Times New Roman" w:hAnsi="Times New Roman" w:cs="Times New Roman"/>
        <w:sz w:val="21"/>
        <w:szCs w:val="21"/>
      </w:rPr>
    </w:pPr>
    <w:r>
      <w:rPr>
        <w:rFonts w:ascii="Times New Roman" w:eastAsia="Times New Roman" w:hAnsi="Times New Roman" w:cs="Times New Roman"/>
        <w:b/>
        <w:bCs/>
        <w:color w:val="00408A"/>
        <w:spacing w:val="-1"/>
        <w:sz w:val="21"/>
        <w:szCs w:val="21"/>
      </w:rPr>
      <w:t>3/17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8" w:lineRule="auto"/>
      <w:ind w:left="5129"/>
      <w:rPr>
        <w:rFonts w:ascii="Times New Roman" w:eastAsia="Times New Roman" w:hAnsi="Times New Roman" w:cs="Times New Roman"/>
        <w:sz w:val="21"/>
        <w:szCs w:val="21"/>
      </w:rPr>
    </w:pPr>
    <w:r>
      <w:rPr>
        <w:rFonts w:ascii="Times New Roman" w:eastAsia="Times New Roman" w:hAnsi="Times New Roman" w:cs="Times New Roman"/>
        <w:b/>
        <w:bCs/>
        <w:color w:val="00408A"/>
        <w:spacing w:val="-1"/>
        <w:sz w:val="21"/>
        <w:szCs w:val="21"/>
      </w:rPr>
      <w:t>3/17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8" w:lineRule="auto"/>
      <w:ind w:left="5129"/>
      <w:rPr>
        <w:rFonts w:ascii="Times New Roman" w:eastAsia="Times New Roman" w:hAnsi="Times New Roman" w:cs="Times New Roman"/>
        <w:sz w:val="21"/>
        <w:szCs w:val="21"/>
      </w:rPr>
    </w:pPr>
    <w:r>
      <w:rPr>
        <w:rFonts w:ascii="Times New Roman" w:eastAsia="Times New Roman" w:hAnsi="Times New Roman" w:cs="Times New Roman"/>
        <w:b/>
        <w:bCs/>
        <w:color w:val="00408A"/>
        <w:spacing w:val="-1"/>
        <w:sz w:val="21"/>
        <w:szCs w:val="21"/>
      </w:rPr>
      <w:t>3/17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78" w:after="30" w:line="222" w:lineRule="auto"/>
      <w:jc w:val="right"/>
      <w:rPr>
        <w:sz w:val="20"/>
        <w:szCs w:val="20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374663</wp:posOffset>
          </wp:positionH>
          <wp:positionV relativeFrom="page">
            <wp:posOffset>9874285</wp:posOffset>
          </wp:positionV>
          <wp:extent cx="6750070" cy="12618"/>
          <wp:effectExtent l="0" t="0" r="0" b="0"/>
          <wp:wrapNone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50070" cy="126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82.9pt;height:13.95pt;margin-top:2.83pt;margin-left:2.13pt;position:absolute;z-index:251658240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jc w:val="right"/>
                  <w:rPr>
                    <w:sz w:val="20"/>
                    <w:szCs w:val="20"/>
                  </w:rPr>
                </w:pPr>
                <w:r>
                  <w:rPr>
                    <w:b/>
                    <w:bCs/>
                    <w:color w:val="0077D2"/>
                    <w:spacing w:val="-18"/>
                    <w:w w:val="96"/>
                    <w:sz w:val="20"/>
                    <w:szCs w:val="20"/>
                  </w:rPr>
                  <w:t>识别风险</w:t>
                </w:r>
                <w:r>
                  <w:rPr>
                    <w:b/>
                    <w:bCs/>
                    <w:color w:val="0077D2"/>
                    <w:spacing w:val="-17"/>
                    <w:w w:val="96"/>
                    <w:sz w:val="20"/>
                    <w:szCs w:val="20"/>
                  </w:rPr>
                  <w:t>，发现价</w:t>
                </w:r>
                <w:r>
                  <w:rPr>
                    <w:b/>
                    <w:bCs/>
                    <w:color w:val="0077D2"/>
                    <w:spacing w:val="-4"/>
                    <w:w w:val="96"/>
                    <w:sz w:val="20"/>
                    <w:szCs w:val="20"/>
                  </w:rPr>
                  <w:t>值</w:t>
                </w:r>
              </w:p>
            </w:txbxContent>
          </v:textbox>
        </v:shape>
      </w:pict>
    </w:r>
    <w:r>
      <w:rPr>
        <w:b/>
        <w:bCs/>
        <w:color w:val="004BAE"/>
        <w:spacing w:val="-23"/>
        <w:sz w:val="20"/>
        <w:szCs w:val="20"/>
      </w:rPr>
      <w:t>请务必阅读末页的免责声明</w:t>
    </w:r>
  </w:p>
  <w:p>
    <w:pPr>
      <w:spacing w:line="177" w:lineRule="auto"/>
      <w:ind w:left="5119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00408A"/>
        <w:spacing w:val="-1"/>
        <w:sz w:val="20"/>
        <w:szCs w:val="20"/>
      </w:rPr>
      <w:t>4/17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78" w:after="30" w:line="222" w:lineRule="auto"/>
      <w:jc w:val="right"/>
      <w:rPr>
        <w:sz w:val="20"/>
        <w:szCs w:val="20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374663</wp:posOffset>
          </wp:positionH>
          <wp:positionV relativeFrom="page">
            <wp:posOffset>9874285</wp:posOffset>
          </wp:positionV>
          <wp:extent cx="6750070" cy="12618"/>
          <wp:effectExtent l="0" t="0" r="0" b="0"/>
          <wp:wrapNone/>
          <wp:docPr id="2136117707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6117707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50070" cy="126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82.9pt;height:13.95pt;margin-top:2.83pt;margin-left:2.13pt;position:absolute;z-index:251660288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0" w:lineRule="auto"/>
                  <w:jc w:val="right"/>
                  <w:rPr>
                    <w:sz w:val="20"/>
                    <w:szCs w:val="20"/>
                  </w:rPr>
                </w:pPr>
                <w:r>
                  <w:rPr>
                    <w:b/>
                    <w:bCs/>
                    <w:color w:val="0077D2"/>
                    <w:spacing w:val="-18"/>
                    <w:w w:val="96"/>
                    <w:sz w:val="20"/>
                    <w:szCs w:val="20"/>
                  </w:rPr>
                  <w:t>识别风险</w:t>
                </w:r>
                <w:r>
                  <w:rPr>
                    <w:b/>
                    <w:bCs/>
                    <w:color w:val="0077D2"/>
                    <w:spacing w:val="-17"/>
                    <w:w w:val="96"/>
                    <w:sz w:val="20"/>
                    <w:szCs w:val="20"/>
                  </w:rPr>
                  <w:t>，发现价</w:t>
                </w:r>
                <w:r>
                  <w:rPr>
                    <w:b/>
                    <w:bCs/>
                    <w:color w:val="0077D2"/>
                    <w:spacing w:val="-4"/>
                    <w:w w:val="96"/>
                    <w:sz w:val="20"/>
                    <w:szCs w:val="20"/>
                  </w:rPr>
                  <w:t>值</w:t>
                </w:r>
              </w:p>
            </w:txbxContent>
          </v:textbox>
        </v:shape>
      </w:pict>
    </w:r>
    <w:r>
      <w:rPr>
        <w:b/>
        <w:bCs/>
        <w:color w:val="004BAE"/>
        <w:spacing w:val="-23"/>
        <w:sz w:val="20"/>
        <w:szCs w:val="20"/>
      </w:rPr>
      <w:t>请务必阅读末页的免责声明</w:t>
    </w:r>
  </w:p>
  <w:p>
    <w:pPr>
      <w:spacing w:line="177" w:lineRule="auto"/>
      <w:ind w:left="5119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00408A"/>
        <w:spacing w:val="-1"/>
        <w:sz w:val="20"/>
        <w:szCs w:val="20"/>
      </w:rPr>
      <w:t>4/17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5" w:lineRule="auto"/>
      <w:ind w:left="5119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spacing w:val="-8"/>
        <w:sz w:val="21"/>
        <w:szCs w:val="21"/>
      </w:rPr>
      <w:t>5/17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5" w:lineRule="auto"/>
      <w:ind w:left="5119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spacing w:val="-8"/>
        <w:sz w:val="21"/>
        <w:szCs w:val="21"/>
      </w:rPr>
      <w:t>5/17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77" w:line="188" w:lineRule="auto"/>
      <w:jc w:val="right"/>
      <w:rPr>
        <w:rFonts w:ascii="SimHei" w:eastAsia="SimHei" w:hAnsi="SimHei" w:cs="SimHei"/>
        <w:sz w:val="21"/>
        <w:szCs w:val="21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374663</wp:posOffset>
          </wp:positionH>
          <wp:positionV relativeFrom="page">
            <wp:posOffset>9874285</wp:posOffset>
          </wp:positionV>
          <wp:extent cx="6750070" cy="12618"/>
          <wp:effectExtent l="0" t="0" r="0" b="0"/>
          <wp:wrapNone/>
          <wp:docPr id="26" name="IM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 2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50070" cy="126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83.2pt;height:14.15pt;margin-top:2.26pt;margin-left:2.13pt;position:absolute;z-index:251662336" filled="f" stroked="f">
          <o:lock v:ext="edit" aspectratio="f"/>
          <v:textbox inset="0,0,0,0">
            <w:txbxContent>
              <w:p>
                <w:pPr>
                  <w:spacing w:before="19" w:line="213" w:lineRule="auto"/>
                  <w:jc w:val="right"/>
                  <w:rPr>
                    <w:rFonts w:ascii="SimHei" w:eastAsia="SimHei" w:hAnsi="SimHei" w:cs="SimHei"/>
                    <w:sz w:val="21"/>
                    <w:szCs w:val="21"/>
                  </w:rPr>
                </w:pPr>
                <w:r>
                  <w:rPr>
                    <w:rFonts w:ascii="SimHei" w:eastAsia="SimHei" w:hAnsi="SimHei" w:cs="SimHei"/>
                    <w:b/>
                    <w:bCs/>
                    <w:spacing w:val="-19"/>
                    <w:w w:val="93"/>
                    <w:sz w:val="21"/>
                    <w:szCs w:val="21"/>
                  </w:rPr>
                  <w:t>识别风险，发现价</w:t>
                </w:r>
                <w:r>
                  <w:rPr>
                    <w:rFonts w:ascii="SimHei" w:eastAsia="SimHei" w:hAnsi="SimHei" w:cs="SimHei"/>
                    <w:b/>
                    <w:bCs/>
                    <w:spacing w:val="-10"/>
                    <w:w w:val="93"/>
                    <w:sz w:val="21"/>
                    <w:szCs w:val="21"/>
                  </w:rPr>
                  <w:t>值</w:t>
                </w:r>
              </w:p>
            </w:txbxContent>
          </v:textbox>
        </v:shape>
      </w:pict>
    </w:r>
    <w:r>
      <w:rPr>
        <w:rFonts w:ascii="SimHei" w:eastAsia="SimHei" w:hAnsi="SimHei" w:cs="SimHei"/>
        <w:spacing w:val="-23"/>
        <w:w w:val="96"/>
        <w:sz w:val="21"/>
        <w:szCs w:val="21"/>
      </w:rPr>
      <w:t>请</w:t>
    </w:r>
    <w:r>
      <w:rPr>
        <w:rFonts w:ascii="SimHei" w:eastAsia="SimHei" w:hAnsi="SimHei" w:cs="SimHei"/>
        <w:spacing w:val="-22"/>
        <w:w w:val="96"/>
        <w:sz w:val="21"/>
        <w:szCs w:val="21"/>
      </w:rPr>
      <w:t>务必阅读末页的免责声</w:t>
    </w:r>
    <w:r>
      <w:rPr>
        <w:rFonts w:ascii="SimHei" w:eastAsia="SimHei" w:hAnsi="SimHei" w:cs="SimHei"/>
        <w:spacing w:val="-21"/>
        <w:w w:val="96"/>
        <w:sz w:val="21"/>
        <w:szCs w:val="21"/>
      </w:rPr>
      <w:t>明</w:t>
    </w:r>
  </w:p>
  <w:p>
    <w:pPr>
      <w:spacing w:line="215" w:lineRule="auto"/>
      <w:ind w:left="5122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b/>
        <w:bCs/>
        <w:spacing w:val="-11"/>
        <w:sz w:val="21"/>
        <w:szCs w:val="21"/>
      </w:rPr>
      <w:t>6/17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77" w:line="188" w:lineRule="auto"/>
      <w:jc w:val="right"/>
      <w:rPr>
        <w:rFonts w:ascii="SimHei" w:eastAsia="SimHei" w:hAnsi="SimHei" w:cs="SimHei"/>
        <w:sz w:val="21"/>
        <w:szCs w:val="21"/>
      </w:rPr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374663</wp:posOffset>
          </wp:positionH>
          <wp:positionV relativeFrom="page">
            <wp:posOffset>9874285</wp:posOffset>
          </wp:positionV>
          <wp:extent cx="6750070" cy="12618"/>
          <wp:effectExtent l="0" t="0" r="0" b="0"/>
          <wp:wrapNone/>
          <wp:docPr id="1356707941" name="IM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707941" name="IM 2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50070" cy="126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83.2pt;height:14.15pt;margin-top:2.26pt;margin-left:2.13pt;position:absolute;z-index:251664384" filled="f" stroked="f">
          <o:lock v:ext="edit" aspectratio="f"/>
          <v:textbox inset="0,0,0,0">
            <w:txbxContent>
              <w:p>
                <w:pPr>
                  <w:spacing w:before="19" w:line="213" w:lineRule="auto"/>
                  <w:jc w:val="right"/>
                  <w:rPr>
                    <w:rFonts w:ascii="SimHei" w:eastAsia="SimHei" w:hAnsi="SimHei" w:cs="SimHei"/>
                    <w:sz w:val="21"/>
                    <w:szCs w:val="21"/>
                  </w:rPr>
                </w:pPr>
                <w:r>
                  <w:rPr>
                    <w:rFonts w:ascii="SimHei" w:eastAsia="SimHei" w:hAnsi="SimHei" w:cs="SimHei"/>
                    <w:b/>
                    <w:bCs/>
                    <w:spacing w:val="-19"/>
                    <w:w w:val="93"/>
                    <w:sz w:val="21"/>
                    <w:szCs w:val="21"/>
                  </w:rPr>
                  <w:t>识别风险，发现价</w:t>
                </w:r>
                <w:r>
                  <w:rPr>
                    <w:rFonts w:ascii="SimHei" w:eastAsia="SimHei" w:hAnsi="SimHei" w:cs="SimHei"/>
                    <w:b/>
                    <w:bCs/>
                    <w:spacing w:val="-10"/>
                    <w:w w:val="93"/>
                    <w:sz w:val="21"/>
                    <w:szCs w:val="21"/>
                  </w:rPr>
                  <w:t>值</w:t>
                </w:r>
              </w:p>
            </w:txbxContent>
          </v:textbox>
        </v:shape>
      </w:pict>
    </w:r>
    <w:r>
      <w:rPr>
        <w:rFonts w:ascii="SimHei" w:eastAsia="SimHei" w:hAnsi="SimHei" w:cs="SimHei"/>
        <w:spacing w:val="-23"/>
        <w:w w:val="96"/>
        <w:sz w:val="21"/>
        <w:szCs w:val="21"/>
      </w:rPr>
      <w:t>请</w:t>
    </w:r>
    <w:r>
      <w:rPr>
        <w:rFonts w:ascii="SimHei" w:eastAsia="SimHei" w:hAnsi="SimHei" w:cs="SimHei"/>
        <w:spacing w:val="-22"/>
        <w:w w:val="96"/>
        <w:sz w:val="21"/>
        <w:szCs w:val="21"/>
      </w:rPr>
      <w:t>务必阅读末页的免责声</w:t>
    </w:r>
    <w:r>
      <w:rPr>
        <w:rFonts w:ascii="SimHei" w:eastAsia="SimHei" w:hAnsi="SimHei" w:cs="SimHei"/>
        <w:spacing w:val="-21"/>
        <w:w w:val="96"/>
        <w:sz w:val="21"/>
        <w:szCs w:val="21"/>
      </w:rPr>
      <w:t>明</w:t>
    </w:r>
  </w:p>
  <w:p>
    <w:pPr>
      <w:spacing w:line="215" w:lineRule="auto"/>
      <w:ind w:left="5122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b/>
        <w:bCs/>
        <w:spacing w:val="-11"/>
        <w:sz w:val="21"/>
        <w:szCs w:val="21"/>
      </w:rPr>
      <w:t>6/17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22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5"/>
        <w:sz w:val="19"/>
        <w:szCs w:val="19"/>
      </w:rPr>
      <w:t>7/17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22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5"/>
        <w:sz w:val="19"/>
        <w:szCs w:val="19"/>
      </w:rPr>
      <w:t>7/17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22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5"/>
        <w:sz w:val="19"/>
        <w:szCs w:val="19"/>
      </w:rPr>
      <w:t>7/17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22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5"/>
        <w:sz w:val="19"/>
        <w:szCs w:val="19"/>
      </w:rPr>
      <w:t>7/17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22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5"/>
        <w:sz w:val="19"/>
        <w:szCs w:val="19"/>
      </w:rPr>
      <w:t>7/17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23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4"/>
        <w:sz w:val="19"/>
        <w:szCs w:val="19"/>
      </w:rPr>
      <w:t>8/17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23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4"/>
        <w:sz w:val="19"/>
        <w:szCs w:val="19"/>
      </w:rPr>
      <w:t>8/17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23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4"/>
        <w:sz w:val="19"/>
        <w:szCs w:val="19"/>
      </w:rPr>
      <w:t>8/17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23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4"/>
        <w:sz w:val="19"/>
        <w:szCs w:val="19"/>
      </w:rPr>
      <w:t>8/17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23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4"/>
        <w:sz w:val="19"/>
        <w:szCs w:val="19"/>
      </w:rPr>
      <w:t>8/17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38" w:line="398" w:lineRule="exact"/>
      <w:ind w:left="7983"/>
      <w:rPr>
        <w:rFonts w:ascii="SimHei" w:eastAsia="SimHei" w:hAnsi="SimHei" w:cs="SimHei"/>
        <w:sz w:val="21"/>
        <w:szCs w:val="21"/>
      </w:rPr>
    </w:pPr>
    <w:r>
      <w:pict>
        <v:rect id="_x0000_s2049" style="width:521.35pt;height:0.45pt;margin-top:40.26pt;margin-left:4pt;position:absolute;z-index:251659264" filled="t" fillcolor="black" stroked="f"/>
      </w:pict>
    </w: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406427</wp:posOffset>
          </wp:positionH>
          <wp:positionV relativeFrom="page">
            <wp:posOffset>527077</wp:posOffset>
          </wp:positionV>
          <wp:extent cx="1543048" cy="476177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43048" cy="4761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eastAsia="SimHei" w:hAnsi="SimHei" w:cs="SimHei"/>
        <w:b/>
        <w:bCs/>
        <w:spacing w:val="15"/>
        <w:position w:val="14"/>
        <w:sz w:val="21"/>
        <w:szCs w:val="21"/>
      </w:rPr>
      <w:t>投资策略周报</w:t>
    </w:r>
    <w:r>
      <w:rPr>
        <w:rFonts w:ascii="SimHei" w:eastAsia="SimHei" w:hAnsi="SimHei" w:cs="SimHei"/>
        <w:spacing w:val="-28"/>
        <w:position w:val="14"/>
        <w:sz w:val="21"/>
        <w:szCs w:val="21"/>
      </w:rPr>
      <w:t xml:space="preserve"> </w:t>
    </w:r>
    <w:r>
      <w:rPr>
        <w:rFonts w:ascii="SimHei" w:eastAsia="SimHei" w:hAnsi="SimHei" w:cs="SimHei"/>
        <w:b/>
        <w:bCs/>
        <w:spacing w:val="15"/>
        <w:position w:val="14"/>
        <w:sz w:val="21"/>
        <w:szCs w:val="21"/>
      </w:rPr>
      <w:t>|基础化工</w:t>
    </w:r>
  </w:p>
  <w:p>
    <w:pPr>
      <w:spacing w:line="184" w:lineRule="auto"/>
      <w:ind w:left="8800"/>
      <w:rPr>
        <w:rFonts w:ascii="SimHei" w:eastAsia="SimHei" w:hAnsi="SimHei" w:cs="SimHei"/>
        <w:sz w:val="17"/>
        <w:szCs w:val="17"/>
      </w:rPr>
    </w:pPr>
    <w:r>
      <w:rPr>
        <w:rFonts w:ascii="SimHei" w:eastAsia="SimHei" w:hAnsi="SimHei" w:cs="SimHei"/>
        <w:b/>
        <w:bCs/>
        <w:spacing w:val="-8"/>
        <w:sz w:val="17"/>
        <w:szCs w:val="17"/>
      </w:rPr>
      <w:t>证</w:t>
    </w:r>
    <w:r>
      <w:rPr>
        <w:rFonts w:ascii="SimHei" w:eastAsia="SimHei" w:hAnsi="SimHei" w:cs="SimHei"/>
        <w:spacing w:val="67"/>
        <w:w w:val="101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券</w:t>
    </w:r>
    <w:r>
      <w:rPr>
        <w:rFonts w:ascii="SimHei" w:eastAsia="SimHei" w:hAnsi="SimHei" w:cs="SimHei"/>
        <w:spacing w:val="58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研</w:t>
    </w:r>
    <w:r>
      <w:rPr>
        <w:rFonts w:ascii="SimHei" w:eastAsia="SimHei" w:hAnsi="SimHei" w:cs="SimHei"/>
        <w:spacing w:val="59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究</w:t>
    </w:r>
    <w:r>
      <w:rPr>
        <w:rFonts w:ascii="SimHei" w:eastAsia="SimHei" w:hAnsi="SimHei" w:cs="SimHei"/>
        <w:spacing w:val="59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报</w:t>
    </w:r>
    <w:r>
      <w:rPr>
        <w:rFonts w:ascii="SimHei" w:eastAsia="SimHei" w:hAnsi="SimHei" w:cs="SimHei"/>
        <w:spacing w:val="63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38" w:line="398" w:lineRule="exact"/>
      <w:ind w:left="7983"/>
      <w:rPr>
        <w:rFonts w:ascii="SimHei" w:eastAsia="SimHei" w:hAnsi="SimHei" w:cs="SimHei"/>
        <w:sz w:val="21"/>
        <w:szCs w:val="21"/>
      </w:rPr>
    </w:pPr>
    <w:r>
      <w:pict>
        <v:rect id="_x0000_s2050" style="width:521.35pt;height:0.45pt;margin-top:40.26pt;margin-left:4pt;position:absolute;z-index:251661312" filled="t" fillcolor="black" stroked="f"/>
      </w:pict>
    </w: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406427</wp:posOffset>
          </wp:positionH>
          <wp:positionV relativeFrom="page">
            <wp:posOffset>527077</wp:posOffset>
          </wp:positionV>
          <wp:extent cx="1543048" cy="476177"/>
          <wp:effectExtent l="0" t="0" r="0" b="0"/>
          <wp:wrapNone/>
          <wp:docPr id="1676048054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048054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43048" cy="4761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eastAsia="SimHei" w:hAnsi="SimHei" w:cs="SimHei"/>
        <w:b/>
        <w:bCs/>
        <w:spacing w:val="15"/>
        <w:position w:val="14"/>
        <w:sz w:val="21"/>
        <w:szCs w:val="21"/>
      </w:rPr>
      <w:t>投资策略周报</w:t>
    </w:r>
    <w:r>
      <w:rPr>
        <w:rFonts w:ascii="SimHei" w:eastAsia="SimHei" w:hAnsi="SimHei" w:cs="SimHei"/>
        <w:spacing w:val="-28"/>
        <w:position w:val="14"/>
        <w:sz w:val="21"/>
        <w:szCs w:val="21"/>
      </w:rPr>
      <w:t xml:space="preserve"> </w:t>
    </w:r>
    <w:r>
      <w:rPr>
        <w:rFonts w:ascii="SimHei" w:eastAsia="SimHei" w:hAnsi="SimHei" w:cs="SimHei"/>
        <w:b/>
        <w:bCs/>
        <w:spacing w:val="15"/>
        <w:position w:val="14"/>
        <w:sz w:val="21"/>
        <w:szCs w:val="21"/>
      </w:rPr>
      <w:t>|基础化工</w:t>
    </w:r>
  </w:p>
  <w:p>
    <w:pPr>
      <w:spacing w:line="184" w:lineRule="auto"/>
      <w:ind w:left="8800"/>
      <w:rPr>
        <w:rFonts w:ascii="SimHei" w:eastAsia="SimHei" w:hAnsi="SimHei" w:cs="SimHei"/>
        <w:sz w:val="17"/>
        <w:szCs w:val="17"/>
      </w:rPr>
    </w:pPr>
    <w:r>
      <w:rPr>
        <w:rFonts w:ascii="SimHei" w:eastAsia="SimHei" w:hAnsi="SimHei" w:cs="SimHei"/>
        <w:b/>
        <w:bCs/>
        <w:spacing w:val="-8"/>
        <w:sz w:val="17"/>
        <w:szCs w:val="17"/>
      </w:rPr>
      <w:t>证</w:t>
    </w:r>
    <w:r>
      <w:rPr>
        <w:rFonts w:ascii="SimHei" w:eastAsia="SimHei" w:hAnsi="SimHei" w:cs="SimHei"/>
        <w:spacing w:val="67"/>
        <w:w w:val="101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券</w:t>
    </w:r>
    <w:r>
      <w:rPr>
        <w:rFonts w:ascii="SimHei" w:eastAsia="SimHei" w:hAnsi="SimHei" w:cs="SimHei"/>
        <w:spacing w:val="58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研</w:t>
    </w:r>
    <w:r>
      <w:rPr>
        <w:rFonts w:ascii="SimHei" w:eastAsia="SimHei" w:hAnsi="SimHei" w:cs="SimHei"/>
        <w:spacing w:val="59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究</w:t>
    </w:r>
    <w:r>
      <w:rPr>
        <w:rFonts w:ascii="SimHei" w:eastAsia="SimHei" w:hAnsi="SimHei" w:cs="SimHei"/>
        <w:spacing w:val="59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报</w:t>
    </w:r>
    <w:r>
      <w:rPr>
        <w:rFonts w:ascii="SimHei" w:eastAsia="SimHei" w:hAnsi="SimHei" w:cs="SimHei"/>
        <w:spacing w:val="63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38" w:line="398" w:lineRule="exact"/>
      <w:ind w:left="7983"/>
      <w:rPr>
        <w:rFonts w:ascii="SimHei" w:eastAsia="SimHei" w:hAnsi="SimHei" w:cs="SimHei"/>
        <w:sz w:val="21"/>
        <w:szCs w:val="21"/>
      </w:rPr>
    </w:pPr>
    <w:r>
      <w:pict>
        <v:rect id="_x0000_s2051" style="width:521.35pt;height:0.45pt;margin-top:40.26pt;margin-left:4pt;position:absolute;z-index:251663360" filled="t" fillcolor="black" stroked="f"/>
      </w:pict>
    </w: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406427</wp:posOffset>
          </wp:positionH>
          <wp:positionV relativeFrom="page">
            <wp:posOffset>527077</wp:posOffset>
          </wp:positionV>
          <wp:extent cx="1543048" cy="476177"/>
          <wp:effectExtent l="0" t="0" r="0" b="0"/>
          <wp:wrapNone/>
          <wp:docPr id="489319694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9319694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43048" cy="4761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eastAsia="SimHei" w:hAnsi="SimHei" w:cs="SimHei"/>
        <w:b/>
        <w:bCs/>
        <w:spacing w:val="15"/>
        <w:position w:val="14"/>
        <w:sz w:val="21"/>
        <w:szCs w:val="21"/>
      </w:rPr>
      <w:t>投资策略周报</w:t>
    </w:r>
    <w:r>
      <w:rPr>
        <w:rFonts w:ascii="SimHei" w:eastAsia="SimHei" w:hAnsi="SimHei" w:cs="SimHei"/>
        <w:spacing w:val="-28"/>
        <w:position w:val="14"/>
        <w:sz w:val="21"/>
        <w:szCs w:val="21"/>
      </w:rPr>
      <w:t xml:space="preserve"> </w:t>
    </w:r>
    <w:r>
      <w:rPr>
        <w:rFonts w:ascii="SimHei" w:eastAsia="SimHei" w:hAnsi="SimHei" w:cs="SimHei"/>
        <w:b/>
        <w:bCs/>
        <w:spacing w:val="15"/>
        <w:position w:val="14"/>
        <w:sz w:val="21"/>
        <w:szCs w:val="21"/>
      </w:rPr>
      <w:t>|基础化工</w:t>
    </w:r>
  </w:p>
  <w:p>
    <w:pPr>
      <w:spacing w:line="184" w:lineRule="auto"/>
      <w:ind w:left="8800"/>
      <w:rPr>
        <w:rFonts w:ascii="SimHei" w:eastAsia="SimHei" w:hAnsi="SimHei" w:cs="SimHei"/>
        <w:sz w:val="17"/>
        <w:szCs w:val="17"/>
      </w:rPr>
    </w:pPr>
    <w:r>
      <w:rPr>
        <w:rFonts w:ascii="SimHei" w:eastAsia="SimHei" w:hAnsi="SimHei" w:cs="SimHei"/>
        <w:b/>
        <w:bCs/>
        <w:spacing w:val="-8"/>
        <w:sz w:val="17"/>
        <w:szCs w:val="17"/>
      </w:rPr>
      <w:t>证</w:t>
    </w:r>
    <w:r>
      <w:rPr>
        <w:rFonts w:ascii="SimHei" w:eastAsia="SimHei" w:hAnsi="SimHei" w:cs="SimHei"/>
        <w:spacing w:val="67"/>
        <w:w w:val="101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券</w:t>
    </w:r>
    <w:r>
      <w:rPr>
        <w:rFonts w:ascii="SimHei" w:eastAsia="SimHei" w:hAnsi="SimHei" w:cs="SimHei"/>
        <w:spacing w:val="58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研</w:t>
    </w:r>
    <w:r>
      <w:rPr>
        <w:rFonts w:ascii="SimHei" w:eastAsia="SimHei" w:hAnsi="SimHei" w:cs="SimHei"/>
        <w:spacing w:val="59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究</w:t>
    </w:r>
    <w:r>
      <w:rPr>
        <w:rFonts w:ascii="SimHei" w:eastAsia="SimHei" w:hAnsi="SimHei" w:cs="SimHei"/>
        <w:spacing w:val="59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报</w:t>
    </w:r>
    <w:r>
      <w:rPr>
        <w:rFonts w:ascii="SimHei" w:eastAsia="SimHei" w:hAnsi="SimHei" w:cs="SimHei"/>
        <w:spacing w:val="63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38" w:line="398" w:lineRule="exact"/>
      <w:ind w:left="7983"/>
      <w:rPr>
        <w:rFonts w:ascii="SimHei" w:eastAsia="SimHei" w:hAnsi="SimHei" w:cs="SimHei"/>
        <w:sz w:val="21"/>
        <w:szCs w:val="21"/>
      </w:rPr>
    </w:pPr>
    <w:r>
      <w:pict>
        <v:rect id="_x0000_s2052" style="width:521.35pt;height:0.45pt;margin-top:40.26pt;margin-left:4pt;position:absolute;z-index:251665408" filled="t" fillcolor="black" stroked="f"/>
      </w:pict>
    </w: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406427</wp:posOffset>
          </wp:positionH>
          <wp:positionV relativeFrom="page">
            <wp:posOffset>527077</wp:posOffset>
          </wp:positionV>
          <wp:extent cx="1543048" cy="476177"/>
          <wp:effectExtent l="0" t="0" r="0" b="0"/>
          <wp:wrapNone/>
          <wp:docPr id="1078929086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8929086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43048" cy="4761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eastAsia="SimHei" w:hAnsi="SimHei" w:cs="SimHei"/>
        <w:b/>
        <w:bCs/>
        <w:spacing w:val="15"/>
        <w:position w:val="14"/>
        <w:sz w:val="21"/>
        <w:szCs w:val="21"/>
      </w:rPr>
      <w:t>投资策略周报</w:t>
    </w:r>
    <w:r>
      <w:rPr>
        <w:rFonts w:ascii="SimHei" w:eastAsia="SimHei" w:hAnsi="SimHei" w:cs="SimHei"/>
        <w:spacing w:val="-28"/>
        <w:position w:val="14"/>
        <w:sz w:val="21"/>
        <w:szCs w:val="21"/>
      </w:rPr>
      <w:t xml:space="preserve"> </w:t>
    </w:r>
    <w:r>
      <w:rPr>
        <w:rFonts w:ascii="SimHei" w:eastAsia="SimHei" w:hAnsi="SimHei" w:cs="SimHei"/>
        <w:b/>
        <w:bCs/>
        <w:spacing w:val="15"/>
        <w:position w:val="14"/>
        <w:sz w:val="21"/>
        <w:szCs w:val="21"/>
      </w:rPr>
      <w:t>|基础化工</w:t>
    </w:r>
  </w:p>
  <w:p>
    <w:pPr>
      <w:spacing w:line="184" w:lineRule="auto"/>
      <w:ind w:left="8800"/>
      <w:rPr>
        <w:rFonts w:ascii="SimHei" w:eastAsia="SimHei" w:hAnsi="SimHei" w:cs="SimHei"/>
        <w:sz w:val="17"/>
        <w:szCs w:val="17"/>
      </w:rPr>
    </w:pPr>
    <w:r>
      <w:rPr>
        <w:rFonts w:ascii="SimHei" w:eastAsia="SimHei" w:hAnsi="SimHei" w:cs="SimHei"/>
        <w:b/>
        <w:bCs/>
        <w:spacing w:val="-8"/>
        <w:sz w:val="17"/>
        <w:szCs w:val="17"/>
      </w:rPr>
      <w:t>证</w:t>
    </w:r>
    <w:r>
      <w:rPr>
        <w:rFonts w:ascii="SimHei" w:eastAsia="SimHei" w:hAnsi="SimHei" w:cs="SimHei"/>
        <w:spacing w:val="67"/>
        <w:w w:val="101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券</w:t>
    </w:r>
    <w:r>
      <w:rPr>
        <w:rFonts w:ascii="SimHei" w:eastAsia="SimHei" w:hAnsi="SimHei" w:cs="SimHei"/>
        <w:spacing w:val="58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研</w:t>
    </w:r>
    <w:r>
      <w:rPr>
        <w:rFonts w:ascii="SimHei" w:eastAsia="SimHei" w:hAnsi="SimHei" w:cs="SimHei"/>
        <w:spacing w:val="59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究</w:t>
    </w:r>
    <w:r>
      <w:rPr>
        <w:rFonts w:ascii="SimHei" w:eastAsia="SimHei" w:hAnsi="SimHei" w:cs="SimHei"/>
        <w:spacing w:val="59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报</w:t>
    </w:r>
    <w:r>
      <w:rPr>
        <w:rFonts w:ascii="SimHei" w:eastAsia="SimHei" w:hAnsi="SimHei" w:cs="SimHei"/>
        <w:spacing w:val="63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38" w:line="398" w:lineRule="exact"/>
      <w:ind w:left="7983"/>
      <w:rPr>
        <w:rFonts w:ascii="SimHei" w:eastAsia="SimHei" w:hAnsi="SimHei" w:cs="SimHei"/>
        <w:sz w:val="21"/>
        <w:szCs w:val="21"/>
      </w:rPr>
    </w:pPr>
    <w:r>
      <w:pict>
        <v:rect id="_x0000_s2053" style="width:521.35pt;height:0.45pt;margin-top:40.26pt;margin-left:4pt;position:absolute;z-index:251667456" filled="t" fillcolor="black" stroked="f"/>
      </w:pict>
    </w: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406427</wp:posOffset>
          </wp:positionH>
          <wp:positionV relativeFrom="page">
            <wp:posOffset>527077</wp:posOffset>
          </wp:positionV>
          <wp:extent cx="1543048" cy="476177"/>
          <wp:effectExtent l="0" t="0" r="0" b="0"/>
          <wp:wrapNone/>
          <wp:docPr id="616165440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165440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43048" cy="4761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eastAsia="SimHei" w:hAnsi="SimHei" w:cs="SimHei"/>
        <w:b/>
        <w:bCs/>
        <w:spacing w:val="15"/>
        <w:position w:val="14"/>
        <w:sz w:val="21"/>
        <w:szCs w:val="21"/>
      </w:rPr>
      <w:t>投资策略周报</w:t>
    </w:r>
    <w:r>
      <w:rPr>
        <w:rFonts w:ascii="SimHei" w:eastAsia="SimHei" w:hAnsi="SimHei" w:cs="SimHei"/>
        <w:spacing w:val="-28"/>
        <w:position w:val="14"/>
        <w:sz w:val="21"/>
        <w:szCs w:val="21"/>
      </w:rPr>
      <w:t xml:space="preserve"> </w:t>
    </w:r>
    <w:r>
      <w:rPr>
        <w:rFonts w:ascii="SimHei" w:eastAsia="SimHei" w:hAnsi="SimHei" w:cs="SimHei"/>
        <w:b/>
        <w:bCs/>
        <w:spacing w:val="15"/>
        <w:position w:val="14"/>
        <w:sz w:val="21"/>
        <w:szCs w:val="21"/>
      </w:rPr>
      <w:t>|基础化工</w:t>
    </w:r>
  </w:p>
  <w:p>
    <w:pPr>
      <w:spacing w:line="184" w:lineRule="auto"/>
      <w:ind w:left="8800"/>
      <w:rPr>
        <w:rFonts w:ascii="SimHei" w:eastAsia="SimHei" w:hAnsi="SimHei" w:cs="SimHei"/>
        <w:sz w:val="17"/>
        <w:szCs w:val="17"/>
      </w:rPr>
    </w:pPr>
    <w:r>
      <w:rPr>
        <w:rFonts w:ascii="SimHei" w:eastAsia="SimHei" w:hAnsi="SimHei" w:cs="SimHei"/>
        <w:b/>
        <w:bCs/>
        <w:spacing w:val="-8"/>
        <w:sz w:val="17"/>
        <w:szCs w:val="17"/>
      </w:rPr>
      <w:t>证</w:t>
    </w:r>
    <w:r>
      <w:rPr>
        <w:rFonts w:ascii="SimHei" w:eastAsia="SimHei" w:hAnsi="SimHei" w:cs="SimHei"/>
        <w:spacing w:val="67"/>
        <w:w w:val="101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券</w:t>
    </w:r>
    <w:r>
      <w:rPr>
        <w:rFonts w:ascii="SimHei" w:eastAsia="SimHei" w:hAnsi="SimHei" w:cs="SimHei"/>
        <w:spacing w:val="58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研</w:t>
    </w:r>
    <w:r>
      <w:rPr>
        <w:rFonts w:ascii="SimHei" w:eastAsia="SimHei" w:hAnsi="SimHei" w:cs="SimHei"/>
        <w:spacing w:val="59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究</w:t>
    </w:r>
    <w:r>
      <w:rPr>
        <w:rFonts w:ascii="SimHei" w:eastAsia="SimHei" w:hAnsi="SimHei" w:cs="SimHei"/>
        <w:spacing w:val="59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报</w:t>
    </w:r>
    <w:r>
      <w:rPr>
        <w:rFonts w:ascii="SimHei" w:eastAsia="SimHei" w:hAnsi="SimHei" w:cs="SimHei"/>
        <w:spacing w:val="63"/>
        <w:sz w:val="17"/>
        <w:szCs w:val="17"/>
      </w:rPr>
      <w:t xml:space="preserve"> </w:t>
    </w:r>
    <w:r>
      <w:rPr>
        <w:rFonts w:ascii="SimHei" w:eastAsia="SimHei" w:hAnsi="SimHei" w:cs="SimHei"/>
        <w:b/>
        <w:bCs/>
        <w:spacing w:val="-8"/>
        <w:sz w:val="17"/>
        <w:szCs w:val="17"/>
      </w:rPr>
      <w:t>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8" w:lineRule="auto"/>
      <w:rPr>
        <w:rFonts w:ascii="Arial"/>
        <w:sz w:val="21"/>
      </w:rPr>
    </w:pPr>
    <w:r>
      <w:pict>
        <v:rect id="_x0000_s2054" style="width:530.55pt;height:0.5pt;margin-top:68pt;margin-left:30.5pt;mso-position-horizontal-relative:page;mso-position-vertical-relative:page;position:absolute;z-index:251669504" o:allowincell="f" filled="t" fillcolor="blue" stroked="f"/>
      </w:pict>
    </w: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25559" cy="400039"/>
          <wp:effectExtent l="0" t="0" r="0" b="0"/>
          <wp:wrapNone/>
          <wp:docPr id="1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5559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68" w:line="222" w:lineRule="auto"/>
      <w:ind w:left="8433"/>
    </w:pPr>
    <w:r>
      <w:rPr>
        <w:b/>
        <w:bCs/>
        <w:color w:val="0085EB"/>
        <w:spacing w:val="-4"/>
      </w:rPr>
      <w:t>投资策略周报|基础化工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8" w:lineRule="auto"/>
      <w:rPr>
        <w:rFonts w:ascii="Arial"/>
        <w:sz w:val="21"/>
      </w:rPr>
    </w:pPr>
    <w:r>
      <w:pict>
        <v:rect id="_x0000_s2055" style="width:530.55pt;height:0.5pt;margin-top:68pt;margin-left:30.5pt;mso-position-horizontal-relative:page;mso-position-vertical-relative:page;position:absolute;z-index:251671552" o:allowincell="f" filled="t" fillcolor="blue" stroked="f"/>
      </w:pict>
    </w:r>
    <w:r>
      <w:drawing>
        <wp:anchor distT="0" distB="0" distL="0" distR="0" simplePos="0" relativeHeight="251670528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25559" cy="400039"/>
          <wp:effectExtent l="0" t="0" r="0" b="0"/>
          <wp:wrapNone/>
          <wp:docPr id="1610460441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460441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5559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68" w:line="222" w:lineRule="auto"/>
      <w:ind w:left="8433"/>
    </w:pPr>
    <w:r>
      <w:rPr>
        <w:b/>
        <w:bCs/>
        <w:color w:val="0085EB"/>
        <w:spacing w:val="-4"/>
      </w:rPr>
      <w:t>投资策略周报|基础化工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8" w:lineRule="auto"/>
      <w:rPr>
        <w:rFonts w:ascii="Arial"/>
        <w:sz w:val="21"/>
      </w:rPr>
    </w:pPr>
    <w:r>
      <w:pict>
        <v:rect id="_x0000_s2056" style="width:530.55pt;height:0.5pt;margin-top:68pt;margin-left:30.5pt;mso-position-horizontal-relative:page;mso-position-vertical-relative:page;position:absolute;z-index:251673600" o:allowincell="f" filled="t" fillcolor="blue" stroked="f"/>
      </w:pict>
    </w:r>
    <w:r>
      <w:drawing>
        <wp:anchor distT="0" distB="0" distL="0" distR="0" simplePos="0" relativeHeight="251672576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25559" cy="400039"/>
          <wp:effectExtent l="0" t="0" r="0" b="0"/>
          <wp:wrapNone/>
          <wp:docPr id="24672338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6723384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5559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68" w:line="222" w:lineRule="auto"/>
      <w:ind w:left="8433"/>
    </w:pPr>
    <w:r>
      <w:rPr>
        <w:b/>
        <w:bCs/>
        <w:color w:val="0085EB"/>
        <w:spacing w:val="-4"/>
      </w:rPr>
      <w:t>投资策略周报|基础化工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71" w:lineRule="auto"/>
      <w:rPr>
        <w:rFonts w:ascii="Arial"/>
        <w:sz w:val="21"/>
      </w:rPr>
    </w:pPr>
    <w:r>
      <w:pict>
        <v:rect id="_x0000_s2057" style="width:530.55pt;height:1.05pt;margin-top:68pt;margin-left:30.5pt;mso-position-horizontal-relative:page;mso-position-vertical-relative:page;position:absolute;z-index:251675648" o:allowincell="f" filled="t" fillcolor="aqua" stroked="f"/>
      </w:pict>
    </w:r>
    <w:r>
      <w:drawing>
        <wp:anchor distT="0" distB="0" distL="0" distR="0" simplePos="0" relativeHeight="251674624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25559" cy="400039"/>
          <wp:effectExtent l="0" t="0" r="0" b="0"/>
          <wp:wrapNone/>
          <wp:docPr id="18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5559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65" w:line="222" w:lineRule="auto"/>
      <w:ind w:left="8432"/>
      <w:rPr>
        <w:sz w:val="20"/>
        <w:szCs w:val="20"/>
      </w:rPr>
    </w:pPr>
    <w:r>
      <w:rPr>
        <w:b/>
        <w:bCs/>
        <w:color w:val="0085EB"/>
        <w:spacing w:val="5"/>
        <w:sz w:val="20"/>
        <w:szCs w:val="20"/>
      </w:rPr>
      <w:t>投资策略周报|基础化工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71" w:lineRule="auto"/>
      <w:rPr>
        <w:rFonts w:ascii="Arial"/>
        <w:sz w:val="21"/>
      </w:rPr>
    </w:pPr>
    <w:r>
      <w:pict>
        <v:rect id="_x0000_s2059" style="width:530.55pt;height:1.05pt;margin-top:68pt;margin-left:30.5pt;mso-position-horizontal-relative:page;mso-position-vertical-relative:page;position:absolute;z-index:251677696" o:allowincell="f" filled="t" fillcolor="aqua" stroked="f"/>
      </w:pict>
    </w:r>
    <w:r>
      <w:drawing>
        <wp:anchor distT="0" distB="0" distL="0" distR="0" simplePos="0" relativeHeight="251676672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25559" cy="400039"/>
          <wp:effectExtent l="0" t="0" r="0" b="0"/>
          <wp:wrapNone/>
          <wp:docPr id="593010451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3010451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5559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65" w:line="222" w:lineRule="auto"/>
      <w:ind w:left="8432"/>
      <w:rPr>
        <w:sz w:val="20"/>
        <w:szCs w:val="20"/>
      </w:rPr>
    </w:pPr>
    <w:r>
      <w:rPr>
        <w:b/>
        <w:bCs/>
        <w:color w:val="0085EB"/>
        <w:spacing w:val="5"/>
        <w:sz w:val="20"/>
        <w:szCs w:val="20"/>
      </w:rPr>
      <w:t>投资策略周报|基础化工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8" w:lineRule="auto"/>
      <w:rPr>
        <w:rFonts w:ascii="Arial"/>
        <w:sz w:val="21"/>
      </w:rPr>
    </w:pPr>
    <w:r>
      <w:pict>
        <v:rect id="_x0000_s2061" style="width:531pt;height:1.05pt;margin-top:68pt;margin-left:31pt;mso-position-horizontal-relative:page;mso-position-vertical-relative:page;position:absolute;z-index:251679744" o:allowincell="f" filled="t" fillcolor="aqua" stroked="f"/>
      </w:pict>
    </w:r>
    <w:r>
      <w:drawing>
        <wp:anchor distT="0" distB="0" distL="0" distR="0" simplePos="0" relativeHeight="251678720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31912" cy="400039"/>
          <wp:effectExtent l="0" t="0" r="0" b="0"/>
          <wp:wrapNone/>
          <wp:docPr id="22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191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8" w:line="217" w:lineRule="auto"/>
      <w:ind w:left="8442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b/>
        <w:bCs/>
        <w:spacing w:val="-5"/>
        <w:sz w:val="21"/>
        <w:szCs w:val="21"/>
      </w:rPr>
      <w:t>投资策略周报|基础化工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8" w:lineRule="auto"/>
      <w:rPr>
        <w:rFonts w:ascii="Arial"/>
        <w:sz w:val="21"/>
      </w:rPr>
    </w:pPr>
    <w:r>
      <w:pict>
        <v:rect id="_x0000_s2062" style="width:531pt;height:1.05pt;margin-top:68pt;margin-left:31pt;mso-position-horizontal-relative:page;mso-position-vertical-relative:page;position:absolute;z-index:251681792" o:allowincell="f" filled="t" fillcolor="aqua" stroked="f"/>
      </w:pict>
    </w:r>
    <w:r>
      <w:drawing>
        <wp:anchor distT="0" distB="0" distL="0" distR="0" simplePos="0" relativeHeight="251680768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31912" cy="400039"/>
          <wp:effectExtent l="0" t="0" r="0" b="0"/>
          <wp:wrapNone/>
          <wp:docPr id="848859647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8859647" name="IM 2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191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8" w:line="217" w:lineRule="auto"/>
      <w:ind w:left="8442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b/>
        <w:bCs/>
        <w:spacing w:val="-5"/>
        <w:sz w:val="21"/>
        <w:szCs w:val="21"/>
      </w:rPr>
      <w:t>投资策略周报|基础化工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61" w:lineRule="auto"/>
      <w:rPr>
        <w:rFonts w:ascii="Arial"/>
        <w:sz w:val="21"/>
      </w:rPr>
    </w:pPr>
    <w:r>
      <w:pict>
        <v:rect id="_x0000_s2063" style="width:531pt;height:1.05pt;margin-top:68pt;margin-left:31pt;mso-position-horizontal-relative:page;mso-position-vertical-relative:page;position:absolute;z-index:251683840" o:allowincell="f" filled="t" fillcolor="aqua" stroked="f"/>
      </w:pict>
    </w:r>
    <w:r>
      <w:drawing>
        <wp:anchor distT="0" distB="0" distL="0" distR="0" simplePos="0" relativeHeight="251682816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31912" cy="400039"/>
          <wp:effectExtent l="0" t="0" r="0" b="0"/>
          <wp:wrapNone/>
          <wp:docPr id="24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191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8" w:line="217" w:lineRule="auto"/>
      <w:ind w:left="8440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spacing w:val="-1"/>
        <w:sz w:val="21"/>
        <w:szCs w:val="21"/>
      </w:rPr>
      <w:t>投资策略周报|基础化工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61" w:lineRule="auto"/>
      <w:rPr>
        <w:rFonts w:ascii="Arial"/>
        <w:sz w:val="21"/>
      </w:rPr>
    </w:pPr>
    <w:r>
      <w:pict>
        <v:rect id="_x0000_s2065" style="width:531pt;height:1.05pt;margin-top:68pt;margin-left:31pt;mso-position-horizontal-relative:page;mso-position-vertical-relative:page;position:absolute;z-index:251685888" o:allowincell="f" filled="t" fillcolor="aqua" stroked="f"/>
      </w:pict>
    </w:r>
    <w:r>
      <w:drawing>
        <wp:anchor distT="0" distB="0" distL="0" distR="0" simplePos="0" relativeHeight="251684864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31912" cy="400039"/>
          <wp:effectExtent l="0" t="0" r="0" b="0"/>
          <wp:wrapNone/>
          <wp:docPr id="851254491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1254491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191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8" w:line="217" w:lineRule="auto"/>
      <w:ind w:left="8440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spacing w:val="-1"/>
        <w:sz w:val="21"/>
        <w:szCs w:val="21"/>
      </w:rPr>
      <w:t>投资策略周报|基础化工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KaiTi" w:eastAsia="KaiTi" w:hAnsi="KaiTi" w:cs="KaiTi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KaiTi" w:eastAsia="KaiTi" w:hAnsi="KaiTi" w:cs="KaiTi"/>
      <w:sz w:val="17"/>
      <w:szCs w:val="17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image" Target="media/image6.jpeg" /><Relationship Id="rId15" Type="http://schemas.openxmlformats.org/officeDocument/2006/relationships/header" Target="header4.xml" /><Relationship Id="rId16" Type="http://schemas.openxmlformats.org/officeDocument/2006/relationships/footer" Target="footer4.xml" /><Relationship Id="rId17" Type="http://schemas.openxmlformats.org/officeDocument/2006/relationships/header" Target="header5.xml" /><Relationship Id="rId18" Type="http://schemas.openxmlformats.org/officeDocument/2006/relationships/footer" Target="footer5.xml" /><Relationship Id="rId19" Type="http://schemas.openxmlformats.org/officeDocument/2006/relationships/image" Target="media/image7.jpeg" /><Relationship Id="rId2" Type="http://schemas.openxmlformats.org/officeDocument/2006/relationships/webSettings" Target="webSettings.xml" /><Relationship Id="rId20" Type="http://schemas.openxmlformats.org/officeDocument/2006/relationships/header" Target="header6.xml" /><Relationship Id="rId21" Type="http://schemas.openxmlformats.org/officeDocument/2006/relationships/footer" Target="footer6.xml" /><Relationship Id="rId22" Type="http://schemas.openxmlformats.org/officeDocument/2006/relationships/header" Target="header7.xml" /><Relationship Id="rId23" Type="http://schemas.openxmlformats.org/officeDocument/2006/relationships/footer" Target="footer7.xml" /><Relationship Id="rId24" Type="http://schemas.openxmlformats.org/officeDocument/2006/relationships/header" Target="header8.xml" /><Relationship Id="rId25" Type="http://schemas.openxmlformats.org/officeDocument/2006/relationships/footer" Target="footer8.xml" /><Relationship Id="rId26" Type="http://schemas.openxmlformats.org/officeDocument/2006/relationships/image" Target="media/image8.jpeg" /><Relationship Id="rId27" Type="http://schemas.openxmlformats.org/officeDocument/2006/relationships/header" Target="header9.xml" /><Relationship Id="rId28" Type="http://schemas.openxmlformats.org/officeDocument/2006/relationships/footer" Target="footer9.xml" /><Relationship Id="rId29" Type="http://schemas.openxmlformats.org/officeDocument/2006/relationships/header" Target="header10.xml" /><Relationship Id="rId3" Type="http://schemas.openxmlformats.org/officeDocument/2006/relationships/fontTable" Target="fontTable.xml" /><Relationship Id="rId30" Type="http://schemas.openxmlformats.org/officeDocument/2006/relationships/footer" Target="footer10.xml" /><Relationship Id="rId31" Type="http://schemas.openxmlformats.org/officeDocument/2006/relationships/header" Target="header11.xml" /><Relationship Id="rId32" Type="http://schemas.openxmlformats.org/officeDocument/2006/relationships/footer" Target="footer11.xml" /><Relationship Id="rId33" Type="http://schemas.openxmlformats.org/officeDocument/2006/relationships/header" Target="header12.xml" /><Relationship Id="rId34" Type="http://schemas.openxmlformats.org/officeDocument/2006/relationships/footer" Target="footer12.xml" /><Relationship Id="rId35" Type="http://schemas.openxmlformats.org/officeDocument/2006/relationships/header" Target="header13.xml" /><Relationship Id="rId36" Type="http://schemas.openxmlformats.org/officeDocument/2006/relationships/footer" Target="footer13.xml" /><Relationship Id="rId37" Type="http://schemas.openxmlformats.org/officeDocument/2006/relationships/header" Target="header14.xml" /><Relationship Id="rId38" Type="http://schemas.openxmlformats.org/officeDocument/2006/relationships/footer" Target="footer14.xml" /><Relationship Id="rId39" Type="http://schemas.openxmlformats.org/officeDocument/2006/relationships/header" Target="header15.xml" /><Relationship Id="rId4" Type="http://schemas.openxmlformats.org/officeDocument/2006/relationships/image" Target="media/image1.png" /><Relationship Id="rId40" Type="http://schemas.openxmlformats.org/officeDocument/2006/relationships/footer" Target="footer15.xml" /><Relationship Id="rId41" Type="http://schemas.openxmlformats.org/officeDocument/2006/relationships/header" Target="header16.xml" /><Relationship Id="rId42" Type="http://schemas.openxmlformats.org/officeDocument/2006/relationships/footer" Target="footer16.xml" /><Relationship Id="rId43" Type="http://schemas.openxmlformats.org/officeDocument/2006/relationships/header" Target="header17.xml" /><Relationship Id="rId44" Type="http://schemas.openxmlformats.org/officeDocument/2006/relationships/footer" Target="footer17.xml" /><Relationship Id="rId45" Type="http://schemas.openxmlformats.org/officeDocument/2006/relationships/image" Target="media/image10.png" /><Relationship Id="rId46" Type="http://schemas.openxmlformats.org/officeDocument/2006/relationships/header" Target="header18.xml" /><Relationship Id="rId47" Type="http://schemas.openxmlformats.org/officeDocument/2006/relationships/footer" Target="footer18.xml" /><Relationship Id="rId48" Type="http://schemas.openxmlformats.org/officeDocument/2006/relationships/image" Target="media/image11.jpeg" /><Relationship Id="rId49" Type="http://schemas.openxmlformats.org/officeDocument/2006/relationships/header" Target="header19.xml" /><Relationship Id="rId5" Type="http://schemas.openxmlformats.org/officeDocument/2006/relationships/header" Target="header1.xml" /><Relationship Id="rId50" Type="http://schemas.openxmlformats.org/officeDocument/2006/relationships/footer" Target="footer19.xml" /><Relationship Id="rId51" Type="http://schemas.openxmlformats.org/officeDocument/2006/relationships/image" Target="media/image12.jpeg" /><Relationship Id="rId52" Type="http://schemas.openxmlformats.org/officeDocument/2006/relationships/image" Target="media/image13.jpeg" /><Relationship Id="rId53" Type="http://schemas.openxmlformats.org/officeDocument/2006/relationships/header" Target="header20.xml" /><Relationship Id="rId54" Type="http://schemas.openxmlformats.org/officeDocument/2006/relationships/footer" Target="footer20.xml" /><Relationship Id="rId55" Type="http://schemas.openxmlformats.org/officeDocument/2006/relationships/header" Target="header21.xml" /><Relationship Id="rId56" Type="http://schemas.openxmlformats.org/officeDocument/2006/relationships/footer" Target="footer21.xml" /><Relationship Id="rId57" Type="http://schemas.openxmlformats.org/officeDocument/2006/relationships/header" Target="header22.xml" /><Relationship Id="rId58" Type="http://schemas.openxmlformats.org/officeDocument/2006/relationships/footer" Target="footer22.xml" /><Relationship Id="rId59" Type="http://schemas.openxmlformats.org/officeDocument/2006/relationships/image" Target="media/image14.png" /><Relationship Id="rId6" Type="http://schemas.openxmlformats.org/officeDocument/2006/relationships/footer" Target="footer1.xml" /><Relationship Id="rId60" Type="http://schemas.openxmlformats.org/officeDocument/2006/relationships/image" Target="media/image15.png" /><Relationship Id="rId61" Type="http://schemas.openxmlformats.org/officeDocument/2006/relationships/header" Target="header23.xml" /><Relationship Id="rId62" Type="http://schemas.openxmlformats.org/officeDocument/2006/relationships/footer" Target="footer23.xml" /><Relationship Id="rId63" Type="http://schemas.openxmlformats.org/officeDocument/2006/relationships/image" Target="media/image16.jpeg" /><Relationship Id="rId64" Type="http://schemas.openxmlformats.org/officeDocument/2006/relationships/header" Target="header24.xml" /><Relationship Id="rId65" Type="http://schemas.openxmlformats.org/officeDocument/2006/relationships/footer" Target="footer24.xml" /><Relationship Id="rId66" Type="http://schemas.openxmlformats.org/officeDocument/2006/relationships/image" Target="media/image17.jpeg" /><Relationship Id="rId67" Type="http://schemas.openxmlformats.org/officeDocument/2006/relationships/header" Target="header25.xml" /><Relationship Id="rId68" Type="http://schemas.openxmlformats.org/officeDocument/2006/relationships/footer" Target="footer25.xml" /><Relationship Id="rId69" Type="http://schemas.openxmlformats.org/officeDocument/2006/relationships/image" Target="media/image18.png" /><Relationship Id="rId7" Type="http://schemas.openxmlformats.org/officeDocument/2006/relationships/image" Target="media/image3.png" /><Relationship Id="rId70" Type="http://schemas.openxmlformats.org/officeDocument/2006/relationships/image" Target="media/image19.jpeg" /><Relationship Id="rId71" Type="http://schemas.openxmlformats.org/officeDocument/2006/relationships/image" Target="media/image20.jpeg" /><Relationship Id="rId72" Type="http://schemas.openxmlformats.org/officeDocument/2006/relationships/header" Target="header26.xml" /><Relationship Id="rId73" Type="http://schemas.openxmlformats.org/officeDocument/2006/relationships/footer" Target="footer26.xml" /><Relationship Id="rId74" Type="http://schemas.openxmlformats.org/officeDocument/2006/relationships/hyperlink" Target="https://d.book118.com/228105134110006043" TargetMode="External" /><Relationship Id="rId75" Type="http://schemas.openxmlformats.org/officeDocument/2006/relationships/header" Target="header27.xml" /><Relationship Id="rId76" Type="http://schemas.openxmlformats.org/officeDocument/2006/relationships/footer" Target="footer27.xml" /><Relationship Id="rId77" Type="http://schemas.openxmlformats.org/officeDocument/2006/relationships/theme" Target="theme/theme1.xml" /><Relationship Id="rId78" Type="http://schemas.openxmlformats.org/officeDocument/2006/relationships/styles" Target="styles.xml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footer12.xml.rels><?xml version="1.0" encoding="utf-8" standalone="yes"?><Relationships xmlns="http://schemas.openxmlformats.org/package/2006/relationships"><Relationship Id="rId1" Type="http://schemas.openxmlformats.org/officeDocument/2006/relationships/image" Target="media/image8.jpeg" /></Relationships>
</file>

<file path=word/_rels/footer13.xml.rels><?xml version="1.0" encoding="utf-8" standalone="yes"?><Relationships xmlns="http://schemas.openxmlformats.org/package/2006/relationships"><Relationship Id="rId1" Type="http://schemas.openxmlformats.org/officeDocument/2006/relationships/image" Target="media/image8.jpeg" /></Relationships>
</file>

<file path=word/_rels/footer16.xml.rels><?xml version="1.0" encoding="utf-8" standalone="yes"?><Relationships xmlns="http://schemas.openxmlformats.org/package/2006/relationships"><Relationship Id="rId1" Type="http://schemas.openxmlformats.org/officeDocument/2006/relationships/image" Target="media/image8.jpeg" /></Relationships>
</file>

<file path=word/_rels/footer17.xml.rels><?xml version="1.0" encoding="utf-8" standalone="yes"?><Relationships xmlns="http://schemas.openxmlformats.org/package/2006/relationships"><Relationship Id="rId1" Type="http://schemas.openxmlformats.org/officeDocument/2006/relationships/image" Target="media/image8.jpe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9.jpe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9.jpe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9.jpe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9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2024-03-08T22:57:27Z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2024-03-08T22:57:32Z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65eb27532b86d9001f8cfa28wl</vt:lpwstr>
  </property>
</Properties>
</file>