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针织服装行业相关公司设立可行性研究报告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_Toc11802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3" w:history="1">
        <w:r>
          <w:rPr>
            <w:rFonts w:ascii="仿宋" w:eastAsia="仿宋" w:hAnsi="仿宋" w:cs="仿宋" w:hint="eastAsia"/>
            <w:lang w:eastAsia="zh-CN"/>
          </w:rPr>
          <w:t>(七)、针织服装项目建设必要性分析</w:t>
        </w:r>
        <w:r>
          <w:tab/>
        </w:r>
        <w:r>
          <w:fldChar w:fldCharType="begin"/>
        </w:r>
        <w:r>
          <w:instrText xml:space="preserve"> PAGEREF _Toc29543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_Toc18098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三、针织服装筹建公司基本信息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_Toc10837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_Toc17312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_Toc31332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_Toc27414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六、针织服装项目经济效益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(三)、针织服装项目盈利能力分析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97" w:history="1">
        <w:r>
          <w:rPr>
            <w:rFonts w:ascii="仿宋" w:eastAsia="仿宋" w:hAnsi="仿宋" w:cs="仿宋" w:hint="eastAsia"/>
            <w:lang w:eastAsia="zh-CN"/>
          </w:rPr>
          <w:t>(一)、针织服装项目背景分析</w:t>
        </w:r>
        <w:r>
          <w:tab/>
        </w:r>
        <w:r>
          <w:fldChar w:fldCharType="begin"/>
        </w:r>
        <w:r>
          <w:instrText xml:space="preserve"> PAGEREF _Toc26597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eastAsia="zh-CN"/>
          </w:rPr>
          <w:t>(二)、针织服装项目建设必要性分析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_Toc28272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九、针织服装项目风险分析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6" w:history="1">
        <w:r>
          <w:rPr>
            <w:rFonts w:ascii="仿宋" w:eastAsia="仿宋" w:hAnsi="仿宋" w:cs="仿宋" w:hint="eastAsia"/>
            <w:lang w:eastAsia="zh-CN"/>
          </w:rPr>
          <w:t>(一)、针织服装项目风险分析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(二)、针织服装项目风险对策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_Toc28565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_Toc28212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49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15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https://d.book118.com/228143053131006036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针织服装行业相关公司设立可行性研究报告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针织服装行业相关公司设立可行性研究报告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针织服装行业相关公司设立可行性研究报告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针织服装行业相关公司设立可行性研究报告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针织服装行业相关公司设立可行性研究报告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8143053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2024-02-06T20:57:00Z</dcterms:created>
  <dcterms:modified xsi:type="dcterms:W3CDTF">2024-02-06T20:57:36Z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A04F5FD4D5C448989D414B06C5F782D3_11</vt:lpwstr>
  </property>
  <property fmtid="{D5CDD505-2E9C-101B-9397-08002B2CF9AE}" pid="3" name="KSOProductBuildVer">
    <vt:lpwstr>2052-12.1.0.16250</vt:lpwstr>
  </property>
</Properties>
</file>