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4"/>
        </w:rPr>
      </w:pPr>
    </w:p>
    <w:p>
      <w:pPr>
        <w:spacing w:before="60"/>
        <w:ind w:left="0" w:right="983" w:firstLine="0"/>
        <w:jc w:val="right"/>
        <w:rPr>
          <w:b/>
          <w:sz w:val="28"/>
        </w:rPr>
      </w:pPr>
      <w:r>
        <w:drawing>
          <wp:anchor distT="0" distB="0" distL="0" distR="0" simplePos="0" relativeHeight="251658240" behindDoc="0" locked="0" layoutInCell="1" allowOverlap="1">
            <wp:simplePos x="0" y="0"/>
            <wp:positionH relativeFrom="page">
              <wp:posOffset>4783328</wp:posOffset>
            </wp:positionH>
            <wp:positionV relativeFrom="paragraph">
              <wp:posOffset>208057</wp:posOffset>
            </wp:positionV>
            <wp:extent cx="796213" cy="397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6213" cy="397509"/>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92.75pt;height:27.25pt;margin-top:-13.98pt;margin-left:58.58pt;mso-position-horizontal-relative:page;position:absolute;z-index:251659264"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120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1"/>
                      <w:jc w:val="left"/>
                    </w:trPr>
                    <w:tc>
                      <w:tcPr>
                        <w:tcW w:w="653" w:type="dxa"/>
                      </w:tcPr>
                      <w:p>
                        <w:pPr>
                          <w:pStyle w:val="TableParagraph"/>
                          <w:spacing w:line="233" w:lineRule="exact"/>
                          <w:ind w:left="200"/>
                          <w:rPr>
                            <w:rFonts w:ascii="Times New Roman"/>
                            <w:sz w:val="21"/>
                          </w:rPr>
                        </w:pPr>
                        <w:r>
                          <w:rPr>
                            <w:rFonts w:ascii="Times New Roman"/>
                            <w:sz w:val="21"/>
                          </w:rPr>
                          <w:t>ICS</w:t>
                        </w:r>
                      </w:p>
                    </w:tc>
                    <w:tc>
                      <w:tcPr>
                        <w:tcW w:w="1201" w:type="dxa"/>
                      </w:tcPr>
                      <w:p>
                        <w:pPr>
                          <w:pStyle w:val="TableParagraph"/>
                          <w:spacing w:line="252" w:lineRule="exact"/>
                          <w:ind w:left="56"/>
                          <w:rPr>
                            <w:rFonts w:ascii="黑体"/>
                            <w:sz w:val="21"/>
                          </w:rPr>
                        </w:pPr>
                        <w:r>
                          <w:rPr>
                            <w:rFonts w:ascii="黑体"/>
                            <w:sz w:val="21"/>
                          </w:rPr>
                          <w:t>65.020.01</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653" w:type="dxa"/>
                      </w:tcPr>
                      <w:p>
                        <w:pPr>
                          <w:pStyle w:val="TableParagraph"/>
                          <w:spacing w:before="30" w:line="222" w:lineRule="exact"/>
                          <w:ind w:left="200"/>
                          <w:rPr>
                            <w:rFonts w:ascii="Times New Roman"/>
                            <w:sz w:val="21"/>
                          </w:rPr>
                        </w:pPr>
                        <w:r>
                          <w:rPr>
                            <w:rFonts w:ascii="Times New Roman"/>
                            <w:sz w:val="21"/>
                          </w:rPr>
                          <w:t>CCS</w:t>
                        </w:r>
                      </w:p>
                    </w:tc>
                    <w:tc>
                      <w:tcPr>
                        <w:tcW w:w="1201" w:type="dxa"/>
                      </w:tcPr>
                      <w:p>
                        <w:pPr>
                          <w:pStyle w:val="TableParagraph"/>
                          <w:spacing w:before="33" w:line="220" w:lineRule="exact"/>
                          <w:ind w:left="56"/>
                          <w:rPr>
                            <w:rFonts w:ascii="黑体"/>
                            <w:sz w:val="21"/>
                          </w:rPr>
                        </w:pPr>
                        <w:r>
                          <w:rPr>
                            <w:rFonts w:ascii="黑体"/>
                            <w:sz w:val="21"/>
                          </w:rPr>
                          <w:t>B 31</w:t>
                        </w:r>
                      </w:p>
                    </w:tc>
                  </w:tr>
                </w:tbl>
                <w:p>
                  <w:pPr>
                    <w:pStyle w:val="BodyText"/>
                  </w:pPr>
                </w:p>
              </w:txbxContent>
            </v:textbox>
          </v:shape>
        </w:pict>
      </w:r>
      <w:r>
        <w:rPr>
          <w:rFonts w:ascii="Times New Roman"/>
          <w:b/>
          <w:w w:val="130"/>
          <w:sz w:val="96"/>
        </w:rPr>
        <w:t>52</w:t>
      </w:r>
      <w:r>
        <w:rPr>
          <w:b/>
          <w:w w:val="128"/>
          <w:sz w:val="28"/>
        </w:rPr>
        <w:t xml:space="preserve"> </w:t>
      </w:r>
    </w:p>
    <w:p>
      <w:pPr>
        <w:tabs>
          <w:tab w:val="left" w:pos="1687"/>
          <w:tab w:val="left" w:pos="3214"/>
          <w:tab w:val="left" w:pos="4741"/>
          <w:tab w:val="left" w:pos="6267"/>
          <w:tab w:val="left" w:pos="7794"/>
          <w:tab w:val="left" w:pos="9320"/>
        </w:tabs>
        <w:spacing w:before="253"/>
        <w:ind w:left="161" w:right="0" w:firstLine="0"/>
        <w:jc w:val="center"/>
        <w:rPr>
          <w:rFonts w:ascii="黑体" w:eastAsia="黑体" w:hint="eastAsia"/>
          <w:sz w:val="48"/>
        </w:rPr>
      </w:pPr>
      <w:r>
        <w:rPr>
          <w:rFonts w:ascii="黑体" w:eastAsia="黑体" w:hint="eastAsia"/>
          <w:sz w:val="48"/>
        </w:rPr>
        <w:t>贵</w:t>
        <w:tab/>
        <w:t>州</w:t>
        <w:tab/>
        <w:t>省</w:t>
        <w:tab/>
        <w:t>地</w:t>
        <w:tab/>
        <w:t>方</w:t>
        <w:tab/>
        <w:t>标</w:t>
        <w:tab/>
        <w:t>准</w:t>
      </w:r>
    </w:p>
    <w:p>
      <w:pPr>
        <w:spacing w:before="341"/>
        <w:ind w:left="0" w:right="568" w:firstLine="0"/>
        <w:jc w:val="right"/>
        <w:rPr>
          <w:rFonts w:ascii="黑体" w:hAnsi="黑体"/>
          <w:sz w:val="28"/>
        </w:rPr>
      </w:pPr>
      <w:r>
        <w:rPr>
          <w:rFonts w:ascii="黑体" w:hAnsi="黑体"/>
          <w:sz w:val="28"/>
        </w:rPr>
        <w:t>DB52/T</w:t>
      </w:r>
      <w:r>
        <w:rPr>
          <w:rFonts w:ascii="黑体" w:hAnsi="黑体"/>
          <w:spacing w:val="-5"/>
          <w:sz w:val="28"/>
        </w:rPr>
        <w:t xml:space="preserve"> </w:t>
      </w:r>
      <w:r>
        <w:rPr>
          <w:rFonts w:ascii="黑体" w:hAnsi="黑体"/>
          <w:sz w:val="28"/>
        </w:rPr>
        <w:t>1754—2023</w:t>
      </w:r>
    </w:p>
    <w:p>
      <w:pPr>
        <w:pStyle w:val="BodyText"/>
        <w:rPr>
          <w:rFonts w:ascii="黑体"/>
          <w:sz w:val="20"/>
        </w:rPr>
      </w:pPr>
    </w:p>
    <w:p>
      <w:pPr>
        <w:pStyle w:val="BodyText"/>
        <w:spacing w:before="4"/>
        <w:rPr>
          <w:rFonts w:ascii="黑体"/>
          <w:sz w:val="28"/>
        </w:rPr>
      </w:pPr>
      <w:r>
        <w:pict>
          <v:shape id="_x0000_s1026" style="width:481.9pt;height:0.1pt;margin-top:20.54pt;margin-left:70.9pt;mso-position-horizontal-relative:page;mso-wrap-distance-left:0;mso-wrap-distance-right:0;position:absolute;z-index:-251656192" coordorigin="1418,411" coordsize="9638,0" path="m1418,411l11056,411e" filled="f" stroked="t" strokecolor="black" strokeweight="0.75pt">
            <v:stroke dashstyl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5"/>
        <w:rPr>
          <w:rFonts w:ascii="黑体"/>
          <w:sz w:val="28"/>
        </w:rPr>
      </w:pPr>
    </w:p>
    <w:p>
      <w:pPr>
        <w:pStyle w:val="Title"/>
      </w:pPr>
      <w:r>
        <w:t>农业气象观测规范 辣椒</w:t>
      </w:r>
    </w:p>
    <w:p>
      <w:pPr>
        <w:spacing w:before="372"/>
        <w:ind w:left="390" w:right="0" w:firstLine="0"/>
        <w:jc w:val="center"/>
        <w:rPr>
          <w:rFonts w:ascii="黑体" w:hAnsi="黑体"/>
          <w:sz w:val="28"/>
        </w:rPr>
      </w:pPr>
      <w:r>
        <w:rPr>
          <w:rFonts w:ascii="黑体" w:hAnsi="黑体"/>
          <w:sz w:val="28"/>
        </w:rPr>
        <w:t>Specifications for agrometeorological observation—pepper</w: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tabs>
          <w:tab w:val="left" w:pos="7777"/>
        </w:tabs>
        <w:spacing w:before="235"/>
        <w:ind w:left="418" w:right="0" w:firstLine="0"/>
        <w:jc w:val="center"/>
        <w:rPr>
          <w:rFonts w:ascii="黑体" w:eastAsia="黑体" w:hint="eastAsia"/>
          <w:sz w:val="28"/>
        </w:rPr>
      </w:pPr>
      <w:r>
        <w:pict>
          <v:shape id="_x0000_s1027" style="width:481.9pt;height:0.1pt;margin-top:31.41pt;margin-left:70.85pt;mso-position-horizontal-relative:page;mso-wrap-distance-left:0;mso-wrap-distance-right:0;position:absolute;z-index:-251655168" coordorigin="1417,628" coordsize="9638,0" path="m1417,628l11055,628e" filled="f" stroked="t" strokecolor="black" strokeweight="0.75pt">
            <v:stroke dashstyle="solid"/>
            <v:path arrowok="t"/>
            <w10:wrap type="topAndBottom"/>
          </v:shape>
        </w:pict>
      </w:r>
      <w:r>
        <w:rPr>
          <w:rFonts w:ascii="黑体" w:eastAsia="黑体" w:hint="eastAsia"/>
          <w:sz w:val="28"/>
        </w:rPr>
        <w:t>2023</w:t>
      </w:r>
      <w:r>
        <w:rPr>
          <w:rFonts w:ascii="黑体" w:eastAsia="黑体" w:hint="eastAsia"/>
          <w:spacing w:val="-71"/>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10</w:t>
      </w:r>
      <w:r>
        <w:rPr>
          <w:rFonts w:ascii="黑体" w:eastAsia="黑体" w:hint="eastAsia"/>
          <w:spacing w:val="-71"/>
          <w:sz w:val="28"/>
        </w:rPr>
        <w:t xml:space="preserve"> </w:t>
      </w:r>
      <w:r>
        <w:rPr>
          <w:rFonts w:ascii="黑体" w:eastAsia="黑体" w:hint="eastAsia"/>
          <w:sz w:val="28"/>
        </w:rPr>
        <w:t>-</w:t>
      </w:r>
      <w:r>
        <w:rPr>
          <w:rFonts w:ascii="黑体" w:eastAsia="黑体" w:hint="eastAsia"/>
          <w:spacing w:val="-71"/>
          <w:sz w:val="28"/>
        </w:rPr>
        <w:t xml:space="preserve"> </w:t>
      </w:r>
      <w:r>
        <w:rPr>
          <w:rFonts w:ascii="黑体" w:eastAsia="黑体" w:hint="eastAsia"/>
          <w:sz w:val="28"/>
        </w:rPr>
        <w:t>26</w:t>
      </w:r>
      <w:r>
        <w:rPr>
          <w:rFonts w:ascii="黑体" w:eastAsia="黑体" w:hint="eastAsia"/>
          <w:spacing w:val="-70"/>
          <w:sz w:val="28"/>
        </w:rPr>
        <w:t xml:space="preserve"> </w:t>
      </w:r>
      <w:r>
        <w:rPr>
          <w:rFonts w:ascii="黑体" w:eastAsia="黑体" w:hint="eastAsia"/>
          <w:sz w:val="28"/>
        </w:rPr>
        <w:t>发布</w:t>
        <w:tab/>
        <w:t>2024</w:t>
      </w:r>
      <w:r>
        <w:rPr>
          <w:rFonts w:ascii="黑体" w:eastAsia="黑体" w:hint="eastAsia"/>
          <w:spacing w:val="-70"/>
          <w:sz w:val="28"/>
        </w:rPr>
        <w:t xml:space="preserve"> </w:t>
      </w:r>
      <w:r>
        <w:rPr>
          <w:rFonts w:ascii="黑体" w:eastAsia="黑体" w:hint="eastAsia"/>
          <w:sz w:val="28"/>
        </w:rPr>
        <w:t>-</w:t>
      </w:r>
      <w:r>
        <w:rPr>
          <w:rFonts w:ascii="黑体" w:eastAsia="黑体" w:hint="eastAsia"/>
          <w:spacing w:val="-71"/>
          <w:sz w:val="28"/>
        </w:rPr>
        <w:t xml:space="preserve"> </w:t>
      </w:r>
      <w:r>
        <w:rPr>
          <w:rFonts w:ascii="黑体" w:eastAsia="黑体" w:hint="eastAsia"/>
          <w:sz w:val="28"/>
        </w:rPr>
        <w:t>01</w:t>
      </w:r>
      <w:r>
        <w:rPr>
          <w:rFonts w:ascii="黑体" w:eastAsia="黑体" w:hint="eastAsia"/>
          <w:spacing w:val="-70"/>
          <w:sz w:val="28"/>
        </w:rPr>
        <w:t xml:space="preserve"> </w:t>
      </w:r>
      <w:r>
        <w:rPr>
          <w:rFonts w:ascii="黑体" w:eastAsia="黑体" w:hint="eastAsia"/>
          <w:sz w:val="28"/>
        </w:rPr>
        <w:t>-</w:t>
      </w:r>
      <w:r>
        <w:rPr>
          <w:rFonts w:ascii="黑体" w:eastAsia="黑体" w:hint="eastAsia"/>
          <w:spacing w:val="-71"/>
          <w:sz w:val="28"/>
        </w:rPr>
        <w:t xml:space="preserve"> </w:t>
      </w:r>
      <w:r>
        <w:rPr>
          <w:rFonts w:ascii="黑体" w:eastAsia="黑体" w:hint="eastAsia"/>
          <w:sz w:val="28"/>
        </w:rPr>
        <w:t>01</w:t>
      </w:r>
      <w:r>
        <w:rPr>
          <w:rFonts w:ascii="黑体" w:eastAsia="黑体" w:hint="eastAsia"/>
          <w:spacing w:val="-70"/>
          <w:sz w:val="28"/>
        </w:rPr>
        <w:t xml:space="preserve"> </w:t>
      </w:r>
      <w:r>
        <w:rPr>
          <w:rFonts w:ascii="黑体" w:eastAsia="黑体" w:hint="eastAsia"/>
          <w:sz w:val="28"/>
        </w:rPr>
        <w:t>实施</w:t>
      </w:r>
    </w:p>
    <w:p>
      <w:pPr>
        <w:pStyle w:val="BodyText"/>
        <w:rPr>
          <w:rFonts w:ascii="黑体"/>
          <w:sz w:val="28"/>
        </w:rPr>
      </w:pPr>
    </w:p>
    <w:p>
      <w:pPr>
        <w:pStyle w:val="BodyText"/>
        <w:rPr>
          <w:rFonts w:ascii="黑体"/>
          <w:sz w:val="31"/>
        </w:rPr>
      </w:pPr>
    </w:p>
    <w:p>
      <w:pPr>
        <w:tabs>
          <w:tab w:val="left" w:pos="3462"/>
        </w:tabs>
        <w:spacing w:before="0"/>
        <w:ind w:left="103" w:right="0" w:firstLine="0"/>
        <w:jc w:val="center"/>
        <w:rPr>
          <w:rFonts w:ascii="黑体" w:eastAsia="黑体" w:hint="eastAsia"/>
          <w:sz w:val="28"/>
        </w:rPr>
      </w:pPr>
      <w:r>
        <w:rPr>
          <w:rFonts w:ascii="黑体" w:eastAsia="黑体" w:hint="eastAsia"/>
          <w:sz w:val="28"/>
        </w:rPr>
        <w:t>贵州省市场监督管理局</w:t>
        <w:tab/>
        <w:t>发</w:t>
      </w:r>
      <w:r>
        <w:rPr>
          <w:rFonts w:ascii="黑体" w:eastAsia="黑体" w:hint="eastAsia"/>
          <w:spacing w:val="29"/>
          <w:sz w:val="28"/>
        </w:rPr>
        <w:t xml:space="preserve"> </w:t>
      </w:r>
      <w:r>
        <w:rPr>
          <w:rFonts w:ascii="黑体" w:eastAsia="黑体" w:hint="eastAsia"/>
          <w:sz w:val="28"/>
        </w:rPr>
        <w:t>布</w:t>
      </w: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1"/>
        <w:rPr>
          <w:rFonts w:ascii="黑体"/>
          <w:sz w:val="15"/>
        </w:rPr>
      </w:pPr>
    </w:p>
    <w:p>
      <w:pPr>
        <w:pStyle w:val="BodyText"/>
        <w:rPr>
          <w:rFonts w:ascii="黑体"/>
          <w:sz w:val="2"/>
        </w:rPr>
      </w:pPr>
    </w:p>
    <w:p>
      <w:pPr>
        <w:pStyle w:val="BodyText"/>
        <w:rPr>
          <w:rFonts w:ascii="黑体"/>
          <w:sz w:val="2"/>
        </w:rPr>
        <w:sectPr>
          <w:type w:val="continuous"/>
          <w:pgSz w:w="11910" w:h="16840"/>
          <w:pgMar w:top="560" w:right="560" w:bottom="0" w:left="740" w:header="708" w:footer="708"/>
          <w:cols w:space="708"/>
        </w:sectPr>
      </w:pPr>
    </w:p>
    <w:p>
      <w:pPr>
        <w:pStyle w:val="BodyText"/>
        <w:rPr>
          <w:rFonts w:ascii="黑体"/>
          <w:sz w:val="2"/>
        </w:rPr>
      </w:pPr>
    </w:p>
    <w:p>
      <w:pPr>
        <w:pStyle w:val="BodyText"/>
        <w:rPr>
          <w:rFonts w:ascii="黑体"/>
          <w:sz w:val="2"/>
        </w:rPr>
      </w:pPr>
    </w:p>
    <w:p>
      <w:pPr>
        <w:spacing w:before="0"/>
        <w:ind w:left="678" w:right="0" w:firstLine="0"/>
        <w:jc w:val="left"/>
        <w:rPr>
          <w:sz w:val="2"/>
        </w:rPr>
      </w:pPr>
      <w:r>
        <w:rPr>
          <w:w w:val="102"/>
          <w:sz w:val="2"/>
        </w:rPr>
        <w:t xml:space="preserve"> </w:t>
      </w:r>
    </w:p>
    <w:p>
      <w:pPr>
        <w:spacing w:after="0"/>
        <w:jc w:val="left"/>
        <w:rPr>
          <w:sz w:val="2"/>
        </w:rPr>
        <w:sectPr>
          <w:type w:val="nextPage"/>
          <w:pgSz w:w="11910" w:h="16840"/>
          <w:pgMar w:top="560" w:right="560" w:bottom="0" w:left="740" w:header="708" w:footer="708"/>
          <w:pgNumType w:start="2"/>
          <w:cols w:space="708"/>
          <w:titlePg w:val="0"/>
        </w:sectPr>
      </w:pPr>
    </w:p>
    <w:p>
      <w:pPr>
        <w:pStyle w:val="BodyText"/>
        <w:spacing w:before="7"/>
        <w:rPr>
          <w:sz w:val="15"/>
        </w:rPr>
      </w:pPr>
    </w:p>
    <w:p>
      <w:pPr>
        <w:spacing w:after="0"/>
        <w:rPr>
          <w:sz w:val="15"/>
        </w:rPr>
        <w:sectPr>
          <w:pgSz w:w="11910" w:h="16840"/>
          <w:pgMar w:top="1580" w:right="560" w:bottom="280" w:left="740" w:header="708" w:footer="708"/>
          <w:pgNumType w:start="3"/>
          <w:cols w:space="708"/>
        </w:sectPr>
      </w:pPr>
    </w:p>
    <w:p>
      <w:pPr>
        <w:pStyle w:val="BodyText"/>
        <w:spacing w:before="11"/>
        <w:rPr>
          <w:sz w:val="15"/>
        </w:rPr>
      </w:pPr>
    </w:p>
    <w:p>
      <w:pPr>
        <w:pStyle w:val="Heading1"/>
        <w:tabs>
          <w:tab w:val="left" w:pos="1065"/>
        </w:tabs>
        <w:ind w:left="105"/>
      </w:pPr>
      <w:r>
        <w:t>目</w:t>
        <w:tab/>
        <w:t>次</w:t>
      </w:r>
    </w:p>
    <w:p>
      <w:pPr>
        <w:pStyle w:val="BodyText"/>
        <w:rPr>
          <w:rFonts w:ascii="黑体"/>
          <w:sz w:val="32"/>
        </w:rPr>
      </w:pPr>
    </w:p>
    <w:p>
      <w:pPr>
        <w:pStyle w:val="BodyText"/>
        <w:tabs>
          <w:tab w:val="left" w:leader="dot" w:pos="9715"/>
        </w:tabs>
        <w:spacing w:before="277"/>
        <w:ind w:left="678"/>
      </w:pPr>
      <w:hyperlink w:anchor="_bookmark0" w:history="1">
        <w:r>
          <w:t>前言</w:t>
          <w:tab/>
          <w:t>II</w:t>
        </w:r>
      </w:hyperlink>
    </w:p>
    <w:p>
      <w:pPr>
        <w:pStyle w:val="BodyText"/>
        <w:tabs>
          <w:tab w:val="left" w:leader="dot" w:pos="9821"/>
        </w:tabs>
        <w:spacing w:before="131"/>
        <w:ind w:left="678"/>
      </w:pPr>
      <w:hyperlink w:anchor="_bookmark1" w:history="1">
        <w:r>
          <w:t>1</w:t>
        </w:r>
        <w:r>
          <w:rPr>
            <w:spacing w:val="104"/>
          </w:rPr>
          <w:t xml:space="preserve"> </w:t>
        </w:r>
        <w:r>
          <w:t>范围</w:t>
          <w:tab/>
          <w:t>1</w:t>
        </w:r>
      </w:hyperlink>
    </w:p>
    <w:p>
      <w:pPr>
        <w:pStyle w:val="BodyText"/>
        <w:tabs>
          <w:tab w:val="left" w:leader="dot" w:pos="9821"/>
        </w:tabs>
        <w:spacing w:before="130"/>
        <w:ind w:left="678"/>
      </w:pPr>
      <w:hyperlink w:anchor="_bookmark2" w:history="1">
        <w:r>
          <w:t>2</w:t>
        </w:r>
        <w:r>
          <w:rPr>
            <w:spacing w:val="102"/>
          </w:rPr>
          <w:t xml:space="preserve"> </w:t>
        </w:r>
        <w:r>
          <w:t>规范性引用文件</w:t>
          <w:tab/>
          <w:t>1</w:t>
        </w:r>
      </w:hyperlink>
    </w:p>
    <w:p>
      <w:pPr>
        <w:pStyle w:val="BodyText"/>
        <w:tabs>
          <w:tab w:val="left" w:leader="dot" w:pos="9821"/>
        </w:tabs>
        <w:spacing w:before="132"/>
        <w:ind w:left="678"/>
      </w:pPr>
      <w:hyperlink w:anchor="_bookmark3" w:history="1">
        <w:r>
          <w:t>3</w:t>
        </w:r>
        <w:r>
          <w:rPr>
            <w:spacing w:val="102"/>
          </w:rPr>
          <w:t xml:space="preserve"> </w:t>
        </w:r>
        <w:r>
          <w:t>术语和定义</w:t>
          <w:tab/>
          <w:t>1</w:t>
        </w:r>
      </w:hyperlink>
    </w:p>
    <w:p>
      <w:pPr>
        <w:pStyle w:val="BodyText"/>
        <w:tabs>
          <w:tab w:val="left" w:leader="dot" w:pos="9821"/>
        </w:tabs>
        <w:spacing w:before="131"/>
        <w:ind w:left="678"/>
      </w:pPr>
      <w:hyperlink w:anchor="_bookmark4" w:history="1">
        <w:r>
          <w:t>4</w:t>
        </w:r>
        <w:r>
          <w:rPr>
            <w:spacing w:val="104"/>
          </w:rPr>
          <w:t xml:space="preserve"> </w:t>
        </w:r>
        <w:r>
          <w:t>观测原则</w:t>
          <w:tab/>
          <w:t>2</w:t>
        </w:r>
      </w:hyperlink>
    </w:p>
    <w:p>
      <w:pPr>
        <w:pStyle w:val="BodyText"/>
        <w:tabs>
          <w:tab w:val="left" w:leader="dot" w:pos="9821"/>
        </w:tabs>
        <w:spacing w:before="130"/>
        <w:ind w:left="678"/>
      </w:pPr>
      <w:hyperlink w:anchor="_bookmark5" w:history="1">
        <w:r>
          <w:t>5</w:t>
        </w:r>
        <w:r>
          <w:rPr>
            <w:spacing w:val="104"/>
          </w:rPr>
          <w:t xml:space="preserve"> </w:t>
        </w:r>
        <w:r>
          <w:t>观测要求</w:t>
          <w:tab/>
          <w:t>2</w:t>
        </w:r>
      </w:hyperlink>
    </w:p>
    <w:p>
      <w:pPr>
        <w:pStyle w:val="BodyText"/>
        <w:tabs>
          <w:tab w:val="left" w:leader="dot" w:pos="9821"/>
        </w:tabs>
        <w:spacing w:before="132"/>
        <w:ind w:left="678"/>
      </w:pPr>
      <w:hyperlink w:anchor="_bookmark6" w:history="1">
        <w:r>
          <w:t>6</w:t>
        </w:r>
        <w:r>
          <w:rPr>
            <w:spacing w:val="102"/>
          </w:rPr>
          <w:t xml:space="preserve"> </w:t>
        </w:r>
        <w:r>
          <w:t>生育期观测</w:t>
          <w:tab/>
          <w:t>2</w:t>
        </w:r>
      </w:hyperlink>
    </w:p>
    <w:p>
      <w:pPr>
        <w:pStyle w:val="BodyText"/>
        <w:tabs>
          <w:tab w:val="left" w:leader="dot" w:pos="9821"/>
        </w:tabs>
        <w:spacing w:before="130"/>
        <w:ind w:left="678"/>
      </w:pPr>
      <w:hyperlink w:anchor="_bookmark7" w:history="1">
        <w:r>
          <w:t>7</w:t>
        </w:r>
        <w:r>
          <w:rPr>
            <w:spacing w:val="102"/>
          </w:rPr>
          <w:t xml:space="preserve"> </w:t>
        </w:r>
        <w:r>
          <w:t>生长状况观测</w:t>
          <w:tab/>
          <w:t>4</w:t>
        </w:r>
      </w:hyperlink>
    </w:p>
    <w:p>
      <w:pPr>
        <w:pStyle w:val="BodyText"/>
        <w:tabs>
          <w:tab w:val="left" w:leader="dot" w:pos="9821"/>
        </w:tabs>
        <w:spacing w:before="131"/>
        <w:ind w:left="678"/>
      </w:pPr>
      <w:hyperlink w:anchor="_bookmark8" w:history="1">
        <w:r>
          <w:t>8</w:t>
        </w:r>
        <w:r>
          <w:rPr>
            <w:spacing w:val="104"/>
          </w:rPr>
          <w:t xml:space="preserve"> </w:t>
        </w:r>
        <w:r>
          <w:t>气象观测</w:t>
          <w:tab/>
          <w:t>4</w:t>
        </w:r>
      </w:hyperlink>
    </w:p>
    <w:p>
      <w:pPr>
        <w:pStyle w:val="BodyText"/>
        <w:tabs>
          <w:tab w:val="left" w:leader="dot" w:pos="9821"/>
        </w:tabs>
        <w:spacing w:before="132"/>
        <w:ind w:left="678"/>
      </w:pPr>
      <w:hyperlink w:anchor="_bookmark9" w:history="1">
        <w:r>
          <w:t>9</w:t>
        </w:r>
        <w:r>
          <w:rPr>
            <w:spacing w:val="102"/>
          </w:rPr>
          <w:t xml:space="preserve"> </w:t>
        </w:r>
        <w:r>
          <w:t>气象灾害和病虫害观测与调查</w:t>
          <w:tab/>
          <w:t>5</w:t>
        </w:r>
      </w:hyperlink>
    </w:p>
    <w:p>
      <w:pPr>
        <w:pStyle w:val="BodyText"/>
        <w:tabs>
          <w:tab w:val="left" w:leader="dot" w:pos="9821"/>
        </w:tabs>
        <w:spacing w:before="130"/>
        <w:ind w:left="678"/>
      </w:pPr>
      <w:hyperlink w:anchor="_bookmark10" w:history="1">
        <w:r>
          <w:t>10</w:t>
        </w:r>
        <w:r>
          <w:rPr>
            <w:spacing w:val="104"/>
          </w:rPr>
          <w:t xml:space="preserve"> </w:t>
        </w:r>
        <w:r>
          <w:t>产量分析</w:t>
          <w:tab/>
          <w:t>6</w:t>
        </w:r>
      </w:hyperlink>
    </w:p>
    <w:p>
      <w:pPr>
        <w:pStyle w:val="BodyText"/>
        <w:tabs>
          <w:tab w:val="left" w:leader="dot" w:pos="9821"/>
        </w:tabs>
        <w:spacing w:before="131"/>
        <w:ind w:left="678"/>
      </w:pPr>
      <w:hyperlink w:anchor="_bookmark11" w:history="1">
        <w:r>
          <w:t>11</w:t>
        </w:r>
        <w:r>
          <w:rPr>
            <w:spacing w:val="104"/>
          </w:rPr>
          <w:t xml:space="preserve"> </w:t>
        </w:r>
        <w:r>
          <w:t>田间工作记载</w:t>
          <w:tab/>
          <w:t>8</w:t>
        </w:r>
      </w:hyperlink>
    </w:p>
    <w:p>
      <w:pPr>
        <w:pStyle w:val="BodyText"/>
        <w:tabs>
          <w:tab w:val="left" w:leader="dot" w:pos="9821"/>
        </w:tabs>
        <w:spacing w:before="131"/>
        <w:ind w:left="678"/>
      </w:pPr>
      <w:hyperlink w:anchor="_bookmark12" w:history="1">
        <w:r>
          <w:t>附录</w:t>
        </w:r>
        <w:r>
          <w:rPr>
            <w:spacing w:val="-53"/>
          </w:rPr>
          <w:t xml:space="preserve"> </w:t>
        </w:r>
        <w:r>
          <w:t>A（资料性）</w:t>
        </w:r>
        <w:r>
          <w:rPr>
            <w:spacing w:val="103"/>
          </w:rPr>
          <w:t xml:space="preserve"> </w:t>
        </w:r>
        <w:r>
          <w:t>辣椒生育状况观测记录簿封面格式及观测记录表</w:t>
          <w:tab/>
          <w:t>9</w:t>
        </w:r>
      </w:hyperlink>
    </w:p>
    <w:p>
      <w:pPr>
        <w:pStyle w:val="BodyText"/>
        <w:tabs>
          <w:tab w:val="left" w:leader="dot" w:pos="9715"/>
        </w:tabs>
        <w:spacing w:before="131"/>
        <w:ind w:left="678"/>
      </w:pPr>
      <w:hyperlink w:anchor="_bookmark13" w:history="1">
        <w:r>
          <w:t>附录</w:t>
        </w:r>
        <w:r>
          <w:rPr>
            <w:spacing w:val="-53"/>
          </w:rPr>
          <w:t xml:space="preserve"> </w:t>
        </w:r>
        <w:r>
          <w:t>B（资料性）</w:t>
        </w:r>
        <w:r>
          <w:rPr>
            <w:spacing w:val="103"/>
          </w:rPr>
          <w:t xml:space="preserve"> </w:t>
        </w:r>
        <w:r>
          <w:t>辣椒生育状况观测记录年报表</w:t>
          <w:tab/>
          <w:t>20</w:t>
        </w:r>
      </w:hyperlink>
    </w:p>
    <w:p>
      <w:pPr>
        <w:pStyle w:val="BodyText"/>
        <w:tabs>
          <w:tab w:val="left" w:leader="dot" w:pos="9715"/>
        </w:tabs>
        <w:spacing w:before="131"/>
        <w:ind w:left="678"/>
      </w:pPr>
      <w:hyperlink w:anchor="_bookmark14" w:history="1">
        <w:r>
          <w:t>参考文献</w:t>
          <w:tab/>
          <w:t>23</w:t>
        </w:r>
      </w:hyperlink>
    </w:p>
    <w:p>
      <w:pPr>
        <w:spacing w:after="0"/>
        <w:sectPr>
          <w:headerReference w:type="default" r:id="rId5"/>
          <w:footerReference w:type="default" r:id="rId6"/>
          <w:pgSz w:w="11910" w:h="16840"/>
          <w:pgMar w:top="1640" w:right="560" w:bottom="1340" w:left="740" w:header="1448" w:footer="1141"/>
          <w:pgNumType w:start="4"/>
          <w:cols w:space="708"/>
        </w:sectPr>
      </w:pPr>
    </w:p>
    <w:p>
      <w:pPr>
        <w:pStyle w:val="BodyText"/>
        <w:spacing w:before="7"/>
        <w:rPr>
          <w:sz w:val="15"/>
        </w:rPr>
      </w:pPr>
    </w:p>
    <w:p>
      <w:pPr>
        <w:spacing w:after="0"/>
        <w:rPr>
          <w:sz w:val="15"/>
        </w:rPr>
        <w:sectPr>
          <w:headerReference w:type="even" r:id="rId7"/>
          <w:headerReference w:type="default" r:id="rId8"/>
          <w:footerReference w:type="even" r:id="rId9"/>
          <w:footerReference w:type="default" r:id="rId10"/>
          <w:pgSz w:w="11910" w:h="16840"/>
          <w:pgMar w:top="1600" w:right="558" w:bottom="280" w:left="740" w:header="0" w:footer="0"/>
          <w:pgNumType w:start="5"/>
          <w:cols w:space="708"/>
        </w:sectPr>
      </w:pPr>
    </w:p>
    <w:p>
      <w:pPr>
        <w:pStyle w:val="BodyText"/>
        <w:spacing w:before="11"/>
        <w:rPr>
          <w:sz w:val="15"/>
        </w:rPr>
      </w:pPr>
    </w:p>
    <w:p>
      <w:pPr>
        <w:pStyle w:val="Heading1"/>
        <w:tabs>
          <w:tab w:val="left" w:pos="1484"/>
        </w:tabs>
        <w:ind w:left="524"/>
      </w:pPr>
      <w:bookmarkStart w:id="0" w:name="_bookmark0"/>
      <w:bookmarkEnd w:id="0"/>
      <w:r>
        <w:t>前</w:t>
        <w:tab/>
        <w:t>言</w:t>
      </w:r>
    </w:p>
    <w:p>
      <w:pPr>
        <w:pStyle w:val="BodyText"/>
        <w:spacing w:before="7"/>
        <w:rPr>
          <w:rFonts w:ascii="黑体"/>
          <w:sz w:val="46"/>
        </w:rPr>
      </w:pPr>
    </w:p>
    <w:p>
      <w:pPr>
        <w:pStyle w:val="BodyText"/>
        <w:spacing w:line="278" w:lineRule="auto"/>
        <w:ind w:left="678" w:right="572" w:firstLine="420"/>
      </w:pPr>
      <w:r>
        <w:t xml:space="preserve">本文件按照GB/T 1.1—2020《标准化工作导则 第1部分：标准化文件的结构和起草规则》的规定起草。 </w:t>
      </w:r>
    </w:p>
    <w:p>
      <w:pPr>
        <w:pStyle w:val="BodyText"/>
        <w:ind w:left="1098"/>
      </w:pPr>
      <w:r>
        <w:t xml:space="preserve">本文件由贵州省气象局提出并归口。 </w:t>
      </w:r>
    </w:p>
    <w:p>
      <w:pPr>
        <w:pStyle w:val="BodyText"/>
        <w:spacing w:before="43" w:line="278" w:lineRule="auto"/>
        <w:ind w:left="1098" w:right="467"/>
      </w:pPr>
      <w:r>
        <w:rPr>
          <w:spacing w:val="-18"/>
        </w:rPr>
        <w:t xml:space="preserve">本文件起草单位：贵州省山地环境气候研究所、遵义市气象局、铜仁市气象局、贵州省辣椒研究所。本文件主要起草人：胡家敏、于飞、陈芳、刘宇鹏、姚熠、付瑞滢、何建文。 </w:t>
      </w:r>
    </w:p>
    <w:p>
      <w:pPr>
        <w:spacing w:after="0" w:line="278" w:lineRule="auto"/>
        <w:sectPr>
          <w:headerReference w:type="even" r:id="rId11"/>
          <w:headerReference w:type="default" r:id="rId12"/>
          <w:footerReference w:type="even" r:id="rId13"/>
          <w:footerReference w:type="default" r:id="rId14"/>
          <w:pgSz w:w="11910" w:h="16840"/>
          <w:pgMar w:top="1640" w:right="558" w:bottom="1340" w:left="740" w:header="1448" w:footer="1144"/>
          <w:pgNumType w:start="6"/>
          <w:cols w:space="708"/>
        </w:sectPr>
      </w:pPr>
    </w:p>
    <w:p>
      <w:pPr>
        <w:pStyle w:val="BodyText"/>
        <w:spacing w:before="7"/>
        <w:rPr>
          <w:sz w:val="15"/>
        </w:rPr>
      </w:pPr>
    </w:p>
    <w:p>
      <w:pPr>
        <w:spacing w:after="0"/>
        <w:rPr>
          <w:sz w:val="15"/>
        </w:rPr>
        <w:sectPr>
          <w:headerReference w:type="even" r:id="rId15"/>
          <w:headerReference w:type="default" r:id="rId16"/>
          <w:footerReference w:type="even" r:id="rId17"/>
          <w:footerReference w:type="default" r:id="rId18"/>
          <w:pgSz w:w="11910" w:h="16840"/>
          <w:pgMar w:top="1600" w:right="558" w:bottom="280" w:left="740" w:header="0" w:footer="0"/>
          <w:pgNumType w:start="7"/>
          <w:cols w:space="708"/>
        </w:sectPr>
      </w:pPr>
    </w:p>
    <w:p>
      <w:pPr>
        <w:pStyle w:val="BodyText"/>
        <w:rPr>
          <w:sz w:val="20"/>
        </w:rPr>
      </w:pPr>
    </w:p>
    <w:p>
      <w:pPr>
        <w:pStyle w:val="BodyText"/>
        <w:rPr>
          <w:sz w:val="20"/>
        </w:rPr>
      </w:pPr>
    </w:p>
    <w:p>
      <w:pPr>
        <w:pStyle w:val="BodyText"/>
        <w:spacing w:before="12"/>
        <w:rPr>
          <w:sz w:val="14"/>
        </w:rPr>
      </w:pPr>
    </w:p>
    <w:p>
      <w:pPr>
        <w:pStyle w:val="Heading1"/>
      </w:pPr>
      <w:r>
        <w:t>农业气象观测规范 辣椒</w:t>
      </w:r>
    </w:p>
    <w:p>
      <w:pPr>
        <w:pStyle w:val="BodyText"/>
        <w:rPr>
          <w:rFonts w:ascii="黑体"/>
          <w:sz w:val="20"/>
        </w:rPr>
      </w:pPr>
    </w:p>
    <w:p>
      <w:pPr>
        <w:pStyle w:val="BodyText"/>
        <w:spacing w:before="11"/>
        <w:rPr>
          <w:rFonts w:ascii="黑体"/>
          <w:sz w:val="28"/>
        </w:rPr>
      </w:pPr>
    </w:p>
    <w:p>
      <w:pPr>
        <w:pStyle w:val="ListParagraph"/>
        <w:numPr>
          <w:ilvl w:val="0"/>
          <w:numId w:val="10"/>
        </w:numPr>
        <w:tabs>
          <w:tab w:val="left" w:pos="994"/>
          <w:tab w:val="left" w:pos="995"/>
        </w:tabs>
        <w:spacing w:before="70" w:after="0" w:line="240" w:lineRule="auto"/>
        <w:ind w:left="994" w:right="0" w:hanging="317"/>
        <w:jc w:val="left"/>
        <w:rPr>
          <w:rFonts w:ascii="黑体" w:eastAsia="黑体" w:hint="eastAsia"/>
          <w:sz w:val="21"/>
        </w:rPr>
      </w:pPr>
      <w:bookmarkStart w:id="1" w:name="_bookmark1"/>
      <w:bookmarkEnd w:id="1"/>
      <w:r>
        <w:rPr>
          <w:rFonts w:ascii="黑体" w:eastAsia="黑体" w:hint="eastAsia"/>
          <w:sz w:val="21"/>
        </w:rPr>
        <w:t>范围</w:t>
      </w:r>
    </w:p>
    <w:p>
      <w:pPr>
        <w:pStyle w:val="BodyText"/>
        <w:spacing w:before="9"/>
        <w:rPr>
          <w:rFonts w:ascii="黑体"/>
          <w:sz w:val="27"/>
        </w:rPr>
      </w:pPr>
    </w:p>
    <w:p>
      <w:pPr>
        <w:pStyle w:val="BodyText"/>
        <w:spacing w:line="278" w:lineRule="auto"/>
        <w:ind w:left="678" w:right="467" w:firstLine="420"/>
      </w:pPr>
      <w:r>
        <w:drawing>
          <wp:anchor distT="0" distB="0" distL="0" distR="0" simplePos="0" relativeHeight="251662336" behindDoc="1" locked="0" layoutInCell="1" allowOverlap="1">
            <wp:simplePos x="0" y="0"/>
            <wp:positionH relativeFrom="page">
              <wp:posOffset>1890141</wp:posOffset>
            </wp:positionH>
            <wp:positionV relativeFrom="paragraph">
              <wp:posOffset>226900</wp:posOffset>
            </wp:positionV>
            <wp:extent cx="3780266" cy="497115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9" cstate="print"/>
                    <a:stretch>
                      <a:fillRect/>
                    </a:stretch>
                  </pic:blipFill>
                  <pic:spPr>
                    <a:xfrm>
                      <a:off x="0" y="0"/>
                      <a:ext cx="3780266" cy="4971151"/>
                    </a:xfrm>
                    <a:prstGeom prst="rect">
                      <a:avLst/>
                    </a:prstGeom>
                  </pic:spPr>
                </pic:pic>
              </a:graphicData>
            </a:graphic>
          </wp:anchor>
        </w:drawing>
      </w:r>
      <w:r>
        <w:t xml:space="preserve">本文件规定了辣椒农业气象观测的观测原则，观测要求，生育期观测、生长状况观测、气象观测、气象灾害和病虫害观测与调查、产量分析和田间工作记载。 </w:t>
      </w:r>
    </w:p>
    <w:p>
      <w:pPr>
        <w:pStyle w:val="BodyText"/>
        <w:spacing w:line="269" w:lineRule="exact"/>
        <w:ind w:left="1098"/>
      </w:pPr>
      <w:r>
        <w:t xml:space="preserve">本文件适用于开展辣椒农业气象观测的业务、服务和科研。 </w:t>
      </w:r>
    </w:p>
    <w:p>
      <w:pPr>
        <w:pStyle w:val="BodyText"/>
        <w:spacing w:before="11"/>
        <w:rPr>
          <w:sz w:val="27"/>
        </w:rPr>
      </w:pPr>
    </w:p>
    <w:p>
      <w:pPr>
        <w:pStyle w:val="ListParagraph"/>
        <w:numPr>
          <w:ilvl w:val="0"/>
          <w:numId w:val="10"/>
        </w:numPr>
        <w:tabs>
          <w:tab w:val="left" w:pos="994"/>
          <w:tab w:val="left" w:pos="995"/>
        </w:tabs>
        <w:spacing w:before="0" w:after="0" w:line="240" w:lineRule="auto"/>
        <w:ind w:left="994" w:right="0" w:hanging="317"/>
        <w:jc w:val="left"/>
        <w:rPr>
          <w:rFonts w:ascii="黑体" w:eastAsia="黑体" w:hint="eastAsia"/>
          <w:sz w:val="21"/>
        </w:rPr>
      </w:pPr>
      <w:bookmarkStart w:id="2" w:name="_bookmark2"/>
      <w:bookmarkEnd w:id="2"/>
      <w:r>
        <w:rPr>
          <w:rFonts w:ascii="黑体" w:eastAsia="黑体" w:hint="eastAsia"/>
          <w:sz w:val="21"/>
        </w:rPr>
        <w:t>规范性引用文件</w:t>
      </w:r>
    </w:p>
    <w:p>
      <w:pPr>
        <w:pStyle w:val="BodyText"/>
        <w:spacing w:before="7"/>
        <w:rPr>
          <w:rFonts w:ascii="黑体"/>
          <w:sz w:val="27"/>
        </w:rPr>
      </w:pPr>
    </w:p>
    <w:p>
      <w:pPr>
        <w:pStyle w:val="BodyText"/>
        <w:spacing w:line="278" w:lineRule="auto"/>
        <w:ind w:left="678" w:right="467" w:firstLine="420"/>
      </w:pPr>
      <w:r>
        <w:rPr>
          <w:spacing w:val="-8"/>
        </w:rPr>
        <w:t xml:space="preserve">下列文件中的内容通过文中的规范性引用而构成本文件必不可少的条款。其中，注日期的引用文件， </w:t>
      </w:r>
      <w:r>
        <w:rPr>
          <w:spacing w:val="-4"/>
        </w:rPr>
        <w:t>仅该日期对应的版本适用于本文件；不注日期的引用文件，其最新版本</w:t>
      </w:r>
      <w:r>
        <w:t>（包括所有的修改单</w:t>
      </w:r>
      <w:r>
        <w:rPr>
          <w:spacing w:val="-24"/>
        </w:rPr>
        <w:t>）</w:t>
      </w:r>
      <w:r>
        <w:t xml:space="preserve">适用于本文件。 </w:t>
      </w:r>
    </w:p>
    <w:p>
      <w:pPr>
        <w:pStyle w:val="BodyText"/>
        <w:spacing w:line="278" w:lineRule="auto"/>
        <w:ind w:left="1098" w:right="4991"/>
      </w:pPr>
      <w:r>
        <w:t>GB/T</w:t>
      </w:r>
      <w:r>
        <w:rPr>
          <w:spacing w:val="36"/>
        </w:rPr>
        <w:t xml:space="preserve"> </w:t>
      </w:r>
      <w:r>
        <w:t>35221-2017</w:t>
      </w:r>
      <w:r>
        <w:rPr>
          <w:spacing w:val="2"/>
        </w:rPr>
        <w:t xml:space="preserve">  地面气象观测规范 总则 GB/T</w:t>
      </w:r>
      <w:r>
        <w:rPr>
          <w:spacing w:val="-1"/>
        </w:rPr>
        <w:t xml:space="preserve"> </w:t>
      </w:r>
      <w:r>
        <w:t>35237-2017</w:t>
      </w:r>
      <w:r>
        <w:rPr>
          <w:spacing w:val="4"/>
        </w:rPr>
        <w:t xml:space="preserve"> 地面气象观测规范 自动观测 </w:t>
      </w:r>
    </w:p>
    <w:p>
      <w:pPr>
        <w:pStyle w:val="BodyText"/>
        <w:spacing w:before="5"/>
        <w:rPr>
          <w:sz w:val="24"/>
        </w:rPr>
      </w:pPr>
    </w:p>
    <w:p>
      <w:pPr>
        <w:pStyle w:val="ListParagraph"/>
        <w:numPr>
          <w:ilvl w:val="0"/>
          <w:numId w:val="10"/>
        </w:numPr>
        <w:tabs>
          <w:tab w:val="left" w:pos="994"/>
          <w:tab w:val="left" w:pos="995"/>
        </w:tabs>
        <w:spacing w:before="1" w:after="0" w:line="240" w:lineRule="auto"/>
        <w:ind w:left="994" w:right="0" w:hanging="317"/>
        <w:jc w:val="left"/>
        <w:rPr>
          <w:rFonts w:ascii="黑体" w:eastAsia="黑体" w:hint="eastAsia"/>
          <w:sz w:val="21"/>
        </w:rPr>
      </w:pPr>
      <w:bookmarkStart w:id="3" w:name="_bookmark3"/>
      <w:bookmarkEnd w:id="3"/>
      <w:r>
        <w:rPr>
          <w:rFonts w:ascii="黑体" w:eastAsia="黑体" w:hint="eastAsia"/>
          <w:sz w:val="21"/>
        </w:rPr>
        <w:t>术语和定义</w:t>
      </w:r>
    </w:p>
    <w:p>
      <w:pPr>
        <w:pStyle w:val="BodyText"/>
        <w:spacing w:before="8"/>
        <w:rPr>
          <w:rFonts w:ascii="黑体"/>
          <w:sz w:val="27"/>
        </w:rPr>
      </w:pPr>
    </w:p>
    <w:p>
      <w:pPr>
        <w:pStyle w:val="BodyText"/>
        <w:ind w:left="1098"/>
      </w:pPr>
      <w:r>
        <w:t xml:space="preserve">下列术语和定义适用于本文件。 </w:t>
      </w:r>
    </w:p>
    <w:p>
      <w:pPr>
        <w:pStyle w:val="BodyText"/>
        <w:spacing w:before="6"/>
        <w:rPr>
          <w:sz w:val="15"/>
        </w:rPr>
      </w:pPr>
    </w:p>
    <w:p>
      <w:pPr>
        <w:pStyle w:val="ListParagraph"/>
        <w:numPr>
          <w:ilvl w:val="1"/>
          <w:numId w:val="10"/>
        </w:numPr>
        <w:tabs>
          <w:tab w:val="left" w:pos="995"/>
        </w:tabs>
        <w:spacing w:before="1" w:after="0" w:line="240" w:lineRule="auto"/>
        <w:ind w:left="994" w:right="0" w:hanging="317"/>
        <w:jc w:val="left"/>
        <w:rPr>
          <w:rFonts w:ascii="黑体"/>
          <w:sz w:val="21"/>
        </w:rPr>
      </w:pPr>
      <w:r>
        <w:rPr>
          <w:rFonts w:ascii="黑体"/>
          <w:sz w:val="21"/>
        </w:rPr>
        <w:t>3.1</w:t>
      </w:r>
    </w:p>
    <w:p>
      <w:pPr>
        <w:pStyle w:val="BodyText"/>
        <w:spacing w:before="6"/>
        <w:rPr>
          <w:rFonts w:ascii="黑体"/>
          <w:sz w:val="15"/>
        </w:rPr>
      </w:pPr>
    </w:p>
    <w:p>
      <w:pPr>
        <w:pStyle w:val="BodyText"/>
        <w:ind w:left="1098"/>
        <w:rPr>
          <w:rFonts w:ascii="黑体" w:eastAsia="黑体" w:hint="eastAsia"/>
        </w:rPr>
      </w:pPr>
      <w:r>
        <w:rPr>
          <w:rFonts w:ascii="黑体" w:eastAsia="黑体" w:hint="eastAsia"/>
        </w:rPr>
        <w:t>植株密度 plant density</w:t>
      </w:r>
    </w:p>
    <w:p>
      <w:pPr>
        <w:pStyle w:val="BodyText"/>
        <w:spacing w:before="7"/>
        <w:rPr>
          <w:rFonts w:ascii="黑体"/>
          <w:sz w:val="15"/>
        </w:rPr>
      </w:pPr>
    </w:p>
    <w:p>
      <w:pPr>
        <w:pStyle w:val="BodyText"/>
        <w:ind w:left="1098"/>
      </w:pPr>
      <w:r>
        <w:t xml:space="preserve">单位土地面积上辣椒植株的数量。 </w:t>
      </w:r>
    </w:p>
    <w:p>
      <w:pPr>
        <w:pStyle w:val="BodyText"/>
        <w:spacing w:before="7"/>
        <w:rPr>
          <w:sz w:val="15"/>
        </w:rPr>
      </w:pPr>
    </w:p>
    <w:p>
      <w:pPr>
        <w:pStyle w:val="ListParagraph"/>
        <w:numPr>
          <w:ilvl w:val="1"/>
          <w:numId w:val="10"/>
        </w:numPr>
        <w:tabs>
          <w:tab w:val="left" w:pos="995"/>
        </w:tabs>
        <w:spacing w:before="0" w:after="0" w:line="240" w:lineRule="auto"/>
        <w:ind w:left="994" w:right="0" w:hanging="317"/>
        <w:jc w:val="left"/>
        <w:rPr>
          <w:rFonts w:ascii="黑体"/>
          <w:sz w:val="21"/>
        </w:rPr>
      </w:pPr>
      <w:r>
        <w:rPr>
          <w:rFonts w:ascii="黑体"/>
          <w:sz w:val="21"/>
        </w:rPr>
        <w:t>3.2</w:t>
      </w:r>
    </w:p>
    <w:p>
      <w:pPr>
        <w:pStyle w:val="BodyText"/>
        <w:spacing w:before="6"/>
        <w:rPr>
          <w:rFonts w:ascii="黑体"/>
          <w:sz w:val="15"/>
        </w:rPr>
      </w:pPr>
    </w:p>
    <w:p>
      <w:pPr>
        <w:pStyle w:val="BodyText"/>
        <w:spacing w:before="1"/>
        <w:ind w:left="1098"/>
        <w:rPr>
          <w:rFonts w:ascii="黑体" w:eastAsia="黑体" w:hint="eastAsia"/>
        </w:rPr>
      </w:pPr>
      <w:r>
        <w:rPr>
          <w:rFonts w:ascii="黑体" w:eastAsia="黑体" w:hint="eastAsia"/>
        </w:rPr>
        <w:t>生育期 stage of growth</w:t>
      </w:r>
    </w:p>
    <w:p>
      <w:pPr>
        <w:pStyle w:val="BodyText"/>
        <w:spacing w:before="6"/>
        <w:rPr>
          <w:rFonts w:ascii="黑体"/>
          <w:sz w:val="15"/>
        </w:rPr>
      </w:pPr>
    </w:p>
    <w:p>
      <w:pPr>
        <w:pStyle w:val="BodyText"/>
        <w:ind w:left="1098"/>
      </w:pPr>
      <w:r>
        <w:t xml:space="preserve">辣椒从播种到果实采收结束期间其形态和生理上发生显著变化的各生长发育周期。 </w:t>
      </w:r>
    </w:p>
    <w:p>
      <w:pPr>
        <w:pStyle w:val="BodyText"/>
        <w:spacing w:before="7"/>
        <w:rPr>
          <w:sz w:val="15"/>
        </w:rPr>
      </w:pPr>
    </w:p>
    <w:p>
      <w:pPr>
        <w:pStyle w:val="ListParagraph"/>
        <w:numPr>
          <w:ilvl w:val="1"/>
          <w:numId w:val="10"/>
        </w:numPr>
        <w:tabs>
          <w:tab w:val="left" w:pos="995"/>
        </w:tabs>
        <w:spacing w:before="0" w:after="0" w:line="240" w:lineRule="auto"/>
        <w:ind w:left="994" w:right="0" w:hanging="317"/>
        <w:jc w:val="left"/>
        <w:rPr>
          <w:rFonts w:ascii="黑体"/>
          <w:sz w:val="21"/>
        </w:rPr>
      </w:pPr>
      <w:r>
        <w:rPr>
          <w:rFonts w:ascii="黑体"/>
          <w:sz w:val="21"/>
        </w:rPr>
        <w:t>3.3</w:t>
      </w:r>
    </w:p>
    <w:p>
      <w:pPr>
        <w:pStyle w:val="BodyText"/>
        <w:spacing w:before="7"/>
        <w:rPr>
          <w:rFonts w:ascii="黑体"/>
          <w:sz w:val="15"/>
        </w:rPr>
      </w:pPr>
    </w:p>
    <w:p>
      <w:pPr>
        <w:pStyle w:val="BodyText"/>
        <w:ind w:left="1098"/>
        <w:rPr>
          <w:rFonts w:ascii="黑体" w:eastAsia="黑体" w:hint="eastAsia"/>
        </w:rPr>
      </w:pPr>
      <w:r>
        <w:rPr>
          <w:rFonts w:ascii="黑体" w:eastAsia="黑体" w:hint="eastAsia"/>
        </w:rPr>
        <w:t>植株高度 plant height</w:t>
      </w:r>
    </w:p>
    <w:p>
      <w:pPr>
        <w:pStyle w:val="BodyText"/>
        <w:spacing w:before="6"/>
        <w:rPr>
          <w:rFonts w:ascii="黑体"/>
          <w:sz w:val="15"/>
        </w:rPr>
      </w:pPr>
    </w:p>
    <w:p>
      <w:pPr>
        <w:pStyle w:val="BodyText"/>
        <w:spacing w:before="1"/>
        <w:ind w:left="1098"/>
      </w:pPr>
      <w:r>
        <w:t xml:space="preserve">辣椒植株在自然状态下，其最高点至地面的垂直距离。 </w:t>
      </w:r>
    </w:p>
    <w:p>
      <w:pPr>
        <w:pStyle w:val="BodyText"/>
        <w:spacing w:before="6"/>
        <w:rPr>
          <w:sz w:val="15"/>
        </w:rPr>
      </w:pPr>
    </w:p>
    <w:p>
      <w:pPr>
        <w:pStyle w:val="ListParagraph"/>
        <w:numPr>
          <w:ilvl w:val="1"/>
          <w:numId w:val="10"/>
        </w:numPr>
        <w:tabs>
          <w:tab w:val="left" w:pos="995"/>
        </w:tabs>
        <w:spacing w:before="0" w:after="0" w:line="240" w:lineRule="auto"/>
        <w:ind w:left="994" w:right="0" w:hanging="317"/>
        <w:jc w:val="left"/>
        <w:rPr>
          <w:rFonts w:ascii="黑体"/>
          <w:sz w:val="21"/>
        </w:rPr>
      </w:pPr>
      <w:r>
        <w:rPr>
          <w:rFonts w:ascii="黑体"/>
          <w:sz w:val="21"/>
        </w:rPr>
        <w:t>3.4</w:t>
      </w:r>
    </w:p>
    <w:p>
      <w:pPr>
        <w:pStyle w:val="BodyText"/>
        <w:spacing w:before="7"/>
        <w:rPr>
          <w:rFonts w:ascii="黑体"/>
          <w:sz w:val="15"/>
        </w:rPr>
      </w:pPr>
    </w:p>
    <w:p>
      <w:pPr>
        <w:pStyle w:val="BodyText"/>
        <w:ind w:left="1098"/>
        <w:rPr>
          <w:rFonts w:ascii="黑体" w:eastAsia="黑体" w:hint="eastAsia"/>
        </w:rPr>
      </w:pPr>
      <w:r>
        <w:rPr>
          <w:rFonts w:ascii="黑体" w:eastAsia="黑体" w:hint="eastAsia"/>
        </w:rPr>
        <w:t>茎粗 stem diameter</w:t>
      </w:r>
    </w:p>
    <w:p>
      <w:pPr>
        <w:pStyle w:val="BodyText"/>
        <w:spacing w:before="7"/>
        <w:rPr>
          <w:rFonts w:ascii="黑体"/>
          <w:sz w:val="15"/>
        </w:rPr>
      </w:pPr>
    </w:p>
    <w:p>
      <w:pPr>
        <w:pStyle w:val="BodyText"/>
        <w:ind w:left="1098"/>
      </w:pPr>
      <w:r>
        <w:t xml:space="preserve">辣椒植株在自然状态下，茎基部位直径大小。 </w:t>
      </w:r>
    </w:p>
    <w:p>
      <w:pPr>
        <w:spacing w:after="0"/>
        <w:sectPr>
          <w:headerReference w:type="even" r:id="rId20"/>
          <w:headerReference w:type="default" r:id="rId21"/>
          <w:footerReference w:type="even" r:id="rId22"/>
          <w:footerReference w:type="default" r:id="rId23"/>
          <w:pgSz w:w="11910" w:h="16840"/>
          <w:pgMar w:top="1640" w:right="560" w:bottom="1340" w:left="740" w:header="1448" w:footer="1141"/>
          <w:pgNumType w:start="1"/>
          <w:cols w:space="708"/>
        </w:sectPr>
      </w:pPr>
    </w:p>
    <w:p>
      <w:pPr>
        <w:pStyle w:val="BodyText"/>
        <w:spacing w:before="1"/>
        <w:rPr>
          <w:sz w:val="8"/>
        </w:rPr>
      </w:pPr>
    </w:p>
    <w:p>
      <w:pPr>
        <w:pStyle w:val="ListParagraph"/>
        <w:numPr>
          <w:ilvl w:val="0"/>
          <w:numId w:val="9"/>
        </w:numPr>
        <w:tabs>
          <w:tab w:val="left" w:pos="709"/>
          <w:tab w:val="left" w:pos="710"/>
        </w:tabs>
        <w:spacing w:before="71" w:after="0" w:line="240" w:lineRule="auto"/>
        <w:ind w:left="709" w:right="0" w:hanging="316"/>
        <w:jc w:val="left"/>
        <w:rPr>
          <w:rFonts w:ascii="黑体" w:eastAsia="黑体" w:hint="eastAsia"/>
          <w:sz w:val="21"/>
        </w:rPr>
      </w:pPr>
      <w:bookmarkStart w:id="4" w:name="_bookmark4"/>
      <w:bookmarkEnd w:id="4"/>
      <w:r>
        <w:rPr>
          <w:rFonts w:ascii="黑体" w:eastAsia="黑体" w:hint="eastAsia"/>
          <w:sz w:val="21"/>
        </w:rPr>
        <w:t>观测原则</w:t>
      </w:r>
    </w:p>
    <w:p>
      <w:pPr>
        <w:pStyle w:val="BodyText"/>
        <w:spacing w:before="1"/>
        <w:rPr>
          <w:rFonts w:ascii="黑体"/>
          <w:sz w:val="22"/>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平行观测</w:t>
      </w:r>
    </w:p>
    <w:p>
      <w:pPr>
        <w:pStyle w:val="BodyText"/>
        <w:rPr>
          <w:rFonts w:ascii="黑体"/>
          <w:sz w:val="10"/>
        </w:rPr>
      </w:pPr>
    </w:p>
    <w:p>
      <w:pPr>
        <w:pStyle w:val="BodyText"/>
        <w:spacing w:before="71" w:line="278" w:lineRule="auto"/>
        <w:ind w:left="394" w:right="855" w:firstLine="420"/>
      </w:pPr>
      <w:r>
        <w:rPr>
          <w:spacing w:val="-8"/>
        </w:rPr>
        <w:t>观测辣椒的发育进程、生长状况、产量，同时观测辣椒生长环境的物理要素</w:t>
      </w:r>
      <w:r>
        <w:t>（</w:t>
      </w:r>
      <w:r>
        <w:rPr>
          <w:spacing w:val="-2"/>
        </w:rPr>
        <w:t>包括气象要素和环境</w:t>
      </w:r>
      <w:r>
        <w:t xml:space="preserve">要素等）。 </w:t>
      </w:r>
    </w:p>
    <w:p>
      <w:pPr>
        <w:pStyle w:val="ListParagraph"/>
        <w:numPr>
          <w:ilvl w:val="1"/>
          <w:numId w:val="9"/>
        </w:numPr>
        <w:tabs>
          <w:tab w:val="left" w:pos="919"/>
          <w:tab w:val="left" w:pos="920"/>
        </w:tabs>
        <w:spacing w:before="156" w:after="0" w:line="240" w:lineRule="auto"/>
        <w:ind w:left="920" w:right="0" w:hanging="526"/>
        <w:jc w:val="left"/>
        <w:rPr>
          <w:rFonts w:ascii="黑体" w:eastAsia="黑体" w:hint="eastAsia"/>
          <w:sz w:val="21"/>
        </w:rPr>
      </w:pPr>
      <w:r>
        <w:rPr>
          <w:rFonts w:ascii="黑体" w:eastAsia="黑体" w:hint="eastAsia"/>
          <w:sz w:val="21"/>
        </w:rPr>
        <w:t>点与面结合</w:t>
      </w:r>
    </w:p>
    <w:p>
      <w:pPr>
        <w:pStyle w:val="BodyText"/>
        <w:rPr>
          <w:rFonts w:ascii="黑体"/>
          <w:sz w:val="10"/>
        </w:rPr>
      </w:pPr>
    </w:p>
    <w:p>
      <w:pPr>
        <w:pStyle w:val="BodyText"/>
        <w:spacing w:before="70" w:line="278" w:lineRule="auto"/>
        <w:ind w:left="394" w:right="855" w:firstLine="420"/>
      </w:pPr>
      <w:r>
        <w:rPr>
          <w:spacing w:val="-6"/>
        </w:rPr>
        <w:t>应在相对固定的观测地段进行系统的观测；在辣椒生长的关键时期以及当农业气象灾害、辣椒病虫</w:t>
      </w:r>
      <w:r>
        <w:t xml:space="preserve">害发生时，应进行较大范围的农业气象调查，增强观测的代表性。 </w:t>
      </w:r>
    </w:p>
    <w:p>
      <w:pPr>
        <w:pStyle w:val="BodyText"/>
        <w:spacing w:before="6"/>
        <w:rPr>
          <w:sz w:val="24"/>
        </w:rPr>
      </w:pPr>
    </w:p>
    <w:p>
      <w:pPr>
        <w:pStyle w:val="ListParagraph"/>
        <w:numPr>
          <w:ilvl w:val="0"/>
          <w:numId w:val="9"/>
        </w:numPr>
        <w:tabs>
          <w:tab w:val="left" w:pos="709"/>
          <w:tab w:val="left" w:pos="710"/>
        </w:tabs>
        <w:spacing w:before="0" w:after="0" w:line="240" w:lineRule="auto"/>
        <w:ind w:left="709" w:right="0" w:hanging="316"/>
        <w:jc w:val="left"/>
        <w:rPr>
          <w:rFonts w:ascii="黑体" w:eastAsia="黑体" w:hint="eastAsia"/>
          <w:sz w:val="21"/>
        </w:rPr>
      </w:pPr>
      <w:bookmarkStart w:id="5" w:name="_bookmark5"/>
      <w:bookmarkEnd w:id="5"/>
      <w:r>
        <w:rPr>
          <w:rFonts w:ascii="黑体" w:eastAsia="黑体" w:hint="eastAsia"/>
          <w:sz w:val="21"/>
        </w:rPr>
        <w:t>观测要求</w:t>
      </w:r>
    </w:p>
    <w:p>
      <w:pPr>
        <w:pStyle w:val="BodyText"/>
        <w:spacing w:before="1"/>
        <w:rPr>
          <w:rFonts w:ascii="黑体"/>
          <w:sz w:val="22"/>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观测地段</w:t>
      </w:r>
    </w:p>
    <w:p>
      <w:pPr>
        <w:pStyle w:val="BodyText"/>
        <w:rPr>
          <w:rFonts w:ascii="黑体"/>
          <w:sz w:val="10"/>
        </w:rPr>
      </w:pPr>
    </w:p>
    <w:p>
      <w:pPr>
        <w:pStyle w:val="BodyText"/>
        <w:spacing w:before="70"/>
        <w:ind w:left="814"/>
      </w:pPr>
      <w:r>
        <w:t xml:space="preserve">观测地段要求主要包括但不限于： </w:t>
      </w:r>
    </w:p>
    <w:p>
      <w:pPr>
        <w:pStyle w:val="ListParagraph"/>
        <w:numPr>
          <w:ilvl w:val="2"/>
          <w:numId w:val="9"/>
        </w:numPr>
        <w:tabs>
          <w:tab w:val="left" w:pos="1245"/>
          <w:tab w:val="left" w:pos="1246"/>
        </w:tabs>
        <w:spacing w:before="43" w:after="0" w:line="240" w:lineRule="auto"/>
        <w:ind w:left="1245" w:right="0" w:hanging="428"/>
        <w:jc w:val="left"/>
        <w:rPr>
          <w:sz w:val="21"/>
        </w:rPr>
      </w:pPr>
      <w:r>
        <w:rPr>
          <w:sz w:val="21"/>
        </w:rPr>
        <w:t xml:space="preserve">观测地段具有代表性，代表当地地形、地势、气候、土壤、耕作制度及产量水平。 </w:t>
      </w:r>
    </w:p>
    <w:p>
      <w:pPr>
        <w:pStyle w:val="ListParagraph"/>
        <w:numPr>
          <w:ilvl w:val="2"/>
          <w:numId w:val="9"/>
        </w:numPr>
        <w:tabs>
          <w:tab w:val="left" w:pos="1245"/>
          <w:tab w:val="left" w:pos="1246"/>
        </w:tabs>
        <w:spacing w:before="33" w:after="0" w:line="240" w:lineRule="auto"/>
        <w:ind w:left="1245" w:right="0" w:hanging="428"/>
        <w:jc w:val="left"/>
        <w:rPr>
          <w:sz w:val="21"/>
        </w:rPr>
      </w:pPr>
      <w:r>
        <w:rPr>
          <w:spacing w:val="-6"/>
          <w:sz w:val="21"/>
        </w:rPr>
        <w:t xml:space="preserve">观测地段面积不小于 </w:t>
      </w:r>
      <w:r>
        <w:rPr>
          <w:sz w:val="21"/>
        </w:rPr>
        <w:t>0.1</w:t>
      </w:r>
      <w:r>
        <w:rPr>
          <w:spacing w:val="-35"/>
          <w:sz w:val="21"/>
        </w:rPr>
        <w:t xml:space="preserve"> </w:t>
      </w:r>
      <w:r>
        <w:rPr>
          <w:sz w:val="21"/>
        </w:rPr>
        <w:t>hm</w:t>
      </w:r>
      <w:r>
        <w:rPr>
          <w:position w:val="11"/>
          <w:sz w:val="11"/>
        </w:rPr>
        <w:t>2</w:t>
      </w:r>
      <w:r>
        <w:rPr>
          <w:sz w:val="21"/>
        </w:rPr>
        <w:t xml:space="preserve">。 </w:t>
      </w:r>
    </w:p>
    <w:p>
      <w:pPr>
        <w:pStyle w:val="ListParagraph"/>
        <w:numPr>
          <w:ilvl w:val="2"/>
          <w:numId w:val="9"/>
        </w:numPr>
        <w:tabs>
          <w:tab w:val="left" w:pos="1246"/>
        </w:tabs>
        <w:spacing w:before="43" w:after="0" w:line="278" w:lineRule="auto"/>
        <w:ind w:left="1245" w:right="856" w:hanging="427"/>
        <w:jc w:val="both"/>
        <w:rPr>
          <w:sz w:val="21"/>
        </w:rPr>
      </w:pPr>
      <w:r>
        <w:rPr>
          <w:sz w:val="21"/>
        </w:rPr>
        <w:t>观测地段距林缘、建筑群、道路（公路和铁路）</w:t>
      </w:r>
      <w:r>
        <w:rPr>
          <w:spacing w:val="-9"/>
          <w:sz w:val="21"/>
        </w:rPr>
        <w:t xml:space="preserve">等应在 </w:t>
      </w:r>
      <w:r>
        <w:rPr>
          <w:sz w:val="21"/>
        </w:rPr>
        <w:t>20</w:t>
      </w:r>
      <w:r>
        <w:rPr>
          <w:spacing w:val="-38"/>
          <w:sz w:val="21"/>
        </w:rPr>
        <w:t xml:space="preserve"> </w:t>
      </w:r>
      <w:r>
        <w:rPr>
          <w:sz w:val="21"/>
        </w:rPr>
        <w:t>m</w:t>
      </w:r>
      <w:r>
        <w:rPr>
          <w:spacing w:val="-7"/>
          <w:sz w:val="21"/>
        </w:rPr>
        <w:t xml:space="preserve"> 以上，应远离河流、水库等大型</w:t>
      </w:r>
      <w:r>
        <w:rPr>
          <w:sz w:val="21"/>
        </w:rPr>
        <w:t xml:space="preserve">水体，尽量减少地下水位及小气候的影响。 </w:t>
      </w:r>
    </w:p>
    <w:p>
      <w:pPr>
        <w:pStyle w:val="ListParagraph"/>
        <w:numPr>
          <w:ilvl w:val="2"/>
          <w:numId w:val="9"/>
        </w:numPr>
        <w:tabs>
          <w:tab w:val="left" w:pos="1246"/>
        </w:tabs>
        <w:spacing w:before="0" w:after="0" w:line="278" w:lineRule="auto"/>
        <w:ind w:left="1245" w:right="854" w:hanging="427"/>
        <w:jc w:val="both"/>
        <w:rPr>
          <w:sz w:val="21"/>
        </w:rPr>
      </w:pPr>
      <w:r>
        <w:rPr>
          <w:spacing w:val="-7"/>
          <w:sz w:val="21"/>
        </w:rPr>
        <w:t xml:space="preserve">观测地段尽可能保持相对稳定，为使观测资料具有连续性，可对选定若干观测地段进行编号， </w:t>
      </w:r>
      <w:r>
        <w:rPr>
          <w:spacing w:val="-1"/>
          <w:sz w:val="21"/>
        </w:rPr>
        <w:t xml:space="preserve">每年在这些地段上进行观测。确需调整应选择邻近农田，并进行记载。具体要求见附录 </w:t>
      </w:r>
      <w:r>
        <w:rPr>
          <w:sz w:val="21"/>
        </w:rPr>
        <w:t>A</w:t>
      </w:r>
      <w:r>
        <w:rPr>
          <w:spacing w:val="-9"/>
          <w:sz w:val="21"/>
        </w:rPr>
        <w:t xml:space="preserve"> 表</w:t>
      </w:r>
      <w:r>
        <w:rPr>
          <w:sz w:val="21"/>
        </w:rPr>
        <w:t xml:space="preserve">A.2。 </w:t>
      </w:r>
    </w:p>
    <w:p>
      <w:pPr>
        <w:pStyle w:val="ListParagraph"/>
        <w:numPr>
          <w:ilvl w:val="1"/>
          <w:numId w:val="9"/>
        </w:numPr>
        <w:tabs>
          <w:tab w:val="left" w:pos="919"/>
          <w:tab w:val="left" w:pos="920"/>
        </w:tabs>
        <w:spacing w:before="156" w:after="0" w:line="240" w:lineRule="auto"/>
        <w:ind w:left="920" w:right="0" w:hanging="526"/>
        <w:jc w:val="left"/>
        <w:rPr>
          <w:rFonts w:ascii="黑体" w:eastAsia="黑体" w:hint="eastAsia"/>
          <w:sz w:val="21"/>
        </w:rPr>
      </w:pPr>
      <w:r>
        <w:rPr>
          <w:rFonts w:ascii="黑体" w:eastAsia="黑体" w:hint="eastAsia"/>
          <w:sz w:val="21"/>
        </w:rPr>
        <w:t>观测点</w:t>
      </w:r>
    </w:p>
    <w:p>
      <w:pPr>
        <w:pStyle w:val="BodyText"/>
        <w:rPr>
          <w:rFonts w:ascii="黑体"/>
          <w:sz w:val="10"/>
        </w:rPr>
      </w:pPr>
    </w:p>
    <w:p>
      <w:pPr>
        <w:pStyle w:val="BodyText"/>
        <w:spacing w:before="71"/>
        <w:ind w:left="814"/>
      </w:pPr>
      <w:r>
        <w:t xml:space="preserve">观测地点要求主要包括但不限于： </w:t>
      </w:r>
    </w:p>
    <w:p>
      <w:pPr>
        <w:pStyle w:val="ListParagraph"/>
        <w:numPr>
          <w:ilvl w:val="2"/>
          <w:numId w:val="9"/>
        </w:numPr>
        <w:tabs>
          <w:tab w:val="left" w:pos="1245"/>
          <w:tab w:val="left" w:pos="1246"/>
        </w:tabs>
        <w:spacing w:before="43" w:after="0" w:line="240" w:lineRule="auto"/>
        <w:ind w:left="1245" w:right="0" w:hanging="428"/>
        <w:jc w:val="left"/>
        <w:rPr>
          <w:sz w:val="21"/>
        </w:rPr>
      </w:pPr>
      <w:r>
        <w:rPr>
          <w:spacing w:val="-4"/>
          <w:sz w:val="21"/>
        </w:rPr>
        <w:t xml:space="preserve">将观测地段按其田块形状等分 </w:t>
      </w:r>
      <w:r>
        <w:rPr>
          <w:sz w:val="21"/>
        </w:rPr>
        <w:t>4</w:t>
      </w:r>
      <w:r>
        <w:rPr>
          <w:spacing w:val="-13"/>
          <w:sz w:val="21"/>
        </w:rPr>
        <w:t xml:space="preserve"> 个区，各项观测在 </w:t>
      </w:r>
      <w:r>
        <w:rPr>
          <w:sz w:val="21"/>
        </w:rPr>
        <w:t>4</w:t>
      </w:r>
      <w:r>
        <w:rPr>
          <w:spacing w:val="-8"/>
          <w:sz w:val="21"/>
        </w:rPr>
        <w:t xml:space="preserve"> 个区内分别进行。 </w:t>
      </w:r>
    </w:p>
    <w:p>
      <w:pPr>
        <w:pStyle w:val="ListParagraph"/>
        <w:numPr>
          <w:ilvl w:val="2"/>
          <w:numId w:val="9"/>
        </w:numPr>
        <w:tabs>
          <w:tab w:val="left" w:pos="1245"/>
          <w:tab w:val="left" w:pos="1246"/>
        </w:tabs>
        <w:spacing w:before="43" w:after="0" w:line="240" w:lineRule="auto"/>
        <w:ind w:left="1245" w:right="0" w:hanging="428"/>
        <w:jc w:val="left"/>
        <w:rPr>
          <w:sz w:val="21"/>
        </w:rPr>
      </w:pPr>
      <w:r>
        <w:rPr>
          <w:spacing w:val="-7"/>
          <w:sz w:val="21"/>
        </w:rPr>
        <w:t xml:space="preserve">测点位于观测地段 </w:t>
      </w:r>
      <w:r>
        <w:rPr>
          <w:sz w:val="21"/>
        </w:rPr>
        <w:t>4</w:t>
      </w:r>
      <w:r>
        <w:rPr>
          <w:spacing w:val="-8"/>
          <w:sz w:val="21"/>
        </w:rPr>
        <w:t xml:space="preserve"> 个区内，各选有代表性的一个点，作上标记，并按区编号。 </w:t>
      </w:r>
    </w:p>
    <w:p>
      <w:pPr>
        <w:pStyle w:val="ListParagraph"/>
        <w:numPr>
          <w:ilvl w:val="2"/>
          <w:numId w:val="9"/>
        </w:numPr>
        <w:tabs>
          <w:tab w:val="left" w:pos="1245"/>
          <w:tab w:val="left" w:pos="1246"/>
        </w:tabs>
        <w:spacing w:before="43" w:after="0" w:line="278" w:lineRule="auto"/>
        <w:ind w:left="1245" w:right="868" w:hanging="427"/>
        <w:jc w:val="left"/>
        <w:rPr>
          <w:sz w:val="21"/>
        </w:rPr>
      </w:pPr>
      <w:r>
        <w:rPr>
          <w:spacing w:val="-1"/>
          <w:sz w:val="21"/>
        </w:rPr>
        <w:t>测点之间应保持一定距离，位置交错排列，使之纵横都不在同一个行上。测点距田地边缘最</w:t>
      </w:r>
      <w:r>
        <w:rPr>
          <w:spacing w:val="-7"/>
          <w:sz w:val="21"/>
        </w:rPr>
        <w:t xml:space="preserve">近距离不能小于 </w:t>
      </w:r>
      <w:r>
        <w:rPr>
          <w:sz w:val="21"/>
        </w:rPr>
        <w:t>2</w:t>
      </w:r>
      <w:r>
        <w:rPr>
          <w:spacing w:val="-36"/>
          <w:sz w:val="21"/>
        </w:rPr>
        <w:t xml:space="preserve"> </w:t>
      </w:r>
      <w:r>
        <w:rPr>
          <w:sz w:val="21"/>
        </w:rPr>
        <w:t xml:space="preserve">m，以避免边际影响，避免选在地头、道路旁和入、排水口处。 </w:t>
      </w:r>
    </w:p>
    <w:p>
      <w:pPr>
        <w:pStyle w:val="ListParagraph"/>
        <w:numPr>
          <w:ilvl w:val="1"/>
          <w:numId w:val="9"/>
        </w:numPr>
        <w:tabs>
          <w:tab w:val="left" w:pos="919"/>
          <w:tab w:val="left" w:pos="920"/>
        </w:tabs>
        <w:spacing w:before="156" w:after="0" w:line="240" w:lineRule="auto"/>
        <w:ind w:left="920" w:right="0" w:hanging="526"/>
        <w:jc w:val="left"/>
        <w:rPr>
          <w:rFonts w:ascii="黑体" w:eastAsia="黑体" w:hint="eastAsia"/>
          <w:sz w:val="21"/>
        </w:rPr>
      </w:pPr>
      <w:r>
        <w:rPr>
          <w:rFonts w:ascii="黑体" w:eastAsia="黑体" w:hint="eastAsia"/>
          <w:sz w:val="21"/>
        </w:rPr>
        <w:t>观测植株</w:t>
      </w:r>
    </w:p>
    <w:p>
      <w:pPr>
        <w:pStyle w:val="BodyText"/>
        <w:rPr>
          <w:rFonts w:ascii="黑体"/>
          <w:sz w:val="10"/>
        </w:rPr>
      </w:pPr>
    </w:p>
    <w:p>
      <w:pPr>
        <w:pStyle w:val="BodyText"/>
        <w:spacing w:before="70"/>
        <w:ind w:left="814"/>
      </w:pPr>
      <w:r>
        <w:t xml:space="preserve">观测植株要求主要包括但不限于： </w:t>
      </w:r>
    </w:p>
    <w:p>
      <w:pPr>
        <w:pStyle w:val="ListParagraph"/>
        <w:numPr>
          <w:ilvl w:val="2"/>
          <w:numId w:val="9"/>
        </w:numPr>
        <w:tabs>
          <w:tab w:val="left" w:pos="1245"/>
          <w:tab w:val="left" w:pos="1246"/>
        </w:tabs>
        <w:spacing w:before="33" w:after="0" w:line="278" w:lineRule="auto"/>
        <w:ind w:left="1245" w:right="854" w:hanging="427"/>
        <w:jc w:val="left"/>
        <w:rPr>
          <w:sz w:val="21"/>
        </w:rPr>
      </w:pPr>
      <w:r>
        <w:rPr>
          <w:spacing w:val="-3"/>
          <w:sz w:val="21"/>
        </w:rPr>
        <w:t xml:space="preserve">育苗期植株不固定，顺延苗床方向随机选择 </w:t>
      </w:r>
      <w:r>
        <w:rPr>
          <w:sz w:val="21"/>
        </w:rPr>
        <w:t>4</w:t>
      </w:r>
      <w:r>
        <w:rPr>
          <w:spacing w:val="-9"/>
          <w:sz w:val="21"/>
        </w:rPr>
        <w:t xml:space="preserve"> 个代表点，每个代表点面积不小于 </w:t>
      </w:r>
      <w:r>
        <w:rPr>
          <w:sz w:val="21"/>
        </w:rPr>
        <w:t>0.25</w:t>
      </w:r>
      <w:r>
        <w:rPr>
          <w:spacing w:val="-37"/>
          <w:sz w:val="21"/>
        </w:rPr>
        <w:t xml:space="preserve"> </w:t>
      </w:r>
      <w:r>
        <w:rPr>
          <w:sz w:val="21"/>
        </w:rPr>
        <w:t>m</w:t>
      </w:r>
      <w:r>
        <w:rPr>
          <w:position w:val="11"/>
          <w:sz w:val="11"/>
        </w:rPr>
        <w:t>2</w:t>
      </w:r>
      <w:r>
        <w:rPr>
          <w:spacing w:val="-9"/>
          <w:sz w:val="21"/>
        </w:rPr>
        <w:t>，代</w:t>
      </w:r>
      <w:r>
        <w:rPr>
          <w:spacing w:val="-7"/>
          <w:sz w:val="21"/>
        </w:rPr>
        <w:t xml:space="preserve">表点内任意选取 </w:t>
      </w:r>
      <w:r>
        <w:rPr>
          <w:sz w:val="21"/>
        </w:rPr>
        <w:t>10</w:t>
      </w:r>
      <w:r>
        <w:rPr>
          <w:spacing w:val="-18"/>
          <w:sz w:val="21"/>
        </w:rPr>
        <w:t xml:space="preserve"> 株，</w:t>
      </w:r>
      <w:r>
        <w:rPr>
          <w:sz w:val="21"/>
        </w:rPr>
        <w:t>4</w:t>
      </w:r>
      <w:r>
        <w:rPr>
          <w:spacing w:val="-22"/>
          <w:sz w:val="21"/>
        </w:rPr>
        <w:t xml:space="preserve"> 个点共 </w:t>
      </w:r>
      <w:r>
        <w:rPr>
          <w:sz w:val="21"/>
        </w:rPr>
        <w:t>40</w:t>
      </w:r>
      <w:r>
        <w:rPr>
          <w:spacing w:val="-9"/>
          <w:sz w:val="21"/>
        </w:rPr>
        <w:t xml:space="preserve"> 株进行观测。 </w:t>
      </w:r>
    </w:p>
    <w:p>
      <w:pPr>
        <w:pStyle w:val="ListParagraph"/>
        <w:numPr>
          <w:ilvl w:val="2"/>
          <w:numId w:val="9"/>
        </w:numPr>
        <w:tabs>
          <w:tab w:val="left" w:pos="1245"/>
          <w:tab w:val="left" w:pos="1246"/>
        </w:tabs>
        <w:spacing w:before="0" w:after="0" w:line="278" w:lineRule="auto"/>
        <w:ind w:left="1245" w:right="855" w:hanging="427"/>
        <w:jc w:val="left"/>
        <w:rPr>
          <w:sz w:val="21"/>
        </w:rPr>
      </w:pPr>
      <w:r>
        <w:rPr>
          <w:spacing w:val="-5"/>
          <w:sz w:val="21"/>
        </w:rPr>
        <w:t xml:space="preserve">大田栽培期固定植株观测，每个测点连续选取 </w:t>
      </w:r>
      <w:r>
        <w:rPr>
          <w:sz w:val="21"/>
        </w:rPr>
        <w:t>10</w:t>
      </w:r>
      <w:r>
        <w:rPr>
          <w:spacing w:val="-9"/>
          <w:sz w:val="21"/>
        </w:rPr>
        <w:t xml:space="preserve"> 株并标记，分两行交错排列，4</w:t>
      </w:r>
      <w:r>
        <w:rPr>
          <w:spacing w:val="-22"/>
          <w:sz w:val="21"/>
        </w:rPr>
        <w:t xml:space="preserve"> 个点共 </w:t>
      </w:r>
      <w:r>
        <w:rPr>
          <w:sz w:val="21"/>
        </w:rPr>
        <w:t>40</w:t>
      </w:r>
      <w:r>
        <w:rPr>
          <w:spacing w:val="-33"/>
          <w:sz w:val="21"/>
        </w:rPr>
        <w:t xml:space="preserve"> 株</w:t>
      </w:r>
      <w:r>
        <w:rPr>
          <w:sz w:val="21"/>
        </w:rPr>
        <w:t xml:space="preserve">进行观测。 </w:t>
      </w:r>
    </w:p>
    <w:p>
      <w:pPr>
        <w:pStyle w:val="ListParagraph"/>
        <w:numPr>
          <w:ilvl w:val="2"/>
          <w:numId w:val="9"/>
        </w:numPr>
        <w:tabs>
          <w:tab w:val="left" w:pos="1245"/>
          <w:tab w:val="left" w:pos="1246"/>
        </w:tabs>
        <w:spacing w:before="0" w:after="0" w:line="278" w:lineRule="auto"/>
        <w:ind w:left="1245" w:right="854" w:hanging="427"/>
        <w:jc w:val="left"/>
        <w:rPr>
          <w:sz w:val="21"/>
        </w:rPr>
      </w:pPr>
      <w:r>
        <w:rPr>
          <w:spacing w:val="-6"/>
          <w:sz w:val="21"/>
        </w:rPr>
        <w:t xml:space="preserve">当植株因折断、损伤或死亡 </w:t>
      </w:r>
      <w:r>
        <w:rPr>
          <w:sz w:val="21"/>
        </w:rPr>
        <w:t>2</w:t>
      </w:r>
      <w:r>
        <w:rPr>
          <w:spacing w:val="-27"/>
          <w:sz w:val="21"/>
        </w:rPr>
        <w:t xml:space="preserve"> 株或 </w:t>
      </w:r>
      <w:r>
        <w:rPr>
          <w:sz w:val="21"/>
        </w:rPr>
        <w:t>2</w:t>
      </w:r>
      <w:r>
        <w:rPr>
          <w:spacing w:val="-9"/>
          <w:sz w:val="21"/>
        </w:rPr>
        <w:t xml:space="preserve"> 株以下时，应就近补选；</w:t>
      </w:r>
      <w:r>
        <w:rPr>
          <w:spacing w:val="-7"/>
          <w:sz w:val="21"/>
        </w:rPr>
        <w:t>3</w:t>
      </w:r>
      <w:r>
        <w:rPr>
          <w:spacing w:val="-27"/>
          <w:sz w:val="21"/>
        </w:rPr>
        <w:t xml:space="preserve"> 株或 </w:t>
      </w:r>
      <w:r>
        <w:rPr>
          <w:sz w:val="21"/>
        </w:rPr>
        <w:t>3</w:t>
      </w:r>
      <w:r>
        <w:rPr>
          <w:spacing w:val="-10"/>
          <w:sz w:val="21"/>
        </w:rPr>
        <w:t xml:space="preserve"> 株以上时，则该测点植</w:t>
      </w:r>
      <w:r>
        <w:rPr>
          <w:sz w:val="21"/>
        </w:rPr>
        <w:t xml:space="preserve">株应全部另选，并在备注栏注明。 </w:t>
      </w:r>
    </w:p>
    <w:p>
      <w:pPr>
        <w:pStyle w:val="BodyText"/>
        <w:spacing w:before="6"/>
        <w:rPr>
          <w:sz w:val="24"/>
        </w:rPr>
      </w:pPr>
    </w:p>
    <w:p>
      <w:pPr>
        <w:pStyle w:val="ListParagraph"/>
        <w:numPr>
          <w:ilvl w:val="0"/>
          <w:numId w:val="9"/>
        </w:numPr>
        <w:tabs>
          <w:tab w:val="left" w:pos="709"/>
          <w:tab w:val="left" w:pos="710"/>
        </w:tabs>
        <w:spacing w:before="0" w:after="0" w:line="240" w:lineRule="auto"/>
        <w:ind w:left="709" w:right="0" w:hanging="316"/>
        <w:jc w:val="left"/>
        <w:rPr>
          <w:rFonts w:ascii="黑体" w:eastAsia="黑体" w:hint="eastAsia"/>
          <w:sz w:val="21"/>
        </w:rPr>
      </w:pPr>
      <w:bookmarkStart w:id="6" w:name="_bookmark6"/>
      <w:bookmarkEnd w:id="6"/>
      <w:r>
        <w:rPr>
          <w:rFonts w:ascii="黑体" w:eastAsia="黑体" w:hint="eastAsia"/>
          <w:sz w:val="21"/>
        </w:rPr>
        <w:t>生育期观测</w:t>
      </w:r>
    </w:p>
    <w:p>
      <w:pPr>
        <w:pStyle w:val="BodyText"/>
        <w:spacing w:before="1"/>
        <w:rPr>
          <w:rFonts w:ascii="黑体"/>
          <w:sz w:val="22"/>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生育期标准</w:t>
      </w:r>
    </w:p>
    <w:p>
      <w:pPr>
        <w:pStyle w:val="BodyText"/>
        <w:rPr>
          <w:rFonts w:ascii="黑体"/>
          <w:sz w:val="10"/>
        </w:rPr>
      </w:pPr>
    </w:p>
    <w:p>
      <w:pPr>
        <w:pStyle w:val="ListParagraph"/>
        <w:numPr>
          <w:ilvl w:val="2"/>
          <w:numId w:val="8"/>
        </w:numPr>
        <w:tabs>
          <w:tab w:val="left" w:pos="1129"/>
          <w:tab w:val="left" w:pos="1130"/>
        </w:tabs>
        <w:spacing w:before="70" w:after="0" w:line="240" w:lineRule="auto"/>
        <w:ind w:left="1130" w:right="0" w:hanging="736"/>
        <w:jc w:val="left"/>
        <w:rPr>
          <w:sz w:val="21"/>
        </w:rPr>
      </w:pPr>
      <w:r>
        <w:rPr>
          <w:sz w:val="21"/>
        </w:rPr>
        <w:t xml:space="preserve">辣椒生育期可分为出苗期、幼苗期、现蕾期、开花期、结果期。 </w:t>
      </w:r>
    </w:p>
    <w:p>
      <w:pPr>
        <w:spacing w:after="0" w:line="240" w:lineRule="auto"/>
        <w:jc w:val="left"/>
        <w:rPr>
          <w:sz w:val="21"/>
        </w:rPr>
        <w:sectPr>
          <w:headerReference w:type="even" r:id="rId24"/>
          <w:headerReference w:type="default" r:id="rId25"/>
          <w:footerReference w:type="even" r:id="rId26"/>
          <w:footerReference w:type="default" r:id="rId27"/>
          <w:pgSz w:w="11910" w:h="16840"/>
          <w:pgMar w:top="1640" w:right="560" w:bottom="1340" w:left="740" w:header="1448" w:footer="1141"/>
          <w:pgNumType w:start="2"/>
          <w:cols w:space="708"/>
        </w:sectPr>
      </w:pPr>
    </w:p>
    <w:p>
      <w:pPr>
        <w:pStyle w:val="BodyText"/>
        <w:rPr>
          <w:sz w:val="8"/>
        </w:rPr>
      </w:pPr>
    </w:p>
    <w:p>
      <w:pPr>
        <w:pStyle w:val="ListParagraph"/>
        <w:numPr>
          <w:ilvl w:val="2"/>
          <w:numId w:val="8"/>
        </w:numPr>
        <w:tabs>
          <w:tab w:val="left" w:pos="1414"/>
          <w:tab w:val="left" w:pos="1415"/>
        </w:tabs>
        <w:spacing w:before="70" w:after="0" w:line="240" w:lineRule="auto"/>
        <w:ind w:left="1414" w:right="0" w:hanging="737"/>
        <w:jc w:val="left"/>
        <w:rPr>
          <w:sz w:val="21"/>
        </w:rPr>
      </w:pPr>
      <w:r>
        <w:rPr>
          <w:sz w:val="21"/>
        </w:rPr>
        <w:t xml:space="preserve">出苗期是从种子发芽到第一片真叶出现（破心）。 </w:t>
      </w:r>
    </w:p>
    <w:p>
      <w:pPr>
        <w:pStyle w:val="ListParagraph"/>
        <w:numPr>
          <w:ilvl w:val="2"/>
          <w:numId w:val="8"/>
        </w:numPr>
        <w:tabs>
          <w:tab w:val="left" w:pos="1414"/>
          <w:tab w:val="left" w:pos="1415"/>
        </w:tabs>
        <w:spacing w:before="43" w:after="0" w:line="240" w:lineRule="auto"/>
        <w:ind w:left="1414" w:right="0" w:hanging="737"/>
        <w:jc w:val="left"/>
        <w:rPr>
          <w:sz w:val="21"/>
        </w:rPr>
      </w:pPr>
      <w:r>
        <w:rPr>
          <w:sz w:val="21"/>
        </w:rPr>
        <w:t xml:space="preserve">幼苗期是从第一片真叶出现至开始现蕾前。 </w:t>
      </w:r>
    </w:p>
    <w:p>
      <w:pPr>
        <w:pStyle w:val="ListParagraph"/>
        <w:numPr>
          <w:ilvl w:val="2"/>
          <w:numId w:val="8"/>
        </w:numPr>
        <w:tabs>
          <w:tab w:val="left" w:pos="1414"/>
          <w:tab w:val="left" w:pos="1415"/>
        </w:tabs>
        <w:spacing w:before="43" w:after="0" w:line="240" w:lineRule="auto"/>
        <w:ind w:left="1414" w:right="0" w:hanging="737"/>
        <w:jc w:val="left"/>
        <w:rPr>
          <w:sz w:val="21"/>
        </w:rPr>
      </w:pPr>
      <w:r>
        <w:rPr>
          <w:sz w:val="21"/>
        </w:rPr>
        <w:t xml:space="preserve">现蕾期是主茎第一分枝叉点或枝梢顶端叶腋间出现花蕾。 </w:t>
      </w:r>
    </w:p>
    <w:p>
      <w:pPr>
        <w:pStyle w:val="ListParagraph"/>
        <w:numPr>
          <w:ilvl w:val="2"/>
          <w:numId w:val="8"/>
        </w:numPr>
        <w:tabs>
          <w:tab w:val="left" w:pos="1414"/>
          <w:tab w:val="left" w:pos="1415"/>
        </w:tabs>
        <w:spacing w:before="44" w:after="0" w:line="240" w:lineRule="auto"/>
        <w:ind w:left="1414" w:right="0" w:hanging="737"/>
        <w:jc w:val="left"/>
        <w:rPr>
          <w:sz w:val="21"/>
        </w:rPr>
      </w:pPr>
      <w:r>
        <w:rPr>
          <w:sz w:val="21"/>
        </w:rPr>
        <w:t xml:space="preserve">开花期是指从第一朵花开放开始到开花结束。 </w:t>
      </w:r>
    </w:p>
    <w:p>
      <w:pPr>
        <w:pStyle w:val="ListParagraph"/>
        <w:numPr>
          <w:ilvl w:val="2"/>
          <w:numId w:val="8"/>
        </w:numPr>
        <w:tabs>
          <w:tab w:val="left" w:pos="1414"/>
          <w:tab w:val="left" w:pos="1415"/>
        </w:tabs>
        <w:spacing w:before="43" w:after="0" w:line="240" w:lineRule="auto"/>
        <w:ind w:left="1414" w:right="0" w:hanging="737"/>
        <w:jc w:val="left"/>
        <w:rPr>
          <w:sz w:val="21"/>
        </w:rPr>
      </w:pPr>
      <w:r>
        <w:rPr>
          <w:sz w:val="21"/>
        </w:rPr>
        <w:t xml:space="preserve">结果期是从第一个果实坐果到采收结束。 </w:t>
      </w:r>
    </w:p>
    <w:p>
      <w:pPr>
        <w:pStyle w:val="BodyText"/>
        <w:rPr>
          <w:sz w:val="10"/>
        </w:rPr>
      </w:pPr>
    </w:p>
    <w:p>
      <w:pPr>
        <w:pStyle w:val="ListParagraph"/>
        <w:numPr>
          <w:ilvl w:val="1"/>
          <w:numId w:val="9"/>
        </w:numPr>
        <w:tabs>
          <w:tab w:val="left" w:pos="1204"/>
          <w:tab w:val="left" w:pos="1205"/>
        </w:tabs>
        <w:spacing w:before="70" w:after="0" w:line="240" w:lineRule="auto"/>
        <w:ind w:left="1204" w:right="0" w:hanging="527"/>
        <w:jc w:val="left"/>
        <w:rPr>
          <w:rFonts w:ascii="黑体" w:eastAsia="黑体" w:hint="eastAsia"/>
          <w:sz w:val="21"/>
        </w:rPr>
      </w:pPr>
      <w:r>
        <w:rPr>
          <w:rFonts w:ascii="黑体" w:eastAsia="黑体" w:hint="eastAsia"/>
          <w:sz w:val="21"/>
        </w:rPr>
        <w:t>生育期百分率</w:t>
      </w:r>
    </w:p>
    <w:p>
      <w:pPr>
        <w:pStyle w:val="BodyText"/>
        <w:spacing w:before="1"/>
        <w:rPr>
          <w:rFonts w:ascii="黑体"/>
          <w:sz w:val="10"/>
        </w:rPr>
      </w:pPr>
    </w:p>
    <w:p>
      <w:pPr>
        <w:pStyle w:val="BodyText"/>
        <w:spacing w:before="70" w:line="278" w:lineRule="auto"/>
        <w:ind w:left="678" w:right="571" w:firstLine="420"/>
      </w:pPr>
      <w:r>
        <w:pict>
          <v:group id="_x0000_s1028" style="width:297.7pt;height:391.45pt;margin-top:27.97pt;margin-left:148.83pt;mso-position-horizontal-relative:page;position:absolute;z-index:-251653120" coordorigin="2977,559" coordsize="5954,7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5954;height:7829;left:2976;position:absolute;top:559" stroked="f">
              <v:imagedata r:id="rId19" o:title=""/>
            </v:shape>
            <v:line id="_x0000_s1030" style="position:absolute" from="5846,1131" to="6027,1131" stroked="t" strokecolor="black" strokeweight="0.5pt">
              <v:stroke dashstyle="solid"/>
            </v:line>
          </v:group>
        </w:pict>
      </w:r>
      <w:r>
        <w:rPr>
          <w:spacing w:val="-9"/>
        </w:rPr>
        <w:t>在观测范围内，对每一个生育期的测算，均应先行统计观测总株数，再统计进入生育期的株数，以</w:t>
      </w:r>
      <w:r>
        <w:t xml:space="preserve">统计数据测算生育期百分率，测算结果四舍五入取整数，测算方法见式（1）： </w:t>
      </w:r>
    </w:p>
    <w:p>
      <w:pPr>
        <w:tabs>
          <w:tab w:val="left" w:leader="middleDot" w:pos="9720"/>
        </w:tabs>
        <w:spacing w:before="124" w:line="410" w:lineRule="exact"/>
        <w:ind w:left="4740" w:right="0" w:firstLine="0"/>
        <w:jc w:val="left"/>
        <w:rPr>
          <w:sz w:val="21"/>
        </w:rPr>
      </w:pPr>
      <w:r>
        <w:rPr>
          <w:rFonts w:ascii="Times New Roman" w:hAnsi="Times New Roman"/>
          <w:i/>
          <w:sz w:val="24"/>
        </w:rPr>
        <w:t xml:space="preserve">f  </w:t>
      </w:r>
      <w:r>
        <w:rPr>
          <w:rFonts w:ascii="Symbol" w:hAnsi="Symbol"/>
          <w:sz w:val="24"/>
        </w:rPr>
        <w:sym w:font="Symbol" w:char="F03D"/>
      </w:r>
      <w:r>
        <w:rPr>
          <w:rFonts w:ascii="Times New Roman" w:hAnsi="Times New Roman"/>
          <w:spacing w:val="19"/>
          <w:sz w:val="24"/>
        </w:rPr>
        <w:t xml:space="preserve"> </w:t>
      </w:r>
      <w:r>
        <w:rPr>
          <w:rFonts w:ascii="Times New Roman" w:hAnsi="Times New Roman"/>
          <w:i/>
          <w:position w:val="15"/>
          <w:sz w:val="24"/>
        </w:rPr>
        <w:t>n</w:t>
      </w:r>
      <w:r>
        <w:rPr>
          <w:rFonts w:ascii="Times New Roman" w:hAnsi="Times New Roman"/>
          <w:i/>
          <w:spacing w:val="2"/>
          <w:position w:val="15"/>
          <w:sz w:val="24"/>
        </w:rPr>
        <w:t xml:space="preserve"> </w:t>
      </w:r>
      <w:r>
        <w:rPr>
          <w:rFonts w:ascii="Symbol" w:hAnsi="Symbol"/>
          <w:sz w:val="24"/>
        </w:rPr>
        <w:sym w:font="Symbol" w:char="F0B4"/>
      </w:r>
      <w:r>
        <w:rPr>
          <w:rFonts w:ascii="Times New Roman" w:hAnsi="Times New Roman"/>
          <w:sz w:val="24"/>
        </w:rPr>
        <w:t>100%</w:t>
        <w:tab/>
      </w:r>
      <w:r>
        <w:rPr>
          <w:sz w:val="21"/>
        </w:rPr>
        <w:t xml:space="preserve">(1) </w:t>
      </w:r>
    </w:p>
    <w:p>
      <w:pPr>
        <w:pStyle w:val="Heading2"/>
        <w:ind w:right="179"/>
        <w:jc w:val="center"/>
      </w:pPr>
      <w:r>
        <w:rPr>
          <w:i/>
          <w:w w:val="100"/>
        </w:rPr>
        <w:t>p</w:t>
      </w:r>
    </w:p>
    <w:p>
      <w:pPr>
        <w:pStyle w:val="BodyText"/>
        <w:rPr>
          <w:rFonts w:ascii="Times New Roman"/>
          <w:i/>
          <w:sz w:val="19"/>
        </w:rPr>
      </w:pPr>
    </w:p>
    <w:p>
      <w:pPr>
        <w:pStyle w:val="BodyText"/>
        <w:spacing w:before="71"/>
        <w:ind w:left="1098"/>
      </w:pPr>
      <w:r>
        <w:t>式中：</w:t>
      </w:r>
    </w:p>
    <w:p>
      <w:pPr>
        <w:pStyle w:val="BodyText"/>
        <w:spacing w:before="41" w:line="278" w:lineRule="auto"/>
        <w:ind w:left="1098" w:right="6927"/>
        <w:jc w:val="both"/>
      </w:pPr>
      <w:r>
        <w:rPr>
          <w:rFonts w:ascii="Times New Roman" w:eastAsia="Times New Roman" w:hAnsi="Times New Roman"/>
          <w:i/>
        </w:rPr>
        <w:t>f</w:t>
      </w:r>
      <w:r>
        <w:t xml:space="preserve">——生育期百分率（%）； </w:t>
      </w:r>
      <w:r>
        <w:rPr>
          <w:rFonts w:ascii="Times New Roman" w:eastAsia="Times New Roman" w:hAnsi="Times New Roman"/>
          <w:i/>
        </w:rPr>
        <w:t>n</w:t>
      </w:r>
      <w:r>
        <w:t xml:space="preserve">——进入生育期的株数； </w:t>
      </w:r>
      <w:r>
        <w:rPr>
          <w:rFonts w:ascii="Times New Roman" w:eastAsia="Times New Roman" w:hAnsi="Times New Roman"/>
          <w:i/>
        </w:rPr>
        <w:t>p</w:t>
      </w:r>
      <w:r>
        <w:t xml:space="preserve">——观测总株数。 </w:t>
      </w:r>
    </w:p>
    <w:p>
      <w:pPr>
        <w:pStyle w:val="BodyText"/>
        <w:spacing w:line="269" w:lineRule="exact"/>
        <w:ind w:left="1098"/>
      </w:pPr>
      <w:r>
        <w:t xml:space="preserve">测算结果记入附录A表A.3。 </w:t>
      </w:r>
    </w:p>
    <w:p>
      <w:pPr>
        <w:pStyle w:val="BodyText"/>
        <w:rPr>
          <w:sz w:val="10"/>
        </w:rPr>
      </w:pPr>
    </w:p>
    <w:p>
      <w:pPr>
        <w:pStyle w:val="ListParagraph"/>
        <w:numPr>
          <w:ilvl w:val="1"/>
          <w:numId w:val="9"/>
        </w:numPr>
        <w:tabs>
          <w:tab w:val="left" w:pos="1204"/>
          <w:tab w:val="left" w:pos="1205"/>
        </w:tabs>
        <w:spacing w:before="70" w:after="0" w:line="240" w:lineRule="auto"/>
        <w:ind w:left="1204" w:right="0" w:hanging="527"/>
        <w:jc w:val="left"/>
        <w:rPr>
          <w:rFonts w:ascii="黑体" w:eastAsia="黑体" w:hint="eastAsia"/>
          <w:sz w:val="21"/>
        </w:rPr>
      </w:pPr>
      <w:r>
        <w:rPr>
          <w:rFonts w:ascii="黑体" w:eastAsia="黑体" w:hint="eastAsia"/>
          <w:sz w:val="21"/>
        </w:rPr>
        <w:t>始期、普遍期、末期规定</w:t>
      </w:r>
    </w:p>
    <w:p>
      <w:pPr>
        <w:pStyle w:val="BodyText"/>
        <w:spacing w:before="1"/>
        <w:rPr>
          <w:rFonts w:ascii="黑体"/>
          <w:sz w:val="10"/>
        </w:rPr>
      </w:pPr>
    </w:p>
    <w:p>
      <w:pPr>
        <w:pStyle w:val="BodyText"/>
        <w:spacing w:before="70" w:line="278" w:lineRule="auto"/>
        <w:ind w:left="678" w:right="572" w:firstLine="420"/>
      </w:pPr>
      <w:r>
        <w:t>进入某一生育期的百分率第一次大于或等于10</w:t>
      </w:r>
      <w:r>
        <w:rPr>
          <w:spacing w:val="-7"/>
        </w:rPr>
        <w:t>%时为始期，大于或等于</w:t>
      </w:r>
      <w:r>
        <w:t>50</w:t>
      </w:r>
      <w:r>
        <w:rPr>
          <w:spacing w:val="-8"/>
        </w:rPr>
        <w:t>%时为普遍期，大于或等于</w:t>
      </w:r>
      <w:r>
        <w:t xml:space="preserve">80%为末期。 </w:t>
      </w:r>
    </w:p>
    <w:p>
      <w:pPr>
        <w:pStyle w:val="ListParagraph"/>
        <w:numPr>
          <w:ilvl w:val="1"/>
          <w:numId w:val="9"/>
        </w:numPr>
        <w:tabs>
          <w:tab w:val="left" w:pos="1204"/>
          <w:tab w:val="left" w:pos="1205"/>
        </w:tabs>
        <w:spacing w:before="156" w:after="0" w:line="240" w:lineRule="auto"/>
        <w:ind w:left="1204" w:right="0" w:hanging="527"/>
        <w:jc w:val="left"/>
        <w:rPr>
          <w:rFonts w:ascii="黑体" w:eastAsia="黑体" w:hint="eastAsia"/>
          <w:sz w:val="21"/>
        </w:rPr>
      </w:pPr>
      <w:r>
        <w:rPr>
          <w:rFonts w:ascii="黑体" w:eastAsia="黑体" w:hint="eastAsia"/>
          <w:sz w:val="21"/>
        </w:rPr>
        <w:t>观测次数及时间</w:t>
      </w:r>
    </w:p>
    <w:p>
      <w:pPr>
        <w:pStyle w:val="BodyText"/>
        <w:spacing w:before="1"/>
        <w:rPr>
          <w:rFonts w:ascii="黑体"/>
          <w:sz w:val="10"/>
        </w:rPr>
      </w:pPr>
    </w:p>
    <w:p>
      <w:pPr>
        <w:pStyle w:val="BodyText"/>
        <w:spacing w:before="70"/>
        <w:ind w:left="1098"/>
      </w:pPr>
      <w:r>
        <w:t xml:space="preserve">观测次数及时间要求主要包括但不限于： </w:t>
      </w:r>
    </w:p>
    <w:p>
      <w:pPr>
        <w:pStyle w:val="ListParagraph"/>
        <w:numPr>
          <w:ilvl w:val="2"/>
          <w:numId w:val="9"/>
        </w:numPr>
        <w:tabs>
          <w:tab w:val="left" w:pos="1529"/>
          <w:tab w:val="left" w:pos="1530"/>
        </w:tabs>
        <w:spacing w:before="43" w:after="0" w:line="240" w:lineRule="auto"/>
        <w:ind w:left="1529" w:right="0" w:hanging="427"/>
        <w:jc w:val="left"/>
        <w:rPr>
          <w:sz w:val="21"/>
        </w:rPr>
      </w:pPr>
      <w:r>
        <w:rPr>
          <w:sz w:val="21"/>
        </w:rPr>
        <w:t xml:space="preserve">生育期观测一般两天观测一次，但旬末应进行巡视。 </w:t>
      </w:r>
    </w:p>
    <w:p>
      <w:pPr>
        <w:pStyle w:val="ListParagraph"/>
        <w:numPr>
          <w:ilvl w:val="2"/>
          <w:numId w:val="9"/>
        </w:numPr>
        <w:tabs>
          <w:tab w:val="left" w:pos="1529"/>
          <w:tab w:val="left" w:pos="1530"/>
        </w:tabs>
        <w:spacing w:before="43" w:after="0" w:line="278" w:lineRule="auto"/>
        <w:ind w:left="1529" w:right="466" w:hanging="426"/>
        <w:jc w:val="left"/>
        <w:rPr>
          <w:sz w:val="21"/>
        </w:rPr>
      </w:pPr>
      <w:r>
        <w:rPr>
          <w:spacing w:val="-2"/>
          <w:sz w:val="21"/>
        </w:rPr>
        <w:t xml:space="preserve">若当日观测到进入生育期的植株接近 </w:t>
      </w:r>
      <w:r>
        <w:rPr>
          <w:sz w:val="21"/>
        </w:rPr>
        <w:t>10%</w:t>
      </w:r>
      <w:r>
        <w:rPr>
          <w:spacing w:val="-15"/>
          <w:sz w:val="21"/>
        </w:rPr>
        <w:t xml:space="preserve">或 </w:t>
      </w:r>
      <w:r>
        <w:rPr>
          <w:sz w:val="21"/>
        </w:rPr>
        <w:t>50</w:t>
      </w:r>
      <w:r>
        <w:rPr>
          <w:spacing w:val="-6"/>
          <w:sz w:val="21"/>
        </w:rPr>
        <w:t xml:space="preserve">%时，第 </w:t>
      </w:r>
      <w:r>
        <w:rPr>
          <w:sz w:val="21"/>
        </w:rPr>
        <w:t>2</w:t>
      </w:r>
      <w:r>
        <w:rPr>
          <w:spacing w:val="-7"/>
          <w:sz w:val="21"/>
        </w:rPr>
        <w:t xml:space="preserve"> 天仍应进行观测；在播种至出苗期、</w:t>
      </w:r>
      <w:r>
        <w:rPr>
          <w:spacing w:val="-11"/>
          <w:sz w:val="21"/>
        </w:rPr>
        <w:t xml:space="preserve">移栽至现蕾期、开花期至采收期所间隔的时间较长，在不漏测的前提下，可逢 </w:t>
      </w:r>
      <w:r>
        <w:rPr>
          <w:sz w:val="21"/>
        </w:rPr>
        <w:t>5</w:t>
      </w:r>
      <w:r>
        <w:rPr>
          <w:spacing w:val="-9"/>
          <w:sz w:val="21"/>
        </w:rPr>
        <w:t xml:space="preserve"> 和旬末巡视， 临近生育期则恢复隔日观测。 </w:t>
      </w:r>
    </w:p>
    <w:p>
      <w:pPr>
        <w:pStyle w:val="ListParagraph"/>
        <w:numPr>
          <w:ilvl w:val="2"/>
          <w:numId w:val="9"/>
        </w:numPr>
        <w:tabs>
          <w:tab w:val="left" w:pos="1529"/>
          <w:tab w:val="left" w:pos="1530"/>
        </w:tabs>
        <w:spacing w:before="0" w:after="0" w:line="269" w:lineRule="exact"/>
        <w:ind w:left="1529" w:right="0" w:hanging="427"/>
        <w:jc w:val="left"/>
        <w:rPr>
          <w:sz w:val="21"/>
        </w:rPr>
      </w:pPr>
      <w:r>
        <w:rPr>
          <w:spacing w:val="-7"/>
          <w:sz w:val="21"/>
        </w:rPr>
        <w:t xml:space="preserve">观测时间应在上午 </w:t>
      </w:r>
      <w:r>
        <w:rPr>
          <w:sz w:val="21"/>
        </w:rPr>
        <w:t>9:00～10:00</w:t>
      </w:r>
      <w:r>
        <w:rPr>
          <w:spacing w:val="-14"/>
          <w:sz w:val="21"/>
        </w:rPr>
        <w:t xml:space="preserve"> 进行。 </w:t>
      </w:r>
    </w:p>
    <w:p>
      <w:pPr>
        <w:pStyle w:val="BodyText"/>
        <w:rPr>
          <w:sz w:val="10"/>
        </w:rPr>
      </w:pPr>
    </w:p>
    <w:p>
      <w:pPr>
        <w:pStyle w:val="ListParagraph"/>
        <w:numPr>
          <w:ilvl w:val="1"/>
          <w:numId w:val="9"/>
        </w:numPr>
        <w:tabs>
          <w:tab w:val="left" w:pos="1204"/>
          <w:tab w:val="left" w:pos="1205"/>
        </w:tabs>
        <w:spacing w:before="71" w:after="0" w:line="240" w:lineRule="auto"/>
        <w:ind w:left="1204" w:right="0" w:hanging="527"/>
        <w:jc w:val="left"/>
        <w:rPr>
          <w:rFonts w:ascii="黑体" w:eastAsia="黑体" w:hint="eastAsia"/>
          <w:sz w:val="21"/>
        </w:rPr>
      </w:pPr>
      <w:r>
        <w:rPr>
          <w:rFonts w:ascii="黑体" w:eastAsia="黑体" w:hint="eastAsia"/>
          <w:sz w:val="21"/>
        </w:rPr>
        <w:t>特殊情况处理</w:t>
      </w:r>
    </w:p>
    <w:p>
      <w:pPr>
        <w:pStyle w:val="BodyText"/>
        <w:rPr>
          <w:rFonts w:ascii="黑体"/>
          <w:sz w:val="10"/>
        </w:rPr>
      </w:pPr>
    </w:p>
    <w:p>
      <w:pPr>
        <w:pStyle w:val="BodyText"/>
        <w:spacing w:before="71"/>
        <w:ind w:left="1098"/>
      </w:pPr>
      <w:r>
        <w:t xml:space="preserve">观测中遇到以下特殊情况应分别按相应要求进行处理，并记入附录A表A.3备注栏： </w:t>
      </w:r>
    </w:p>
    <w:p>
      <w:pPr>
        <w:pStyle w:val="ListParagraph"/>
        <w:numPr>
          <w:ilvl w:val="2"/>
          <w:numId w:val="9"/>
        </w:numPr>
        <w:tabs>
          <w:tab w:val="left" w:pos="1529"/>
          <w:tab w:val="left" w:pos="1530"/>
        </w:tabs>
        <w:spacing w:before="43" w:after="0" w:line="278" w:lineRule="auto"/>
        <w:ind w:left="1529" w:right="464" w:hanging="426"/>
        <w:jc w:val="left"/>
        <w:rPr>
          <w:sz w:val="21"/>
        </w:rPr>
      </w:pPr>
      <w:r>
        <w:rPr>
          <w:sz w:val="21"/>
        </w:rPr>
        <w:t>受气候异常影响，有明显迹象表明被观测植株已进入某一生育期，但到达该生育期的百分率</w:t>
      </w:r>
      <w:r>
        <w:rPr>
          <w:spacing w:val="-9"/>
          <w:sz w:val="21"/>
        </w:rPr>
        <w:t xml:space="preserve">显著低于 </w:t>
      </w:r>
      <w:r>
        <w:rPr>
          <w:sz w:val="21"/>
        </w:rPr>
        <w:t>10</w:t>
      </w:r>
      <w:r>
        <w:rPr>
          <w:spacing w:val="-15"/>
          <w:sz w:val="21"/>
        </w:rPr>
        <w:t xml:space="preserve">%或 </w:t>
      </w:r>
      <w:r>
        <w:rPr>
          <w:sz w:val="21"/>
        </w:rPr>
        <w:t>50%</w:t>
      </w:r>
      <w:r>
        <w:rPr>
          <w:spacing w:val="-3"/>
          <w:sz w:val="21"/>
        </w:rPr>
        <w:t xml:space="preserve">时，观测延续到进入该生育期的百分率连续 </w:t>
      </w:r>
      <w:r>
        <w:rPr>
          <w:sz w:val="21"/>
        </w:rPr>
        <w:t>3</w:t>
      </w:r>
      <w:r>
        <w:rPr>
          <w:spacing w:val="-11"/>
          <w:sz w:val="21"/>
        </w:rPr>
        <w:t xml:space="preserve"> 次总增长量不超过 </w:t>
      </w:r>
      <w:r>
        <w:rPr>
          <w:sz w:val="21"/>
        </w:rPr>
        <w:t>5%</w:t>
      </w:r>
      <w:r>
        <w:rPr>
          <w:spacing w:val="-4"/>
          <w:sz w:val="21"/>
        </w:rPr>
        <w:t xml:space="preserve">为止， </w:t>
      </w:r>
      <w:r>
        <w:rPr>
          <w:sz w:val="21"/>
        </w:rPr>
        <w:t xml:space="preserve">仍应观测记载。 </w:t>
      </w:r>
    </w:p>
    <w:p>
      <w:pPr>
        <w:pStyle w:val="ListParagraph"/>
        <w:numPr>
          <w:ilvl w:val="2"/>
          <w:numId w:val="9"/>
        </w:numPr>
        <w:tabs>
          <w:tab w:val="left" w:pos="1529"/>
          <w:tab w:val="left" w:pos="1530"/>
        </w:tabs>
        <w:spacing w:before="0" w:after="0" w:line="278" w:lineRule="auto"/>
        <w:ind w:left="1529" w:right="569" w:hanging="426"/>
        <w:jc w:val="left"/>
        <w:rPr>
          <w:sz w:val="21"/>
        </w:rPr>
      </w:pPr>
      <w:r>
        <w:rPr>
          <w:sz w:val="21"/>
        </w:rPr>
        <w:t>固定观测植株如失去代表性，应在测点内重新固定观测植株，当测点内观测植株有 3</w:t>
      </w:r>
      <w:r>
        <w:rPr>
          <w:spacing w:val="-5"/>
          <w:sz w:val="21"/>
        </w:rPr>
        <w:t xml:space="preserve"> 株或以</w:t>
      </w:r>
      <w:r>
        <w:rPr>
          <w:sz w:val="21"/>
        </w:rPr>
        <w:t xml:space="preserve">上失去代表性时，应另选植株。 </w:t>
      </w:r>
    </w:p>
    <w:p>
      <w:pPr>
        <w:pStyle w:val="ListParagraph"/>
        <w:numPr>
          <w:ilvl w:val="2"/>
          <w:numId w:val="9"/>
        </w:numPr>
        <w:tabs>
          <w:tab w:val="left" w:pos="1529"/>
          <w:tab w:val="left" w:pos="1530"/>
        </w:tabs>
        <w:spacing w:before="0" w:after="0" w:line="269" w:lineRule="exact"/>
        <w:ind w:left="1529" w:right="0" w:hanging="427"/>
        <w:jc w:val="left"/>
        <w:rPr>
          <w:sz w:val="21"/>
        </w:rPr>
      </w:pPr>
      <w:r>
        <w:rPr>
          <w:sz w:val="21"/>
        </w:rPr>
        <w:t xml:space="preserve">生育期未出现或生育期出现异常现象，应予记载现象及原因。 </w:t>
      </w:r>
    </w:p>
    <w:p>
      <w:pPr>
        <w:pStyle w:val="ListParagraph"/>
        <w:numPr>
          <w:ilvl w:val="2"/>
          <w:numId w:val="9"/>
        </w:numPr>
        <w:tabs>
          <w:tab w:val="left" w:pos="1530"/>
        </w:tabs>
        <w:spacing w:before="42" w:after="0" w:line="278" w:lineRule="auto"/>
        <w:ind w:left="1529" w:right="569" w:hanging="426"/>
        <w:jc w:val="both"/>
        <w:rPr>
          <w:sz w:val="21"/>
        </w:rPr>
      </w:pPr>
      <w:r>
        <w:rPr>
          <w:sz w:val="21"/>
        </w:rPr>
        <w:t>在规定观测时间遇有妨碍田间观测的天气（如强降水、大风等）可推迟观测，并应在有观测</w:t>
      </w:r>
      <w:r>
        <w:rPr>
          <w:spacing w:val="-16"/>
          <w:sz w:val="21"/>
        </w:rPr>
        <w:t xml:space="preserve">条件时及时进行补测。补测时，如出现进入某一生育期植株的百分率超过 </w:t>
      </w:r>
      <w:r>
        <w:rPr>
          <w:sz w:val="21"/>
        </w:rPr>
        <w:t>10%</w:t>
      </w:r>
      <w:r>
        <w:rPr>
          <w:spacing w:val="-27"/>
          <w:sz w:val="21"/>
        </w:rPr>
        <w:t xml:space="preserve">或 </w:t>
      </w:r>
      <w:r>
        <w:rPr>
          <w:sz w:val="21"/>
        </w:rPr>
        <w:t>50%</w:t>
      </w:r>
      <w:r>
        <w:rPr>
          <w:spacing w:val="-27"/>
          <w:sz w:val="21"/>
        </w:rPr>
        <w:t xml:space="preserve">或 </w:t>
      </w:r>
      <w:r>
        <w:rPr>
          <w:sz w:val="21"/>
        </w:rPr>
        <w:t>80%</w:t>
      </w:r>
      <w:r>
        <w:rPr>
          <w:spacing w:val="-6"/>
          <w:sz w:val="21"/>
        </w:rPr>
        <w:t xml:space="preserve">时， </w:t>
      </w:r>
      <w:r>
        <w:rPr>
          <w:sz w:val="21"/>
        </w:rPr>
        <w:t xml:space="preserve">则将本次观测日期作为进入相应生育期始期或普遍期或末期。 </w:t>
      </w:r>
    </w:p>
    <w:p>
      <w:pPr>
        <w:pStyle w:val="BodyText"/>
        <w:ind w:left="1529"/>
      </w:pPr>
      <w:r>
        <w:t xml:space="preserve"> </w:t>
      </w:r>
    </w:p>
    <w:p>
      <w:pPr>
        <w:spacing w:after="0"/>
        <w:sectPr>
          <w:headerReference w:type="even" r:id="rId28"/>
          <w:headerReference w:type="default" r:id="rId29"/>
          <w:footerReference w:type="even" r:id="rId30"/>
          <w:footerReference w:type="default" r:id="rId31"/>
          <w:pgSz w:w="11910" w:h="16840"/>
          <w:pgMar w:top="1640" w:right="560" w:bottom="1340" w:left="740" w:header="1448" w:footer="1141"/>
          <w:pgNumType w:start="3"/>
          <w:cols w:space="708"/>
        </w:sectPr>
      </w:pPr>
    </w:p>
    <w:p>
      <w:pPr>
        <w:pStyle w:val="BodyText"/>
        <w:spacing w:before="1"/>
        <w:rPr>
          <w:sz w:val="8"/>
        </w:rPr>
      </w:pPr>
    </w:p>
    <w:p>
      <w:pPr>
        <w:pStyle w:val="ListParagraph"/>
        <w:numPr>
          <w:ilvl w:val="0"/>
          <w:numId w:val="9"/>
        </w:numPr>
        <w:tabs>
          <w:tab w:val="left" w:pos="709"/>
          <w:tab w:val="left" w:pos="710"/>
        </w:tabs>
        <w:spacing w:before="71" w:after="0" w:line="240" w:lineRule="auto"/>
        <w:ind w:left="709" w:right="0" w:hanging="316"/>
        <w:jc w:val="left"/>
        <w:rPr>
          <w:rFonts w:ascii="黑体" w:eastAsia="黑体" w:hint="eastAsia"/>
          <w:sz w:val="21"/>
        </w:rPr>
      </w:pPr>
      <w:bookmarkStart w:id="7" w:name="_bookmark7"/>
      <w:bookmarkEnd w:id="7"/>
      <w:r>
        <w:rPr>
          <w:rFonts w:ascii="黑体" w:eastAsia="黑体" w:hint="eastAsia"/>
          <w:sz w:val="21"/>
        </w:rPr>
        <w:t>生长状况观测</w:t>
      </w:r>
    </w:p>
    <w:p>
      <w:pPr>
        <w:pStyle w:val="BodyText"/>
        <w:spacing w:before="1"/>
        <w:rPr>
          <w:rFonts w:ascii="黑体"/>
          <w:sz w:val="22"/>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测定项目和测定时间</w:t>
      </w:r>
    </w:p>
    <w:p>
      <w:pPr>
        <w:pStyle w:val="BodyText"/>
        <w:rPr>
          <w:rFonts w:ascii="黑体"/>
          <w:sz w:val="10"/>
        </w:rPr>
      </w:pPr>
    </w:p>
    <w:p>
      <w:pPr>
        <w:pStyle w:val="BodyText"/>
        <w:spacing w:before="71"/>
        <w:ind w:left="814"/>
      </w:pPr>
      <w:r>
        <w:t xml:space="preserve">测定项目和测定时间见表1。 </w:t>
      </w:r>
    </w:p>
    <w:p>
      <w:pPr>
        <w:pStyle w:val="BodyText"/>
        <w:rPr>
          <w:sz w:val="10"/>
        </w:rPr>
      </w:pPr>
    </w:p>
    <w:p>
      <w:pPr>
        <w:pStyle w:val="BodyText"/>
        <w:tabs>
          <w:tab w:val="left" w:pos="525"/>
        </w:tabs>
        <w:spacing w:before="71"/>
        <w:ind w:right="461"/>
        <w:jc w:val="center"/>
        <w:rPr>
          <w:rFonts w:ascii="黑体" w:eastAsia="黑体" w:hint="eastAsia"/>
        </w:rPr>
      </w:pPr>
      <w:r>
        <w:rPr>
          <w:rFonts w:ascii="黑体" w:eastAsia="黑体" w:hint="eastAsia"/>
        </w:rPr>
        <w:t>表1</w:t>
        <w:tab/>
        <w:t>植株生长状况观测项目表</w:t>
      </w:r>
    </w:p>
    <w:p>
      <w:pPr>
        <w:pStyle w:val="BodyText"/>
        <w:spacing w:before="11" w:after="1"/>
        <w:rPr>
          <w:rFonts w:ascii="黑体"/>
          <w:sz w:val="13"/>
        </w:rPr>
      </w:pPr>
    </w:p>
    <w:tbl>
      <w:tblPr>
        <w:tblStyle w:val="TableNormal0"/>
        <w:tblW w:w="0" w:type="auto"/>
        <w:jc w:val="left"/>
        <w:tblInd w:w="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20"/>
        <w:gridCol w:w="6955"/>
      </w:tblGrid>
      <w:tr>
        <w:tblPrEx>
          <w:tblW w:w="0" w:type="auto"/>
          <w:jc w:val="left"/>
          <w:tblInd w:w="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00"/>
          <w:jc w:val="left"/>
        </w:trPr>
        <w:tc>
          <w:tcPr>
            <w:tcW w:w="2420" w:type="dxa"/>
            <w:tcBorders>
              <w:right w:val="single" w:sz="4" w:space="0" w:color="000000"/>
            </w:tcBorders>
          </w:tcPr>
          <w:p>
            <w:pPr>
              <w:pStyle w:val="TableParagraph"/>
              <w:spacing w:before="140"/>
              <w:ind w:left="697" w:right="588"/>
              <w:jc w:val="center"/>
              <w:rPr>
                <w:sz w:val="18"/>
              </w:rPr>
            </w:pPr>
            <w:r>
              <w:rPr>
                <w:sz w:val="18"/>
              </w:rPr>
              <w:t xml:space="preserve">测定项目 </w:t>
            </w:r>
          </w:p>
        </w:tc>
        <w:tc>
          <w:tcPr>
            <w:tcW w:w="6955" w:type="dxa"/>
            <w:tcBorders>
              <w:left w:val="single" w:sz="4" w:space="0" w:color="000000"/>
            </w:tcBorders>
          </w:tcPr>
          <w:p>
            <w:pPr>
              <w:pStyle w:val="TableParagraph"/>
              <w:spacing w:before="140"/>
              <w:ind w:left="2333" w:right="2226"/>
              <w:jc w:val="center"/>
              <w:rPr>
                <w:sz w:val="18"/>
              </w:rPr>
            </w:pPr>
            <w:r>
              <w:rPr>
                <w:sz w:val="18"/>
              </w:rPr>
              <w:t xml:space="preserve">测定时间 </w:t>
            </w:r>
          </w:p>
        </w:tc>
      </w:tr>
      <w:tr>
        <w:tblPrEx>
          <w:tblW w:w="0" w:type="auto"/>
          <w:jc w:val="left"/>
          <w:tblInd w:w="394" w:type="dxa"/>
          <w:tblLayout w:type="fixed"/>
          <w:tblCellMar>
            <w:top w:w="0" w:type="dxa"/>
            <w:left w:w="0" w:type="dxa"/>
            <w:bottom w:w="0" w:type="dxa"/>
            <w:right w:w="0" w:type="dxa"/>
          </w:tblCellMar>
          <w:tblLook w:val="01E0"/>
        </w:tblPrEx>
        <w:trPr>
          <w:trHeight w:val="400"/>
          <w:jc w:val="left"/>
        </w:trPr>
        <w:tc>
          <w:tcPr>
            <w:tcW w:w="2420" w:type="dxa"/>
            <w:tcBorders>
              <w:bottom w:val="single" w:sz="4" w:space="0" w:color="000000"/>
              <w:right w:val="single" w:sz="4" w:space="0" w:color="000000"/>
            </w:tcBorders>
          </w:tcPr>
          <w:p>
            <w:pPr>
              <w:pStyle w:val="TableParagraph"/>
              <w:spacing w:before="140"/>
              <w:ind w:left="697" w:right="588"/>
              <w:jc w:val="center"/>
              <w:rPr>
                <w:sz w:val="18"/>
              </w:rPr>
            </w:pPr>
            <w:r>
              <w:rPr>
                <w:sz w:val="18"/>
              </w:rPr>
              <w:t xml:space="preserve">高度（cm） </w:t>
            </w:r>
          </w:p>
        </w:tc>
        <w:tc>
          <w:tcPr>
            <w:tcW w:w="6955" w:type="dxa"/>
            <w:tcBorders>
              <w:left w:val="single" w:sz="4" w:space="0" w:color="000000"/>
              <w:bottom w:val="single" w:sz="4" w:space="0" w:color="000000"/>
            </w:tcBorders>
          </w:tcPr>
          <w:p>
            <w:pPr>
              <w:pStyle w:val="TableParagraph"/>
              <w:spacing w:before="140"/>
              <w:ind w:left="2333" w:right="2226"/>
              <w:jc w:val="center"/>
              <w:rPr>
                <w:sz w:val="18"/>
              </w:rPr>
            </w:pPr>
            <w:r>
              <w:rPr>
                <w:sz w:val="18"/>
              </w:rPr>
              <w:t xml:space="preserve">移栽期、开花普遍期进行测定 </w:t>
            </w:r>
          </w:p>
        </w:tc>
      </w:tr>
      <w:tr>
        <w:tblPrEx>
          <w:tblW w:w="0" w:type="auto"/>
          <w:jc w:val="left"/>
          <w:tblInd w:w="394" w:type="dxa"/>
          <w:tblLayout w:type="fixed"/>
          <w:tblCellMar>
            <w:top w:w="0" w:type="dxa"/>
            <w:left w:w="0" w:type="dxa"/>
            <w:bottom w:w="0" w:type="dxa"/>
            <w:right w:w="0" w:type="dxa"/>
          </w:tblCellMar>
          <w:tblLook w:val="01E0"/>
        </w:tblPrEx>
        <w:trPr>
          <w:trHeight w:val="399"/>
          <w:jc w:val="left"/>
        </w:trPr>
        <w:tc>
          <w:tcPr>
            <w:tcW w:w="2420" w:type="dxa"/>
            <w:tcBorders>
              <w:top w:val="single" w:sz="4" w:space="0" w:color="000000"/>
              <w:bottom w:val="single" w:sz="4" w:space="0" w:color="000000"/>
              <w:right w:val="single" w:sz="4" w:space="0" w:color="000000"/>
            </w:tcBorders>
          </w:tcPr>
          <w:p>
            <w:pPr>
              <w:pStyle w:val="TableParagraph"/>
              <w:spacing w:before="140"/>
              <w:ind w:left="697" w:right="588"/>
              <w:jc w:val="center"/>
              <w:rPr>
                <w:sz w:val="18"/>
              </w:rPr>
            </w:pPr>
            <w:r>
              <w:rPr>
                <w:sz w:val="18"/>
              </w:rPr>
              <w:t xml:space="preserve">密度（株数） </w:t>
            </w:r>
          </w:p>
        </w:tc>
        <w:tc>
          <w:tcPr>
            <w:tcW w:w="6955" w:type="dxa"/>
            <w:tcBorders>
              <w:top w:val="single" w:sz="4" w:space="0" w:color="000000"/>
              <w:left w:val="single" w:sz="4" w:space="0" w:color="000000"/>
              <w:bottom w:val="single" w:sz="4" w:space="0" w:color="000000"/>
            </w:tcBorders>
          </w:tcPr>
          <w:p>
            <w:pPr>
              <w:pStyle w:val="TableParagraph"/>
              <w:spacing w:before="140"/>
              <w:ind w:left="2333" w:right="2226"/>
              <w:jc w:val="center"/>
              <w:rPr>
                <w:sz w:val="18"/>
              </w:rPr>
            </w:pPr>
            <w:r>
              <w:rPr>
                <w:sz w:val="18"/>
              </w:rPr>
              <w:t xml:space="preserve">开花普遍期进行测定 </w:t>
            </w:r>
          </w:p>
        </w:tc>
      </w:tr>
      <w:tr>
        <w:tblPrEx>
          <w:tblW w:w="0" w:type="auto"/>
          <w:jc w:val="left"/>
          <w:tblInd w:w="394" w:type="dxa"/>
          <w:tblLayout w:type="fixed"/>
          <w:tblCellMar>
            <w:top w:w="0" w:type="dxa"/>
            <w:left w:w="0" w:type="dxa"/>
            <w:bottom w:w="0" w:type="dxa"/>
            <w:right w:w="0" w:type="dxa"/>
          </w:tblCellMar>
          <w:tblLook w:val="01E0"/>
        </w:tblPrEx>
        <w:trPr>
          <w:trHeight w:val="400"/>
          <w:jc w:val="left"/>
        </w:trPr>
        <w:tc>
          <w:tcPr>
            <w:tcW w:w="2420" w:type="dxa"/>
            <w:tcBorders>
              <w:top w:val="single" w:sz="4" w:space="0" w:color="000000"/>
              <w:right w:val="single" w:sz="4" w:space="0" w:color="000000"/>
            </w:tcBorders>
          </w:tcPr>
          <w:p>
            <w:pPr>
              <w:pStyle w:val="TableParagraph"/>
              <w:spacing w:before="141"/>
              <w:ind w:left="697" w:right="588"/>
              <w:jc w:val="center"/>
              <w:rPr>
                <w:sz w:val="18"/>
              </w:rPr>
            </w:pPr>
            <w:r>
              <w:rPr>
                <w:sz w:val="18"/>
              </w:rPr>
              <w:t xml:space="preserve">茎粗（mm） </w:t>
            </w:r>
          </w:p>
        </w:tc>
        <w:tc>
          <w:tcPr>
            <w:tcW w:w="6955" w:type="dxa"/>
            <w:tcBorders>
              <w:top w:val="single" w:sz="4" w:space="0" w:color="000000"/>
              <w:left w:val="single" w:sz="4" w:space="0" w:color="000000"/>
            </w:tcBorders>
          </w:tcPr>
          <w:p>
            <w:pPr>
              <w:pStyle w:val="TableParagraph"/>
              <w:spacing w:before="141"/>
              <w:ind w:left="2333" w:right="2226"/>
              <w:jc w:val="center"/>
              <w:rPr>
                <w:sz w:val="18"/>
              </w:rPr>
            </w:pPr>
            <w:r>
              <w:rPr>
                <w:sz w:val="18"/>
              </w:rPr>
              <w:t xml:space="preserve">现蕾普遍期进行测定 </w:t>
            </w:r>
          </w:p>
        </w:tc>
      </w:tr>
    </w:tbl>
    <w:p>
      <w:pPr>
        <w:pStyle w:val="BodyText"/>
        <w:spacing w:before="4"/>
        <w:rPr>
          <w:rFonts w:ascii="黑体"/>
          <w:sz w:val="8"/>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生长高度测量</w:t>
      </w:r>
    </w:p>
    <w:p>
      <w:pPr>
        <w:pStyle w:val="BodyText"/>
        <w:rPr>
          <w:rFonts w:ascii="黑体"/>
          <w:sz w:val="10"/>
        </w:rPr>
      </w:pPr>
    </w:p>
    <w:p>
      <w:pPr>
        <w:pStyle w:val="BodyText"/>
        <w:spacing w:before="71" w:line="278" w:lineRule="auto"/>
        <w:ind w:left="394" w:right="645" w:firstLine="420"/>
      </w:pPr>
      <w:r>
        <w:rPr>
          <w:spacing w:val="-6"/>
        </w:rPr>
        <w:t xml:space="preserve">对所有标记植株顺序从土壤表面至主茎顶端测量；将分别测得的单株高度之总和除以被测植株总数， </w:t>
      </w:r>
      <w:r>
        <w:t xml:space="preserve">得出生长高度数的算术平均值。以厘米为单位，小数四舍五入，取1位小数记载，测量数据及结果记入 附录A表A.4。 </w:t>
      </w:r>
    </w:p>
    <w:p>
      <w:pPr>
        <w:pStyle w:val="ListParagraph"/>
        <w:numPr>
          <w:ilvl w:val="1"/>
          <w:numId w:val="9"/>
        </w:numPr>
        <w:tabs>
          <w:tab w:val="left" w:pos="919"/>
          <w:tab w:val="left" w:pos="920"/>
        </w:tabs>
        <w:spacing w:before="155" w:after="0" w:line="240" w:lineRule="auto"/>
        <w:ind w:left="920" w:right="0" w:hanging="526"/>
        <w:jc w:val="left"/>
        <w:rPr>
          <w:rFonts w:ascii="黑体" w:eastAsia="黑体" w:hint="eastAsia"/>
          <w:sz w:val="21"/>
        </w:rPr>
      </w:pPr>
      <w:r>
        <w:rPr>
          <w:rFonts w:ascii="黑体" w:eastAsia="黑体" w:hint="eastAsia"/>
          <w:sz w:val="21"/>
        </w:rPr>
        <w:t>植株密度测定</w:t>
      </w:r>
    </w:p>
    <w:p>
      <w:pPr>
        <w:pStyle w:val="BodyText"/>
        <w:rPr>
          <w:rFonts w:ascii="黑体"/>
          <w:sz w:val="10"/>
        </w:rPr>
      </w:pPr>
    </w:p>
    <w:p>
      <w:pPr>
        <w:pStyle w:val="BodyText"/>
        <w:spacing w:before="71" w:line="278" w:lineRule="auto"/>
        <w:ind w:left="394" w:right="854" w:firstLine="420"/>
      </w:pPr>
      <w:r>
        <w:t xml:space="preserve">以每平方米株数表示，密度计算初始值及计算结果均取1位小数，测量内容记入附录A表A.5。具体测定方法为： </w:t>
      </w:r>
    </w:p>
    <w:p>
      <w:pPr>
        <w:pStyle w:val="ListParagraph"/>
        <w:numPr>
          <w:ilvl w:val="2"/>
          <w:numId w:val="9"/>
        </w:numPr>
        <w:tabs>
          <w:tab w:val="left" w:pos="1245"/>
          <w:tab w:val="left" w:pos="1246"/>
        </w:tabs>
        <w:spacing w:before="0" w:after="0" w:line="278" w:lineRule="auto"/>
        <w:ind w:left="1245" w:right="750" w:hanging="427"/>
        <w:jc w:val="left"/>
        <w:rPr>
          <w:sz w:val="21"/>
        </w:rPr>
      </w:pPr>
      <w:r>
        <w:rPr>
          <w:sz w:val="21"/>
        </w:rPr>
        <w:t>1</w:t>
      </w:r>
      <w:r>
        <w:rPr>
          <w:spacing w:val="-37"/>
          <w:sz w:val="21"/>
        </w:rPr>
        <w:t xml:space="preserve"> </w:t>
      </w:r>
      <w:r>
        <w:rPr>
          <w:sz w:val="21"/>
        </w:rPr>
        <w:t>m</w:t>
      </w:r>
      <w:r>
        <w:rPr>
          <w:spacing w:val="-11"/>
          <w:sz w:val="21"/>
        </w:rPr>
        <w:t xml:space="preserve"> 内行数：分别连续量出 </w:t>
      </w:r>
      <w:r>
        <w:rPr>
          <w:sz w:val="21"/>
        </w:rPr>
        <w:t>4</w:t>
      </w:r>
      <w:r>
        <w:rPr>
          <w:spacing w:val="-11"/>
          <w:sz w:val="21"/>
        </w:rPr>
        <w:t xml:space="preserve"> 个观测点中每个观测点 </w:t>
      </w:r>
      <w:r>
        <w:rPr>
          <w:sz w:val="21"/>
        </w:rPr>
        <w:t>10</w:t>
      </w:r>
      <w:r>
        <w:rPr>
          <w:spacing w:val="-12"/>
          <w:sz w:val="21"/>
        </w:rPr>
        <w:t xml:space="preserve"> 个行距</w:t>
      </w:r>
      <w:r>
        <w:rPr>
          <w:sz w:val="21"/>
        </w:rPr>
        <w:t>（1～11</w:t>
      </w:r>
      <w:r>
        <w:rPr>
          <w:spacing w:val="-7"/>
          <w:sz w:val="21"/>
        </w:rPr>
        <w:t xml:space="preserve"> 行中间距或垄沟间距</w:t>
      </w:r>
      <w:r>
        <w:rPr>
          <w:spacing w:val="-11"/>
          <w:sz w:val="21"/>
        </w:rPr>
        <w:t xml:space="preserve">） </w:t>
      </w:r>
      <w:r>
        <w:rPr>
          <w:sz w:val="21"/>
        </w:rPr>
        <w:t>的宽度，四者相加得到总宽度（</w:t>
      </w:r>
      <w:r>
        <w:rPr>
          <w:spacing w:val="-18"/>
          <w:sz w:val="21"/>
        </w:rPr>
        <w:t xml:space="preserve">以 </w:t>
      </w:r>
      <w:r>
        <w:rPr>
          <w:sz w:val="21"/>
        </w:rPr>
        <w:t>m</w:t>
      </w:r>
      <w:r>
        <w:rPr>
          <w:spacing w:val="-12"/>
          <w:sz w:val="21"/>
        </w:rPr>
        <w:t xml:space="preserve"> 为单位，取 </w:t>
      </w:r>
      <w:r>
        <w:rPr>
          <w:sz w:val="21"/>
        </w:rPr>
        <w:t>1</w:t>
      </w:r>
      <w:r>
        <w:rPr>
          <w:spacing w:val="-9"/>
          <w:sz w:val="21"/>
        </w:rPr>
        <w:t xml:space="preserve"> 位小数</w:t>
      </w:r>
      <w:r>
        <w:rPr>
          <w:sz w:val="21"/>
        </w:rPr>
        <w:t>），</w:t>
      </w:r>
      <w:r>
        <w:rPr>
          <w:spacing w:val="-12"/>
          <w:sz w:val="21"/>
        </w:rPr>
        <w:t xml:space="preserve">再用 </w:t>
      </w:r>
      <w:r>
        <w:rPr>
          <w:sz w:val="21"/>
        </w:rPr>
        <w:t>40（4</w:t>
      </w:r>
      <w:r>
        <w:rPr>
          <w:spacing w:val="-6"/>
          <w:sz w:val="21"/>
        </w:rPr>
        <w:t xml:space="preserve"> 个观测点的行数之和）</w:t>
      </w:r>
      <w:r>
        <w:rPr>
          <w:spacing w:val="-12"/>
          <w:sz w:val="21"/>
        </w:rPr>
        <w:t xml:space="preserve">除以总宽度，即为 </w:t>
      </w:r>
      <w:r>
        <w:rPr>
          <w:sz w:val="21"/>
        </w:rPr>
        <w:t>1</w:t>
      </w:r>
      <w:r>
        <w:rPr>
          <w:spacing w:val="-35"/>
          <w:sz w:val="21"/>
        </w:rPr>
        <w:t xml:space="preserve"> </w:t>
      </w:r>
      <w:r>
        <w:rPr>
          <w:sz w:val="21"/>
        </w:rPr>
        <w:t>m</w:t>
      </w:r>
      <w:r>
        <w:rPr>
          <w:spacing w:val="-12"/>
          <w:sz w:val="21"/>
        </w:rPr>
        <w:t xml:space="preserve"> 内行数； </w:t>
      </w:r>
    </w:p>
    <w:p>
      <w:pPr>
        <w:pStyle w:val="ListParagraph"/>
        <w:numPr>
          <w:ilvl w:val="2"/>
          <w:numId w:val="9"/>
        </w:numPr>
        <w:tabs>
          <w:tab w:val="left" w:pos="1246"/>
        </w:tabs>
        <w:spacing w:before="0" w:after="0" w:line="278" w:lineRule="auto"/>
        <w:ind w:left="1245" w:right="854" w:hanging="427"/>
        <w:jc w:val="both"/>
        <w:rPr>
          <w:sz w:val="21"/>
        </w:rPr>
      </w:pPr>
      <w:r>
        <w:rPr>
          <w:sz w:val="21"/>
        </w:rPr>
        <w:t>1</w:t>
      </w:r>
      <w:r>
        <w:rPr>
          <w:spacing w:val="-73"/>
          <w:sz w:val="21"/>
        </w:rPr>
        <w:t xml:space="preserve"> </w:t>
      </w:r>
      <w:r>
        <w:rPr>
          <w:sz w:val="21"/>
        </w:rPr>
        <w:t>m</w:t>
      </w:r>
      <w:r>
        <w:rPr>
          <w:spacing w:val="-13"/>
          <w:sz w:val="21"/>
        </w:rPr>
        <w:t xml:space="preserve"> 内株数：分别连续量出 </w:t>
      </w:r>
      <w:r>
        <w:rPr>
          <w:sz w:val="21"/>
        </w:rPr>
        <w:t>4</w:t>
      </w:r>
      <w:r>
        <w:rPr>
          <w:spacing w:val="-12"/>
          <w:sz w:val="21"/>
        </w:rPr>
        <w:t xml:space="preserve"> 个观测点中每个观测点 </w:t>
      </w:r>
      <w:r>
        <w:rPr>
          <w:sz w:val="21"/>
        </w:rPr>
        <w:t>10</w:t>
      </w:r>
      <w:r>
        <w:rPr>
          <w:spacing w:val="-16"/>
          <w:sz w:val="21"/>
        </w:rPr>
        <w:t xml:space="preserve"> 个株距</w:t>
      </w:r>
      <w:r>
        <w:rPr>
          <w:sz w:val="21"/>
        </w:rPr>
        <w:t>（1～11</w:t>
      </w:r>
      <w:r>
        <w:rPr>
          <w:spacing w:val="-12"/>
          <w:sz w:val="21"/>
        </w:rPr>
        <w:t xml:space="preserve"> 株芯间距</w:t>
      </w:r>
      <w:r>
        <w:rPr>
          <w:spacing w:val="-10"/>
          <w:sz w:val="21"/>
        </w:rPr>
        <w:t>）</w:t>
      </w:r>
      <w:r>
        <w:rPr>
          <w:spacing w:val="-3"/>
          <w:sz w:val="21"/>
        </w:rPr>
        <w:t>的长度，四者相加得到总长度（</w:t>
      </w:r>
      <w:r>
        <w:rPr>
          <w:spacing w:val="-20"/>
          <w:sz w:val="21"/>
        </w:rPr>
        <w:t xml:space="preserve">以 </w:t>
      </w:r>
      <w:r>
        <w:rPr>
          <w:sz w:val="21"/>
        </w:rPr>
        <w:t>m</w:t>
      </w:r>
      <w:r>
        <w:rPr>
          <w:spacing w:val="-11"/>
          <w:sz w:val="21"/>
        </w:rPr>
        <w:t xml:space="preserve"> 为单位，取 </w:t>
      </w:r>
      <w:r>
        <w:rPr>
          <w:sz w:val="21"/>
        </w:rPr>
        <w:t>2</w:t>
      </w:r>
      <w:r>
        <w:rPr>
          <w:spacing w:val="-9"/>
          <w:sz w:val="21"/>
        </w:rPr>
        <w:t xml:space="preserve"> 位小数</w:t>
      </w:r>
      <w:r>
        <w:rPr>
          <w:sz w:val="21"/>
        </w:rPr>
        <w:t>），</w:t>
      </w:r>
      <w:r>
        <w:rPr>
          <w:spacing w:val="-12"/>
          <w:sz w:val="21"/>
        </w:rPr>
        <w:t xml:space="preserve">再用 </w:t>
      </w:r>
      <w:r>
        <w:rPr>
          <w:sz w:val="21"/>
        </w:rPr>
        <w:t>40（4</w:t>
      </w:r>
      <w:r>
        <w:rPr>
          <w:spacing w:val="-6"/>
          <w:sz w:val="21"/>
        </w:rPr>
        <w:t xml:space="preserve"> 个观测点株数之和</w:t>
      </w:r>
      <w:r>
        <w:rPr>
          <w:sz w:val="21"/>
        </w:rPr>
        <w:t>）</w:t>
      </w:r>
      <w:r>
        <w:rPr>
          <w:spacing w:val="-4"/>
          <w:sz w:val="21"/>
        </w:rPr>
        <w:t>除以总长</w:t>
      </w:r>
      <w:r>
        <w:rPr>
          <w:spacing w:val="-11"/>
          <w:sz w:val="21"/>
        </w:rPr>
        <w:t xml:space="preserve">度，即为 </w:t>
      </w:r>
      <w:r>
        <w:rPr>
          <w:sz w:val="21"/>
        </w:rPr>
        <w:t>1</w:t>
      </w:r>
      <w:r>
        <w:rPr>
          <w:spacing w:val="-37"/>
          <w:sz w:val="21"/>
        </w:rPr>
        <w:t xml:space="preserve"> </w:t>
      </w:r>
      <w:r>
        <w:rPr>
          <w:sz w:val="21"/>
        </w:rPr>
        <w:t>m</w:t>
      </w:r>
      <w:r>
        <w:rPr>
          <w:spacing w:val="-12"/>
          <w:sz w:val="21"/>
        </w:rPr>
        <w:t xml:space="preserve"> 内株数； </w:t>
      </w:r>
    </w:p>
    <w:p>
      <w:pPr>
        <w:pStyle w:val="ListParagraph"/>
        <w:numPr>
          <w:ilvl w:val="2"/>
          <w:numId w:val="9"/>
        </w:numPr>
        <w:tabs>
          <w:tab w:val="left" w:pos="1246"/>
        </w:tabs>
        <w:spacing w:before="0" w:after="0" w:line="269" w:lineRule="exact"/>
        <w:ind w:left="1245" w:right="0" w:hanging="428"/>
        <w:jc w:val="both"/>
        <w:rPr>
          <w:sz w:val="21"/>
        </w:rPr>
      </w:pPr>
      <w:r>
        <w:rPr>
          <w:sz w:val="21"/>
        </w:rPr>
        <w:t>1</w:t>
      </w:r>
      <w:r>
        <w:rPr>
          <w:spacing w:val="-38"/>
          <w:sz w:val="21"/>
        </w:rPr>
        <w:t xml:space="preserve"> </w:t>
      </w:r>
      <w:r>
        <w:rPr>
          <w:sz w:val="21"/>
        </w:rPr>
        <w:t>m</w:t>
      </w:r>
      <w:r>
        <w:rPr>
          <w:position w:val="11"/>
          <w:sz w:val="11"/>
        </w:rPr>
        <w:t>2</w:t>
      </w:r>
      <w:r>
        <w:rPr>
          <w:spacing w:val="-28"/>
          <w:position w:val="11"/>
          <w:sz w:val="11"/>
        </w:rPr>
        <w:t xml:space="preserve"> </w:t>
      </w:r>
      <w:r>
        <w:rPr>
          <w:spacing w:val="-7"/>
          <w:sz w:val="21"/>
        </w:rPr>
        <w:t xml:space="preserve">株数：等于平均 </w:t>
      </w:r>
      <w:r>
        <w:rPr>
          <w:sz w:val="21"/>
        </w:rPr>
        <w:t>1</w:t>
      </w:r>
      <w:r>
        <w:rPr>
          <w:spacing w:val="-37"/>
          <w:sz w:val="21"/>
        </w:rPr>
        <w:t xml:space="preserve"> </w:t>
      </w:r>
      <w:r>
        <w:rPr>
          <w:sz w:val="21"/>
        </w:rPr>
        <w:t>m</w:t>
      </w:r>
      <w:r>
        <w:rPr>
          <w:spacing w:val="-15"/>
          <w:sz w:val="21"/>
        </w:rPr>
        <w:t xml:space="preserve"> 内行数与平均 </w:t>
      </w:r>
      <w:r>
        <w:rPr>
          <w:sz w:val="21"/>
        </w:rPr>
        <w:t>1</w:t>
      </w:r>
      <w:r>
        <w:rPr>
          <w:spacing w:val="-36"/>
          <w:sz w:val="21"/>
        </w:rPr>
        <w:t xml:space="preserve"> </w:t>
      </w:r>
      <w:r>
        <w:rPr>
          <w:sz w:val="21"/>
        </w:rPr>
        <w:t>m</w:t>
      </w:r>
      <w:r>
        <w:rPr>
          <w:spacing w:val="-8"/>
          <w:sz w:val="21"/>
        </w:rPr>
        <w:t xml:space="preserve"> 内株数之积，计算公式见式</w:t>
      </w:r>
      <w:r>
        <w:rPr>
          <w:sz w:val="21"/>
        </w:rPr>
        <w:t xml:space="preserve">（2）： </w:t>
      </w:r>
    </w:p>
    <w:p>
      <w:pPr>
        <w:spacing w:after="0" w:line="269" w:lineRule="exact"/>
        <w:jc w:val="both"/>
        <w:rPr>
          <w:sz w:val="21"/>
        </w:rPr>
        <w:sectPr>
          <w:headerReference w:type="even" r:id="rId32"/>
          <w:headerReference w:type="default" r:id="rId33"/>
          <w:footerReference w:type="even" r:id="rId34"/>
          <w:footerReference w:type="default" r:id="rId35"/>
          <w:pgSz w:w="11910" w:h="16840"/>
          <w:pgMar w:top="1640" w:right="560" w:bottom="1340" w:left="740" w:header="1448" w:footer="1141"/>
          <w:pgNumType w:start="4"/>
          <w:cols w:space="708"/>
        </w:sectPr>
      </w:pPr>
    </w:p>
    <w:p>
      <w:pPr>
        <w:pStyle w:val="BodyText"/>
        <w:rPr>
          <w:sz w:val="20"/>
        </w:rPr>
      </w:pPr>
    </w:p>
    <w:p>
      <w:pPr>
        <w:pStyle w:val="BodyText"/>
        <w:spacing w:before="9"/>
        <w:rPr>
          <w:sz w:val="14"/>
        </w:rPr>
      </w:pPr>
    </w:p>
    <w:p>
      <w:pPr>
        <w:pStyle w:val="BodyText"/>
        <w:ind w:left="814"/>
      </w:pPr>
      <w:r>
        <w:t>式中：</w:t>
      </w:r>
    </w:p>
    <w:p>
      <w:pPr>
        <w:spacing w:before="20"/>
        <w:ind w:left="813" w:right="0" w:firstLine="0"/>
        <w:jc w:val="left"/>
        <w:rPr>
          <w:rFonts w:ascii="Times New Roman" w:hAnsi="Times New Roman"/>
          <w:i/>
          <w:sz w:val="24"/>
        </w:rPr>
      </w:pPr>
      <w:r>
        <w:br w:type="column"/>
      </w:r>
      <w:r>
        <w:rPr>
          <w:rFonts w:ascii="Times New Roman" w:hAnsi="Times New Roman"/>
          <w:i/>
          <w:w w:val="110"/>
          <w:sz w:val="24"/>
        </w:rPr>
        <w:t>L</w:t>
      </w:r>
      <w:r>
        <w:rPr>
          <w:rFonts w:ascii="Times New Roman" w:hAnsi="Times New Roman"/>
          <w:i/>
          <w:spacing w:val="-20"/>
          <w:w w:val="110"/>
          <w:sz w:val="24"/>
        </w:rPr>
        <w:t xml:space="preserve"> </w:t>
      </w:r>
      <w:r>
        <w:rPr>
          <w:rFonts w:ascii="Symbol" w:hAnsi="Symbol"/>
          <w:w w:val="110"/>
          <w:sz w:val="24"/>
        </w:rPr>
        <w:sym w:font="Symbol" w:char="F03D"/>
      </w:r>
      <w:r>
        <w:rPr>
          <w:rFonts w:ascii="Times New Roman" w:hAnsi="Times New Roman"/>
          <w:spacing w:val="-18"/>
          <w:w w:val="110"/>
          <w:sz w:val="24"/>
        </w:rPr>
        <w:t xml:space="preserve"> </w:t>
      </w:r>
      <w:r>
        <w:rPr>
          <w:rFonts w:ascii="Times New Roman" w:hAnsi="Times New Roman"/>
          <w:i/>
          <w:w w:val="110"/>
          <w:sz w:val="24"/>
        </w:rPr>
        <w:t>M</w:t>
      </w:r>
      <w:r>
        <w:rPr>
          <w:rFonts w:ascii="Times New Roman" w:hAnsi="Times New Roman"/>
          <w:i/>
          <w:spacing w:val="-20"/>
          <w:w w:val="110"/>
          <w:sz w:val="24"/>
        </w:rPr>
        <w:t xml:space="preserve"> </w:t>
      </w:r>
      <w:r>
        <w:rPr>
          <w:rFonts w:ascii="Symbol" w:hAnsi="Symbol"/>
          <w:w w:val="110"/>
          <w:sz w:val="24"/>
        </w:rPr>
        <w:sym w:font="Symbol" w:char="F0B4"/>
      </w:r>
      <w:r>
        <w:rPr>
          <w:rFonts w:ascii="Times New Roman" w:hAnsi="Times New Roman"/>
          <w:spacing w:val="-36"/>
          <w:w w:val="110"/>
          <w:sz w:val="24"/>
        </w:rPr>
        <w:t xml:space="preserve"> </w:t>
      </w:r>
      <w:r>
        <w:rPr>
          <w:rFonts w:ascii="Times New Roman" w:hAnsi="Times New Roman"/>
          <w:i/>
          <w:spacing w:val="-18"/>
          <w:w w:val="110"/>
          <w:sz w:val="24"/>
        </w:rPr>
        <w:t>P</w:t>
      </w:r>
    </w:p>
    <w:p>
      <w:pPr>
        <w:pStyle w:val="BodyText"/>
        <w:spacing w:line="365" w:lineRule="exact"/>
        <w:ind w:left="71"/>
      </w:pPr>
      <w:r>
        <w:br w:type="column"/>
      </w:r>
      <w:r>
        <w:rPr>
          <w:rFonts w:ascii="微软雅黑" w:hAnsi="微软雅黑"/>
        </w:rPr>
        <w:t xml:space="preserve">·········································································· </w:t>
      </w:r>
      <w:r>
        <w:t xml:space="preserve">(2) </w:t>
      </w:r>
    </w:p>
    <w:p>
      <w:pPr>
        <w:spacing w:after="0" w:line="365" w:lineRule="exact"/>
        <w:sectPr>
          <w:headerReference w:type="even" r:id="rId36"/>
          <w:headerReference w:type="default" r:id="rId37"/>
          <w:footerReference w:type="even" r:id="rId38"/>
          <w:footerReference w:type="default" r:id="rId39"/>
          <w:type w:val="continuous"/>
          <w:pgSz w:w="11910" w:h="16840"/>
          <w:pgMar w:top="560" w:right="560" w:bottom="0" w:left="740" w:header="708" w:footer="708"/>
          <w:pgNumType w:start="5"/>
          <w:cols w:num="3" w:space="708" w:equalWidth="0">
            <w:col w:w="1485" w:space="2263"/>
            <w:col w:w="1803" w:space="39"/>
            <w:col w:w="5020" w:space="0"/>
          </w:cols>
        </w:sectPr>
      </w:pPr>
    </w:p>
    <w:p>
      <w:pPr>
        <w:pStyle w:val="BodyText"/>
        <w:spacing w:before="31" w:line="278" w:lineRule="auto"/>
        <w:ind w:left="814" w:right="5346"/>
      </w:pPr>
      <w:r>
        <w:rPr>
          <w:rFonts w:ascii="Times New Roman" w:eastAsia="Times New Roman" w:hAnsi="Times New Roman"/>
          <w:i/>
        </w:rPr>
        <w:t>L</w:t>
      </w:r>
      <w:r>
        <w:t>——1 m</w:t>
      </w:r>
      <w:r>
        <w:rPr>
          <w:position w:val="11"/>
          <w:sz w:val="11"/>
        </w:rPr>
        <w:t>2</w:t>
      </w:r>
      <w:r>
        <w:t>株数，单位为株/平方米（株/m</w:t>
      </w:r>
      <w:r>
        <w:rPr>
          <w:position w:val="11"/>
          <w:sz w:val="11"/>
        </w:rPr>
        <w:t>2</w:t>
      </w:r>
      <w:r>
        <w:t xml:space="preserve">）； </w:t>
      </w:r>
      <w:r>
        <w:rPr>
          <w:rFonts w:ascii="Times New Roman" w:eastAsia="Times New Roman" w:hAnsi="Times New Roman"/>
          <w:i/>
        </w:rPr>
        <w:t>M</w:t>
      </w:r>
      <w:r>
        <w:t xml:space="preserve">——1 m内平均行数，单位为株/米（株/m）； </w:t>
      </w:r>
      <w:r>
        <w:rPr>
          <w:rFonts w:ascii="Times New Roman" w:eastAsia="Times New Roman" w:hAnsi="Times New Roman"/>
          <w:i/>
        </w:rPr>
        <w:t>P</w:t>
      </w:r>
      <w:r>
        <w:t xml:space="preserve">——1 m内平均株数，单位为株/米（株/m）。 </w:t>
      </w:r>
    </w:p>
    <w:p>
      <w:pPr>
        <w:pStyle w:val="ListParagraph"/>
        <w:numPr>
          <w:ilvl w:val="1"/>
          <w:numId w:val="9"/>
        </w:numPr>
        <w:tabs>
          <w:tab w:val="left" w:pos="919"/>
          <w:tab w:val="left" w:pos="920"/>
        </w:tabs>
        <w:spacing w:before="155" w:after="0" w:line="240" w:lineRule="auto"/>
        <w:ind w:left="920" w:right="0" w:hanging="526"/>
        <w:jc w:val="left"/>
        <w:rPr>
          <w:rFonts w:ascii="黑体" w:eastAsia="黑体" w:hint="eastAsia"/>
          <w:sz w:val="21"/>
        </w:rPr>
      </w:pPr>
      <w:r>
        <w:rPr>
          <w:rFonts w:ascii="黑体" w:eastAsia="黑体" w:hint="eastAsia"/>
          <w:sz w:val="21"/>
        </w:rPr>
        <w:t>茎粗测定</w:t>
      </w:r>
    </w:p>
    <w:p>
      <w:pPr>
        <w:pStyle w:val="BodyText"/>
        <w:spacing w:before="1"/>
        <w:rPr>
          <w:rFonts w:ascii="黑体"/>
          <w:sz w:val="10"/>
        </w:rPr>
      </w:pPr>
    </w:p>
    <w:p>
      <w:pPr>
        <w:pStyle w:val="BodyText"/>
        <w:spacing w:before="70" w:line="278" w:lineRule="auto"/>
        <w:ind w:left="394" w:right="854" w:firstLine="420"/>
      </w:pPr>
      <w:r>
        <w:t xml:space="preserve">用游标卡尺测量茎基部直径。茎粗测量以毫米为单位，小数四舍五入，取1位小数记载，测量数据及结果记入附录A表A.6。 </w:t>
      </w:r>
    </w:p>
    <w:p>
      <w:pPr>
        <w:pStyle w:val="BodyText"/>
        <w:spacing w:before="6"/>
        <w:rPr>
          <w:sz w:val="24"/>
        </w:rPr>
      </w:pPr>
    </w:p>
    <w:p>
      <w:pPr>
        <w:pStyle w:val="ListParagraph"/>
        <w:numPr>
          <w:ilvl w:val="0"/>
          <w:numId w:val="9"/>
        </w:numPr>
        <w:tabs>
          <w:tab w:val="left" w:pos="709"/>
          <w:tab w:val="left" w:pos="710"/>
        </w:tabs>
        <w:spacing w:before="0" w:after="0" w:line="240" w:lineRule="auto"/>
        <w:ind w:left="709" w:right="0" w:hanging="316"/>
        <w:jc w:val="left"/>
        <w:rPr>
          <w:rFonts w:ascii="黑体" w:eastAsia="黑体" w:hint="eastAsia"/>
          <w:sz w:val="21"/>
        </w:rPr>
      </w:pPr>
      <w:bookmarkStart w:id="8" w:name="_bookmark8"/>
      <w:bookmarkEnd w:id="8"/>
      <w:r>
        <w:rPr>
          <w:rFonts w:ascii="黑体" w:eastAsia="黑体" w:hint="eastAsia"/>
          <w:sz w:val="21"/>
        </w:rPr>
        <w:t>气象观测</w:t>
      </w:r>
    </w:p>
    <w:p>
      <w:pPr>
        <w:pStyle w:val="BodyText"/>
        <w:spacing w:before="1"/>
        <w:rPr>
          <w:rFonts w:ascii="黑体"/>
          <w:sz w:val="22"/>
        </w:rPr>
      </w:pPr>
    </w:p>
    <w:p>
      <w:pPr>
        <w:pStyle w:val="ListParagraph"/>
        <w:numPr>
          <w:ilvl w:val="1"/>
          <w:numId w:val="9"/>
        </w:numPr>
        <w:tabs>
          <w:tab w:val="left" w:pos="919"/>
          <w:tab w:val="left" w:pos="920"/>
        </w:tabs>
        <w:spacing w:before="71" w:after="0" w:line="240" w:lineRule="auto"/>
        <w:ind w:left="920" w:right="0" w:hanging="526"/>
        <w:jc w:val="left"/>
        <w:rPr>
          <w:rFonts w:ascii="黑体" w:eastAsia="黑体" w:hint="eastAsia"/>
          <w:sz w:val="21"/>
        </w:rPr>
      </w:pPr>
      <w:r>
        <w:rPr>
          <w:rFonts w:ascii="黑体" w:eastAsia="黑体" w:hint="eastAsia"/>
          <w:sz w:val="21"/>
        </w:rPr>
        <w:t>选址</w:t>
      </w:r>
    </w:p>
    <w:p>
      <w:pPr>
        <w:pStyle w:val="BodyText"/>
        <w:rPr>
          <w:rFonts w:ascii="黑体"/>
          <w:sz w:val="10"/>
        </w:rPr>
      </w:pPr>
    </w:p>
    <w:p>
      <w:pPr>
        <w:pStyle w:val="BodyText"/>
        <w:spacing w:before="71" w:line="278" w:lineRule="auto"/>
        <w:ind w:left="394" w:right="855" w:firstLine="420"/>
        <w:sectPr>
          <w:headerReference w:type="even" r:id="rId40"/>
          <w:headerReference w:type="default" r:id="rId41"/>
          <w:footerReference w:type="even" r:id="rId42"/>
          <w:footerReference w:type="default" r:id="rId43"/>
          <w:type w:val="continuous"/>
          <w:pgSz w:w="11910" w:h="16840"/>
          <w:pgMar w:top="560" w:right="560" w:bottom="0" w:left="740" w:header="708" w:footer="708"/>
          <w:pgNumType w:start="6"/>
          <w:cols w:space="708"/>
        </w:sectPr>
      </w:pPr>
    </w:p>
    <w:p>
      <w:pPr>
        <w:pStyle w:val="BodyText"/>
        <w:spacing w:before="71" w:line="278" w:lineRule="auto"/>
        <w:ind w:left="394" w:right="855" w:firstLine="420"/>
      </w:pPr>
      <w:r>
        <w:t>观测场应在符合本标准第5章所列条件选定的观测地段上选择，并注意避免局部地形的影响，面积不应小于4</w:t>
      </w:r>
      <w:r>
        <w:t xml:space="preserve"> m（东西向）×8</w:t>
      </w:r>
      <w:r>
        <w:t xml:space="preserve"> m（南北向）。</w:t>
      </w:r>
      <w:r>
        <w:t xml:space="preserve"> </w:t>
      </w:r>
    </w:p>
    <w:p>
      <w:pPr>
        <w:spacing w:after="0" w:line="278" w:lineRule="auto"/>
        <w:sectPr>
          <w:headerReference w:type="even" r:id="rId44"/>
          <w:headerReference w:type="default" r:id="rId45"/>
          <w:footerReference w:type="even" r:id="rId46"/>
          <w:footerReference w:type="default" r:id="rId47"/>
          <w:type w:val="nextPage"/>
          <w:pgSz w:w="11910" w:h="16840"/>
          <w:pgMar w:top="560" w:right="560" w:bottom="0" w:left="740" w:header="708" w:footer="708"/>
          <w:pgNumType w:start="7"/>
          <w:cols w:space="708"/>
          <w:titlePg w:val="0"/>
        </w:sectPr>
      </w:pPr>
    </w:p>
    <w:p>
      <w:pPr>
        <w:pStyle w:val="BodyText"/>
        <w:rPr>
          <w:sz w:val="8"/>
        </w:rPr>
      </w:pPr>
    </w:p>
    <w:p>
      <w:pPr>
        <w:pStyle w:val="ListParagraph"/>
        <w:numPr>
          <w:ilvl w:val="1"/>
          <w:numId w:val="9"/>
        </w:numPr>
        <w:tabs>
          <w:tab w:val="left" w:pos="1204"/>
          <w:tab w:val="left" w:pos="1205"/>
        </w:tabs>
        <w:spacing w:before="70" w:after="0" w:line="240" w:lineRule="auto"/>
        <w:ind w:left="1204" w:right="0" w:hanging="527"/>
        <w:jc w:val="left"/>
        <w:rPr>
          <w:rFonts w:ascii="黑体" w:eastAsia="黑体" w:hint="eastAsia"/>
          <w:sz w:val="21"/>
        </w:rPr>
      </w:pPr>
      <w:r>
        <w:rPr>
          <w:rFonts w:ascii="黑体" w:eastAsia="黑体" w:hint="eastAsia"/>
          <w:sz w:val="21"/>
        </w:rPr>
        <w:t>气象观测要素</w:t>
      </w:r>
    </w:p>
    <w:p>
      <w:pPr>
        <w:pStyle w:val="BodyText"/>
        <w:spacing w:before="1"/>
        <w:rPr>
          <w:rFonts w:ascii="黑体"/>
          <w:sz w:val="10"/>
        </w:rPr>
      </w:pPr>
    </w:p>
    <w:p>
      <w:pPr>
        <w:pStyle w:val="BodyText"/>
        <w:spacing w:before="70" w:line="278" w:lineRule="auto"/>
        <w:ind w:left="678" w:right="569" w:firstLine="420"/>
        <w:jc w:val="both"/>
      </w:pPr>
      <w:r>
        <w:rPr>
          <w:spacing w:val="-1"/>
        </w:rPr>
        <w:t>观测要素主要包括气温、空气相对湿度、降水、日照时数、风速、地面温度、土壤水分(测定深度</w:t>
      </w:r>
      <w:r>
        <w:t>为0</w:t>
      </w:r>
      <w:r>
        <w:rPr>
          <w:spacing w:val="-29"/>
        </w:rPr>
        <w:t xml:space="preserve"> </w:t>
      </w:r>
      <w:r>
        <w:t>cm～10</w:t>
      </w:r>
      <w:r>
        <w:rPr>
          <w:spacing w:val="-28"/>
        </w:rPr>
        <w:t xml:space="preserve"> </w:t>
      </w:r>
      <w:r>
        <w:t>cm、10</w:t>
      </w:r>
      <w:r>
        <w:rPr>
          <w:spacing w:val="-28"/>
        </w:rPr>
        <w:t xml:space="preserve"> </w:t>
      </w:r>
      <w:r>
        <w:t>cm～20</w:t>
      </w:r>
      <w:r>
        <w:rPr>
          <w:spacing w:val="-29"/>
        </w:rPr>
        <w:t xml:space="preserve"> </w:t>
      </w:r>
      <w:r>
        <w:t>cm、20</w:t>
      </w:r>
      <w:r>
        <w:rPr>
          <w:spacing w:val="-29"/>
        </w:rPr>
        <w:t xml:space="preserve"> </w:t>
      </w:r>
      <w:r>
        <w:t>cm～30</w:t>
      </w:r>
      <w:r>
        <w:rPr>
          <w:spacing w:val="-29"/>
        </w:rPr>
        <w:t xml:space="preserve"> </w:t>
      </w:r>
      <w:r>
        <w:t>cm、30</w:t>
      </w:r>
      <w:r>
        <w:rPr>
          <w:spacing w:val="-29"/>
        </w:rPr>
        <w:t xml:space="preserve"> </w:t>
      </w:r>
      <w:r>
        <w:t>cm～40</w:t>
      </w:r>
      <w:r>
        <w:rPr>
          <w:spacing w:val="-30"/>
        </w:rPr>
        <w:t xml:space="preserve"> </w:t>
      </w:r>
      <w:r>
        <w:t xml:space="preserve">cm）；有条件的地区可增加总辐射、光合有效辐射等。 </w:t>
      </w:r>
    </w:p>
    <w:p>
      <w:pPr>
        <w:pStyle w:val="ListParagraph"/>
        <w:numPr>
          <w:ilvl w:val="1"/>
          <w:numId w:val="9"/>
        </w:numPr>
        <w:tabs>
          <w:tab w:val="left" w:pos="1204"/>
          <w:tab w:val="left" w:pos="1205"/>
        </w:tabs>
        <w:spacing w:before="156" w:after="0" w:line="240" w:lineRule="auto"/>
        <w:ind w:left="1204" w:right="0" w:hanging="527"/>
        <w:jc w:val="left"/>
        <w:rPr>
          <w:rFonts w:ascii="黑体" w:eastAsia="黑体" w:hint="eastAsia"/>
          <w:sz w:val="21"/>
        </w:rPr>
      </w:pPr>
      <w:r>
        <w:rPr>
          <w:rFonts w:ascii="黑体" w:eastAsia="黑体" w:hint="eastAsia"/>
          <w:sz w:val="21"/>
        </w:rPr>
        <w:t>气象观测仪器</w:t>
      </w:r>
    </w:p>
    <w:p>
      <w:pPr>
        <w:pStyle w:val="BodyText"/>
        <w:rPr>
          <w:rFonts w:ascii="黑体"/>
          <w:sz w:val="10"/>
        </w:rPr>
      </w:pPr>
    </w:p>
    <w:p>
      <w:pPr>
        <w:pStyle w:val="BodyText"/>
        <w:spacing w:before="71" w:line="278" w:lineRule="auto"/>
        <w:ind w:left="678" w:right="570" w:firstLine="420"/>
      </w:pPr>
      <w:r>
        <w:drawing>
          <wp:anchor distT="0" distB="0" distL="0" distR="0" simplePos="0" relativeHeight="251664384" behindDoc="1" locked="0" layoutInCell="1" allowOverlap="1">
            <wp:simplePos x="0" y="0"/>
            <wp:positionH relativeFrom="page">
              <wp:posOffset>1890141</wp:posOffset>
            </wp:positionH>
            <wp:positionV relativeFrom="paragraph">
              <wp:posOffset>454865</wp:posOffset>
            </wp:positionV>
            <wp:extent cx="3780266" cy="4971151"/>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19" cstate="print"/>
                    <a:stretch>
                      <a:fillRect/>
                    </a:stretch>
                  </pic:blipFill>
                  <pic:spPr>
                    <a:xfrm>
                      <a:off x="0" y="0"/>
                      <a:ext cx="3780266" cy="4971151"/>
                    </a:xfrm>
                    <a:prstGeom prst="rect">
                      <a:avLst/>
                    </a:prstGeom>
                  </pic:spPr>
                </pic:pic>
              </a:graphicData>
            </a:graphic>
          </wp:anchor>
        </w:drawing>
      </w:r>
      <w:r>
        <w:rPr>
          <w:spacing w:val="-7"/>
        </w:rPr>
        <w:t>仪器布设宜采取自动站布设，有关仪器安装、维护和检定等按照</w:t>
      </w:r>
      <w:r>
        <w:t>GB/T</w:t>
      </w:r>
      <w:r>
        <w:rPr>
          <w:spacing w:val="-54"/>
        </w:rPr>
        <w:t xml:space="preserve"> </w:t>
      </w:r>
      <w:r>
        <w:t>35221-2017</w:t>
      </w:r>
      <w:r>
        <w:rPr>
          <w:spacing w:val="-10"/>
        </w:rPr>
        <w:t>执行，数据采样、</w:t>
      </w:r>
      <w:r>
        <w:t xml:space="preserve">处理、存储按照GB/T 35237-2017执行。 </w:t>
      </w:r>
    </w:p>
    <w:p>
      <w:pPr>
        <w:pStyle w:val="BodyText"/>
        <w:spacing w:before="5"/>
        <w:rPr>
          <w:sz w:val="24"/>
        </w:rPr>
      </w:pPr>
    </w:p>
    <w:p>
      <w:pPr>
        <w:pStyle w:val="ListParagraph"/>
        <w:numPr>
          <w:ilvl w:val="0"/>
          <w:numId w:val="9"/>
        </w:numPr>
        <w:tabs>
          <w:tab w:val="left" w:pos="994"/>
          <w:tab w:val="left" w:pos="995"/>
        </w:tabs>
        <w:spacing w:before="1" w:after="0" w:line="240" w:lineRule="auto"/>
        <w:ind w:left="994" w:right="0" w:hanging="317"/>
        <w:jc w:val="left"/>
        <w:rPr>
          <w:rFonts w:ascii="黑体" w:eastAsia="黑体" w:hint="eastAsia"/>
          <w:sz w:val="21"/>
        </w:rPr>
      </w:pPr>
      <w:bookmarkStart w:id="9" w:name="_bookmark9"/>
      <w:bookmarkEnd w:id="9"/>
      <w:r>
        <w:rPr>
          <w:rFonts w:ascii="黑体" w:eastAsia="黑体" w:hint="eastAsia"/>
          <w:sz w:val="21"/>
        </w:rPr>
        <w:t>气象灾害和病虫害观测与调查</w:t>
      </w:r>
    </w:p>
    <w:p>
      <w:pPr>
        <w:pStyle w:val="BodyText"/>
        <w:spacing w:before="1"/>
        <w:rPr>
          <w:rFonts w:ascii="黑体"/>
          <w:sz w:val="22"/>
        </w:rPr>
      </w:pPr>
    </w:p>
    <w:p>
      <w:pPr>
        <w:pStyle w:val="ListParagraph"/>
        <w:numPr>
          <w:ilvl w:val="1"/>
          <w:numId w:val="9"/>
        </w:numPr>
        <w:tabs>
          <w:tab w:val="left" w:pos="1204"/>
          <w:tab w:val="left" w:pos="1205"/>
        </w:tabs>
        <w:spacing w:before="70" w:after="0" w:line="240" w:lineRule="auto"/>
        <w:ind w:left="1204" w:right="0" w:hanging="527"/>
        <w:jc w:val="left"/>
        <w:rPr>
          <w:rFonts w:ascii="黑体" w:eastAsia="黑体" w:hint="eastAsia"/>
          <w:sz w:val="21"/>
        </w:rPr>
      </w:pPr>
      <w:r>
        <w:rPr>
          <w:rFonts w:ascii="黑体" w:eastAsia="黑体" w:hint="eastAsia"/>
          <w:sz w:val="21"/>
        </w:rPr>
        <w:t>范围和重点</w:t>
      </w:r>
    </w:p>
    <w:p>
      <w:pPr>
        <w:pStyle w:val="BodyText"/>
        <w:spacing w:before="1"/>
        <w:rPr>
          <w:rFonts w:ascii="黑体"/>
          <w:sz w:val="10"/>
        </w:rPr>
      </w:pPr>
    </w:p>
    <w:p>
      <w:pPr>
        <w:pStyle w:val="ListParagraph"/>
        <w:numPr>
          <w:ilvl w:val="2"/>
          <w:numId w:val="7"/>
        </w:numPr>
        <w:tabs>
          <w:tab w:val="left" w:pos="1414"/>
          <w:tab w:val="left" w:pos="1415"/>
        </w:tabs>
        <w:spacing w:before="70" w:after="0" w:line="240" w:lineRule="auto"/>
        <w:ind w:left="1414" w:right="0" w:hanging="737"/>
        <w:jc w:val="left"/>
        <w:rPr>
          <w:rFonts w:ascii="黑体" w:eastAsia="黑体" w:hint="eastAsia"/>
          <w:sz w:val="21"/>
        </w:rPr>
      </w:pPr>
      <w:r>
        <w:rPr>
          <w:rFonts w:ascii="黑体" w:eastAsia="黑体" w:hint="eastAsia"/>
          <w:sz w:val="21"/>
        </w:rPr>
        <w:t>气象灾害</w:t>
      </w:r>
    </w:p>
    <w:p>
      <w:pPr>
        <w:pStyle w:val="BodyText"/>
        <w:spacing w:before="7"/>
        <w:rPr>
          <w:rFonts w:ascii="黑体"/>
          <w:sz w:val="15"/>
        </w:rPr>
      </w:pPr>
    </w:p>
    <w:p>
      <w:pPr>
        <w:pStyle w:val="BodyText"/>
        <w:spacing w:line="278" w:lineRule="auto"/>
        <w:ind w:left="678" w:right="570" w:firstLine="420"/>
      </w:pPr>
      <w:r>
        <w:rPr>
          <w:spacing w:val="-8"/>
        </w:rPr>
        <w:t>对辣椒生产危害大、涉及范围广、发生频率高的气象灾害，主要包括干旱、洪涝、冰雹、开花结果</w:t>
      </w:r>
      <w:r>
        <w:t xml:space="preserve">期高温。 </w:t>
      </w:r>
    </w:p>
    <w:p>
      <w:pPr>
        <w:pStyle w:val="ListParagraph"/>
        <w:numPr>
          <w:ilvl w:val="2"/>
          <w:numId w:val="7"/>
        </w:numPr>
        <w:tabs>
          <w:tab w:val="left" w:pos="1414"/>
          <w:tab w:val="left" w:pos="1415"/>
        </w:tabs>
        <w:spacing w:before="156" w:after="0" w:line="240" w:lineRule="auto"/>
        <w:ind w:left="1414" w:right="0" w:hanging="737"/>
        <w:jc w:val="left"/>
        <w:rPr>
          <w:rFonts w:ascii="黑体" w:eastAsia="黑体" w:hint="eastAsia"/>
          <w:sz w:val="21"/>
        </w:rPr>
      </w:pPr>
      <w:r>
        <w:rPr>
          <w:rFonts w:ascii="黑体" w:eastAsia="黑体" w:hint="eastAsia"/>
          <w:sz w:val="21"/>
        </w:rPr>
        <w:t>病虫害</w:t>
      </w:r>
    </w:p>
    <w:p>
      <w:pPr>
        <w:pStyle w:val="BodyText"/>
        <w:spacing w:before="6"/>
        <w:rPr>
          <w:rFonts w:ascii="黑体"/>
          <w:sz w:val="15"/>
        </w:rPr>
      </w:pPr>
    </w:p>
    <w:p>
      <w:pPr>
        <w:pStyle w:val="BodyText"/>
        <w:spacing w:before="1" w:line="278" w:lineRule="auto"/>
        <w:ind w:left="678" w:right="570" w:firstLine="420"/>
      </w:pPr>
      <w:r>
        <w:rPr>
          <w:spacing w:val="-10"/>
        </w:rPr>
        <w:t>发生范围广，对辣椒危害严重病虫害，主要包括辣椒疫病、根腐病、病毒病、地老虎、烟青虫、蚜</w:t>
      </w:r>
      <w:r>
        <w:t xml:space="preserve">虫、茶黄螨等。 </w:t>
      </w:r>
    </w:p>
    <w:p>
      <w:pPr>
        <w:pStyle w:val="ListParagraph"/>
        <w:numPr>
          <w:ilvl w:val="1"/>
          <w:numId w:val="9"/>
        </w:numPr>
        <w:tabs>
          <w:tab w:val="left" w:pos="1204"/>
          <w:tab w:val="left" w:pos="1205"/>
        </w:tabs>
        <w:spacing w:before="156" w:after="0" w:line="240" w:lineRule="auto"/>
        <w:ind w:left="1204" w:right="0" w:hanging="527"/>
        <w:jc w:val="left"/>
        <w:rPr>
          <w:rFonts w:ascii="黑体" w:eastAsia="黑体" w:hint="eastAsia"/>
          <w:sz w:val="21"/>
        </w:rPr>
      </w:pPr>
      <w:r>
        <w:rPr>
          <w:rFonts w:ascii="黑体" w:eastAsia="黑体" w:hint="eastAsia"/>
          <w:sz w:val="21"/>
        </w:rPr>
        <w:t>观测时间和地点</w:t>
      </w:r>
    </w:p>
    <w:p>
      <w:pPr>
        <w:pStyle w:val="BodyText"/>
        <w:rPr>
          <w:rFonts w:ascii="黑体"/>
          <w:sz w:val="10"/>
        </w:rPr>
      </w:pPr>
    </w:p>
    <w:p>
      <w:pPr>
        <w:pStyle w:val="ListParagraph"/>
        <w:numPr>
          <w:ilvl w:val="2"/>
          <w:numId w:val="6"/>
        </w:numPr>
        <w:tabs>
          <w:tab w:val="left" w:pos="1414"/>
          <w:tab w:val="left" w:pos="1415"/>
        </w:tabs>
        <w:spacing w:before="71" w:after="0" w:line="240" w:lineRule="auto"/>
        <w:ind w:left="1414" w:right="0" w:hanging="737"/>
        <w:jc w:val="left"/>
        <w:rPr>
          <w:rFonts w:ascii="黑体" w:eastAsia="黑体" w:hint="eastAsia"/>
          <w:sz w:val="21"/>
        </w:rPr>
      </w:pPr>
      <w:r>
        <w:rPr>
          <w:rFonts w:ascii="黑体" w:eastAsia="黑体" w:hint="eastAsia"/>
          <w:sz w:val="21"/>
        </w:rPr>
        <w:t>时间</w:t>
      </w:r>
    </w:p>
    <w:p>
      <w:pPr>
        <w:pStyle w:val="BodyText"/>
        <w:spacing w:before="6"/>
        <w:rPr>
          <w:rFonts w:ascii="黑体"/>
          <w:sz w:val="15"/>
        </w:rPr>
      </w:pPr>
    </w:p>
    <w:p>
      <w:pPr>
        <w:pStyle w:val="BodyText"/>
        <w:ind w:left="1098"/>
      </w:pPr>
      <w:r>
        <w:t xml:space="preserve">灾害发生后及时进行观测记载，隔天观测一次，至受害症状不再加重为止。 </w:t>
      </w:r>
    </w:p>
    <w:p>
      <w:pPr>
        <w:pStyle w:val="BodyText"/>
        <w:spacing w:before="7"/>
        <w:rPr>
          <w:sz w:val="15"/>
        </w:rPr>
      </w:pPr>
    </w:p>
    <w:p>
      <w:pPr>
        <w:pStyle w:val="ListParagraph"/>
        <w:numPr>
          <w:ilvl w:val="2"/>
          <w:numId w:val="6"/>
        </w:numPr>
        <w:tabs>
          <w:tab w:val="left" w:pos="1414"/>
          <w:tab w:val="left" w:pos="1415"/>
        </w:tabs>
        <w:spacing w:before="0" w:after="0" w:line="240" w:lineRule="auto"/>
        <w:ind w:left="1414" w:right="0" w:hanging="737"/>
        <w:jc w:val="left"/>
        <w:rPr>
          <w:rFonts w:ascii="黑体" w:eastAsia="黑体" w:hint="eastAsia"/>
          <w:sz w:val="21"/>
        </w:rPr>
      </w:pPr>
      <w:r>
        <w:rPr>
          <w:rFonts w:ascii="黑体" w:eastAsia="黑体" w:hint="eastAsia"/>
          <w:sz w:val="21"/>
        </w:rPr>
        <w:t>地点</w:t>
      </w:r>
    </w:p>
    <w:p>
      <w:pPr>
        <w:pStyle w:val="BodyText"/>
        <w:spacing w:before="7"/>
        <w:rPr>
          <w:rFonts w:ascii="黑体"/>
          <w:sz w:val="15"/>
        </w:rPr>
      </w:pPr>
    </w:p>
    <w:p>
      <w:pPr>
        <w:pStyle w:val="BodyText"/>
        <w:spacing w:line="278" w:lineRule="auto"/>
        <w:ind w:left="678" w:right="570" w:firstLine="420"/>
      </w:pPr>
      <w:r>
        <w:rPr>
          <w:spacing w:val="-4"/>
        </w:rPr>
        <w:t>一般在辣椒生育状况观测地段上进行，若遇重大灾害、病虫害大发生时，应做好全县</w:t>
      </w:r>
      <w:r>
        <w:t>（</w:t>
      </w:r>
      <w:r>
        <w:rPr>
          <w:spacing w:val="-6"/>
        </w:rPr>
        <w:t>市、区</w:t>
      </w:r>
      <w:r>
        <w:rPr>
          <w:spacing w:val="-16"/>
        </w:rPr>
        <w:t>）</w:t>
      </w:r>
      <w:r>
        <w:rPr>
          <w:spacing w:val="-14"/>
        </w:rPr>
        <w:t>范</w:t>
      </w:r>
      <w:r>
        <w:t xml:space="preserve">围内的观测调查。 </w:t>
      </w:r>
    </w:p>
    <w:p>
      <w:pPr>
        <w:pStyle w:val="ListParagraph"/>
        <w:numPr>
          <w:ilvl w:val="1"/>
          <w:numId w:val="9"/>
        </w:numPr>
        <w:tabs>
          <w:tab w:val="left" w:pos="1204"/>
          <w:tab w:val="left" w:pos="1205"/>
        </w:tabs>
        <w:spacing w:before="156" w:after="0" w:line="240" w:lineRule="auto"/>
        <w:ind w:left="1204" w:right="0" w:hanging="527"/>
        <w:jc w:val="left"/>
        <w:rPr>
          <w:rFonts w:ascii="黑体" w:eastAsia="黑体" w:hint="eastAsia"/>
          <w:sz w:val="21"/>
        </w:rPr>
      </w:pPr>
      <w:r>
        <w:rPr>
          <w:rFonts w:ascii="黑体" w:eastAsia="黑体" w:hint="eastAsia"/>
          <w:sz w:val="21"/>
        </w:rPr>
        <w:t>调查时间与地点</w:t>
      </w:r>
    </w:p>
    <w:p>
      <w:pPr>
        <w:pStyle w:val="BodyText"/>
        <w:rPr>
          <w:rFonts w:ascii="黑体"/>
          <w:sz w:val="10"/>
        </w:rPr>
      </w:pPr>
    </w:p>
    <w:p>
      <w:pPr>
        <w:pStyle w:val="BodyText"/>
        <w:spacing w:before="70" w:line="278" w:lineRule="auto"/>
        <w:ind w:left="678" w:right="571" w:firstLine="420"/>
      </w:pPr>
      <w:r>
        <w:rPr>
          <w:spacing w:val="-7"/>
        </w:rPr>
        <w:t>调查在有代表性的地块上进行。采用实际调查与访问调查相结合的方法，调查时间应在灾害发生的</w:t>
      </w:r>
      <w:r>
        <w:t xml:space="preserve">当天（或第二天）进行。 </w:t>
      </w:r>
    </w:p>
    <w:p>
      <w:pPr>
        <w:pStyle w:val="ListParagraph"/>
        <w:numPr>
          <w:ilvl w:val="1"/>
          <w:numId w:val="9"/>
        </w:numPr>
        <w:tabs>
          <w:tab w:val="left" w:pos="1204"/>
          <w:tab w:val="left" w:pos="1205"/>
        </w:tabs>
        <w:spacing w:before="156" w:after="0" w:line="240" w:lineRule="auto"/>
        <w:ind w:left="1204" w:right="0" w:hanging="527"/>
        <w:jc w:val="left"/>
        <w:rPr>
          <w:rFonts w:ascii="黑体" w:eastAsia="黑体" w:hint="eastAsia"/>
          <w:sz w:val="21"/>
        </w:rPr>
      </w:pPr>
      <w:r>
        <w:rPr>
          <w:rFonts w:ascii="黑体" w:eastAsia="黑体" w:hint="eastAsia"/>
          <w:sz w:val="21"/>
        </w:rPr>
        <w:t>调查项目和记载方法</w:t>
      </w:r>
    </w:p>
    <w:p>
      <w:pPr>
        <w:pStyle w:val="BodyText"/>
        <w:rPr>
          <w:rFonts w:ascii="黑体"/>
          <w:sz w:val="10"/>
        </w:rPr>
      </w:pPr>
    </w:p>
    <w:p>
      <w:pPr>
        <w:pStyle w:val="ListParagraph"/>
        <w:numPr>
          <w:ilvl w:val="2"/>
          <w:numId w:val="5"/>
        </w:numPr>
        <w:tabs>
          <w:tab w:val="left" w:pos="1415"/>
        </w:tabs>
        <w:spacing w:before="71" w:after="0" w:line="240" w:lineRule="auto"/>
        <w:ind w:left="1414" w:right="0" w:hanging="737"/>
        <w:jc w:val="both"/>
        <w:rPr>
          <w:sz w:val="21"/>
        </w:rPr>
      </w:pPr>
      <w:r>
        <w:rPr>
          <w:spacing w:val="-3"/>
          <w:sz w:val="21"/>
        </w:rPr>
        <w:t xml:space="preserve">应按下列要求将农业气象灾害及病虫害情况同步记入附录 </w:t>
      </w:r>
      <w:r>
        <w:rPr>
          <w:sz w:val="21"/>
        </w:rPr>
        <w:t>A</w:t>
      </w:r>
      <w:r>
        <w:rPr>
          <w:spacing w:val="-36"/>
          <w:sz w:val="21"/>
        </w:rPr>
        <w:t xml:space="preserve"> 表 </w:t>
      </w:r>
      <w:r>
        <w:rPr>
          <w:sz w:val="21"/>
        </w:rPr>
        <w:t>A.7</w:t>
      </w:r>
      <w:r>
        <w:rPr>
          <w:spacing w:val="-27"/>
          <w:sz w:val="21"/>
        </w:rPr>
        <w:t xml:space="preserve"> 和表 </w:t>
      </w:r>
      <w:r>
        <w:rPr>
          <w:sz w:val="21"/>
        </w:rPr>
        <w:t xml:space="preserve">A.8。 </w:t>
      </w:r>
    </w:p>
    <w:p>
      <w:pPr>
        <w:pStyle w:val="ListParagraph"/>
        <w:numPr>
          <w:ilvl w:val="2"/>
          <w:numId w:val="5"/>
        </w:numPr>
        <w:tabs>
          <w:tab w:val="left" w:pos="1415"/>
        </w:tabs>
        <w:spacing w:before="43" w:after="0" w:line="278" w:lineRule="auto"/>
        <w:ind w:left="678" w:right="571" w:firstLine="0"/>
        <w:jc w:val="both"/>
        <w:rPr>
          <w:sz w:val="21"/>
        </w:rPr>
      </w:pPr>
      <w:r>
        <w:rPr>
          <w:spacing w:val="-1"/>
          <w:sz w:val="21"/>
        </w:rPr>
        <w:t>灾害发生后，应及时在辣椒生育状况观测地段上，对辣椒受害情况进行观测，观测时间从辣椒</w:t>
      </w:r>
      <w:r>
        <w:rPr>
          <w:spacing w:val="-7"/>
          <w:sz w:val="21"/>
        </w:rPr>
        <w:t>受害开始至受害症状不再加重为止。发生重大灾害时，还应适当扩大观测范围，必要时在灾害发生辖区</w:t>
      </w:r>
      <w:r>
        <w:rPr>
          <w:sz w:val="21"/>
        </w:rPr>
        <w:t xml:space="preserve">全部种植范围内开展调查。 </w:t>
      </w:r>
    </w:p>
    <w:p>
      <w:pPr>
        <w:pStyle w:val="ListParagraph"/>
        <w:numPr>
          <w:ilvl w:val="2"/>
          <w:numId w:val="5"/>
        </w:numPr>
        <w:tabs>
          <w:tab w:val="left" w:pos="1415"/>
        </w:tabs>
        <w:spacing w:before="0" w:after="0" w:line="240" w:lineRule="auto"/>
        <w:ind w:left="1414" w:right="0" w:hanging="737"/>
        <w:jc w:val="both"/>
        <w:rPr>
          <w:sz w:val="21"/>
        </w:rPr>
      </w:pPr>
      <w:r>
        <w:rPr>
          <w:sz w:val="21"/>
        </w:rPr>
        <w:t xml:space="preserve">应按下列要求对灾害情况进行记载： </w:t>
      </w:r>
    </w:p>
    <w:p>
      <w:pPr>
        <w:pStyle w:val="ListParagraph"/>
        <w:numPr>
          <w:ilvl w:val="3"/>
          <w:numId w:val="5"/>
        </w:numPr>
        <w:tabs>
          <w:tab w:val="left" w:pos="1530"/>
        </w:tabs>
        <w:spacing w:before="43" w:after="0" w:line="278" w:lineRule="auto"/>
        <w:ind w:left="1529" w:right="584" w:hanging="426"/>
        <w:jc w:val="both"/>
        <w:rPr>
          <w:sz w:val="21"/>
        </w:rPr>
      </w:pPr>
      <w:r>
        <w:rPr>
          <w:spacing w:val="-1"/>
          <w:sz w:val="21"/>
        </w:rPr>
        <w:t>受害期：灾害开始发生，辣椒出现受害症状时记为灾害开始期，灾害解除或辣椒受害部位症状不再发展时记为终止期，受害期内灾害如有加重需对相关情况进行记载。洪涝、冰雹等突</w:t>
      </w:r>
      <w:r>
        <w:rPr>
          <w:sz w:val="21"/>
        </w:rPr>
        <w:t xml:space="preserve">发性灾害记载辣椒受害的开始和终止日期； </w:t>
      </w:r>
    </w:p>
    <w:p>
      <w:pPr>
        <w:spacing w:after="0" w:line="278" w:lineRule="auto"/>
        <w:jc w:val="both"/>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8" w:history="1">
        <w:r>
          <w:rPr>
            <w:rFonts w:ascii="SimSun" w:eastAsia="SimSun" w:hAnsi="SimSun" w:cs="SimSun"/>
            <w:b/>
            <w:bCs/>
            <w:color w:val="0000EE"/>
            <w:sz w:val="30"/>
            <w:szCs w:val="30"/>
            <w:u w:val="single" w:color="0000EE"/>
          </w:rPr>
          <w:t>https://d.book118.com/235001204032011041</w:t>
        </w:r>
      </w:hyperlink>
    </w:p>
    <w:p>
      <w:pPr>
        <w:spacing w:after="0" w:line="278" w:lineRule="auto"/>
        <w:jc w:val="both"/>
        <w:rPr>
          <w:sz w:val="21"/>
        </w:rPr>
      </w:pPr>
    </w:p>
    <w:sectPr>
      <w:headerReference w:type="even" r:id="rId49"/>
      <w:headerReference w:type="default" r:id="rId50"/>
      <w:footerReference w:type="even" r:id="rId51"/>
      <w:footerReference w:type="default" r:id="rId52"/>
      <w:pgSz w:w="11910" w:h="16840"/>
      <w:pgMar w:top="1640" w:right="560" w:bottom="1340" w:left="740" w:header="1448" w:footer="1141"/>
      <w:pgNumType w:start="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微软雅黑">
    <w:altName w:val="微软雅黑"/>
    <w:charset w:val="86"/>
    <w:family w:val="swiss"/>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1pt;height:11pt;margin-top:773.85pt;margin-left:521.84pt;mso-position-horizontal-relative:page;mso-position-vertical-relative:page;position:absolute;z-index:-251658240"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7.5pt;height:11pt;margin-top:773.85pt;margin-left:63.6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r>
                  <w:rPr>
                    <w:sz w:val="18"/>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7.5pt;height:11pt;margin-top:773.85pt;margin-left:515.34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r>
                  <w:rPr>
                    <w:sz w:val="18"/>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7.5pt;height:11pt;margin-top:773.85pt;margin-left:63.6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7.5pt;height:11pt;margin-top:773.85pt;margin-left:515.34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r>
                  <w:rPr>
                    <w:sz w:val="18"/>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7.5pt;height:11pt;margin-top:773.85pt;margin-left:63.6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r>
                  <w:rPr>
                    <w:sz w:val="18"/>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7.5pt;height:11pt;margin-top:773.85pt;margin-left:515.34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r>
                  <w:rPr>
                    <w:sz w:val="18"/>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7.5pt;height:11pt;margin-top:773.85pt;margin-left:63.6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7.5pt;height:11pt;margin-top:773.85pt;margin-left:515.34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r>
                  <w:rPr>
                    <w:sz w:val="18"/>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17.5pt;height:11pt;margin-top:773.85pt;margin-left:63.6pt;mso-position-horizontal-relative:page;mso-position-vertical-relative:page;position:absolute;z-index:-25164288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7.5pt;height:11pt;margin-top:773.85pt;margin-left:515.34pt;mso-position-horizontal-relative:page;mso-position-vertical-relative:page;position:absolute;z-index:-25164390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r>
                  <w:rPr>
                    <w:sz w:val="1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17.5pt;height:11pt;margin-top:773.85pt;margin-left:63.6pt;mso-position-horizontal-relative:page;mso-position-vertical-relative:page;position:absolute;z-index:-25164083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7.5pt;height:11pt;margin-top:773.85pt;margin-left:515.34pt;mso-position-horizontal-relative:page;mso-position-vertical-relative:page;position:absolute;z-index:-25164185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r>
                  <w:rPr>
                    <w:sz w:val="18"/>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17.5pt;height:11pt;margin-top:773.85pt;margin-left:63.6pt;mso-position-horizontal-relative:page;mso-position-vertical-relative:page;position:absolute;z-index:-25163878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8</w:t>
                </w:r>
                <w:r>
                  <w:fldChar w:fldCharType="end"/>
                </w:r>
                <w:r>
                  <w:rPr>
                    <w:sz w:val="18"/>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17.5pt;height:11pt;margin-top:773.85pt;margin-left:515.34pt;mso-position-horizontal-relative:page;mso-position-vertical-relative:page;position:absolute;z-index:-25163980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9</w:t>
                </w:r>
                <w:r>
                  <w:fldChar w:fldCharType="end"/>
                </w:r>
                <w:r>
                  <w:rPr>
                    <w:sz w:val="18"/>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1pt;height:11pt;margin-top:773.85pt;margin-left:521.84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5.5pt;height:11pt;margin-top:773.79pt;margin-left:517.28pt;mso-position-horizontal-relative:page;mso-position-vertical-relative:page;position:absolute;z-index:-251656192"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5pt;height:11pt;margin-top:773.79pt;margin-left:517.28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7.5pt;height:11pt;margin-top:773.85pt;margin-left:63.6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r>
                  <w:rPr>
                    <w:sz w:val="18"/>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7.5pt;height:11pt;margin-top:773.85pt;margin-left:515.34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r>
                  <w:rPr>
                    <w:sz w:val="18"/>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25pt;height:12.5pt;margin-top:71.4pt;margin-left:448.46pt;mso-position-horizontal-relative:page;mso-position-vertical-relative:page;position:absolute;z-index:-251658240"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25pt;height:12.5pt;margin-top:71.4pt;margin-left:55.7pt;mso-position-horizontal-relative:page;mso-position-vertical-relative:page;position:absolute;z-index:-251651072"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25pt;height:12.5pt;margin-top:71.4pt;margin-left:448.46pt;mso-position-horizontal-relative:page;mso-position-vertical-relative:page;position:absolute;z-index:-251652096"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25pt;height:12.5pt;margin-top:71.4pt;margin-left:55.7pt;mso-position-horizontal-relative:page;mso-position-vertical-relative:page;position:absolute;z-index:-251649024"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25pt;height:12.5pt;margin-top:71.4pt;margin-left:448.46pt;mso-position-horizontal-relative:page;mso-position-vertical-relative:page;position:absolute;z-index:-251650048"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1.25pt;height:12.5pt;margin-top:71.4pt;margin-left:55.7pt;mso-position-horizontal-relative:page;mso-position-vertical-relative:page;position:absolute;z-index:-251646976"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25pt;height:12.5pt;margin-top:71.4pt;margin-left:448.46pt;mso-position-horizontal-relative:page;mso-position-vertical-relative:page;position:absolute;z-index:-251648000"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1.25pt;height:12.5pt;margin-top:71.4pt;margin-left:55.7pt;mso-position-horizontal-relative:page;mso-position-vertical-relative:page;position:absolute;z-index:-251644928"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1.25pt;height:12.5pt;margin-top:71.4pt;margin-left:448.46pt;mso-position-horizontal-relative:page;mso-position-vertical-relative:page;position:absolute;z-index:-251645952"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91.25pt;height:12.5pt;margin-top:71.4pt;margin-left:55.7pt;mso-position-horizontal-relative:page;mso-position-vertical-relative:page;position:absolute;z-index:-251642880"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91.25pt;height:12.5pt;margin-top:71.4pt;margin-left:448.46pt;mso-position-horizontal-relative:page;mso-position-vertical-relative:page;position:absolute;z-index:-251643904"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91.25pt;height:12.5pt;margin-top:71.4pt;margin-left:55.7pt;mso-position-horizontal-relative:page;mso-position-vertical-relative:page;position:absolute;z-index:-251640832"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91.25pt;height:12.5pt;margin-top:71.4pt;margin-left:448.46pt;mso-position-horizontal-relative:page;mso-position-vertical-relative:page;position:absolute;z-index:-251641856"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91.25pt;height:12.5pt;margin-top:71.4pt;margin-left:55.7pt;mso-position-horizontal-relative:page;mso-position-vertical-relative:page;position:absolute;z-index:-251638784"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91.25pt;height:12.5pt;margin-top:71.4pt;margin-left:448.46pt;mso-position-horizontal-relative:page;mso-position-vertical-relative:page;position:absolute;z-index:-251639808"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25pt;height:12.5pt;margin-top:71.4pt;margin-left:448.46pt;mso-position-horizontal-relative:page;mso-position-vertical-relative:page;position:absolute;z-index:-251657216"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3pt;height:12.5pt;margin-top:71.4pt;margin-left:448.4pt;mso-position-horizontal-relative:page;mso-position-vertical-relative:page;position:absolute;z-index:-251656192"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3pt;height:12.5pt;margin-top:71.4pt;margin-left:448.4pt;mso-position-horizontal-relative:page;mso-position-vertical-relative:page;position:absolute;z-index:-251655168"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25pt;height:12.5pt;margin-top:71.4pt;margin-left:55.7pt;mso-position-horizontal-relative:page;mso-position-vertical-relative:page;position:absolute;z-index:-251653120"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25pt;height:12.5pt;margin-top:71.4pt;margin-left:448.46pt;mso-position-horizontal-relative:page;mso-position-vertical-relative:page;position:absolute;z-index:-251654144" filled="f" stroked="f">
          <v:textbox inset="0,0,0,0">
            <w:txbxContent>
              <w:p>
                <w:pPr>
                  <w:pStyle w:val="BodyText"/>
                  <w:spacing w:line="250" w:lineRule="exact"/>
                  <w:ind w:left="20"/>
                  <w:rPr>
                    <w:rFonts w:ascii="黑体" w:hAnsi="黑体"/>
                  </w:rPr>
                </w:pPr>
                <w:r>
                  <w:rPr>
                    <w:rFonts w:ascii="黑体" w:hAnsi="黑体"/>
                  </w:rPr>
                  <w:t>DB52/T 1754</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49A30"/>
    <w:multiLevelType w:val="hybridMultilevel"/>
    <w:tmpl w:val="00000000"/>
    <w:lvl w:ilvl="0">
      <w:start w:val="7"/>
      <w:numFmt w:val="decimal"/>
      <w:lvlText w:val="[%1]"/>
      <w:lvlJc w:val="left"/>
      <w:pPr>
        <w:ind w:left="1414" w:hanging="316"/>
        <w:jc w:val="left"/>
      </w:pPr>
      <w:rPr>
        <w:rFonts w:ascii="宋体" w:eastAsia="宋体" w:hAnsi="宋体" w:cs="宋体" w:hint="default"/>
        <w:spacing w:val="-2"/>
        <w:w w:val="100"/>
        <w:sz w:val="19"/>
        <w:szCs w:val="19"/>
        <w:lang w:val="en-US" w:eastAsia="en-US" w:bidi="ar-SA"/>
      </w:rPr>
    </w:lvl>
    <w:lvl w:ilvl="1">
      <w:start w:val="0"/>
      <w:numFmt w:val="bullet"/>
      <w:lvlText w:val="•"/>
      <w:lvlJc w:val="left"/>
      <w:pPr>
        <w:ind w:left="2338" w:hanging="316"/>
      </w:pPr>
      <w:rPr>
        <w:rFonts w:hint="default"/>
        <w:lang w:val="en-US" w:eastAsia="en-US" w:bidi="ar-SA"/>
      </w:rPr>
    </w:lvl>
    <w:lvl w:ilvl="2">
      <w:start w:val="0"/>
      <w:numFmt w:val="bullet"/>
      <w:lvlText w:val="•"/>
      <w:lvlJc w:val="left"/>
      <w:pPr>
        <w:ind w:left="3257" w:hanging="316"/>
      </w:pPr>
      <w:rPr>
        <w:rFonts w:hint="default"/>
        <w:lang w:val="en-US" w:eastAsia="en-US" w:bidi="ar-SA"/>
      </w:rPr>
    </w:lvl>
    <w:lvl w:ilvl="3">
      <w:start w:val="0"/>
      <w:numFmt w:val="bullet"/>
      <w:lvlText w:val="•"/>
      <w:lvlJc w:val="left"/>
      <w:pPr>
        <w:ind w:left="4175" w:hanging="316"/>
      </w:pPr>
      <w:rPr>
        <w:rFonts w:hint="default"/>
        <w:lang w:val="en-US" w:eastAsia="en-US" w:bidi="ar-SA"/>
      </w:rPr>
    </w:lvl>
    <w:lvl w:ilvl="4">
      <w:start w:val="0"/>
      <w:numFmt w:val="bullet"/>
      <w:lvlText w:val="•"/>
      <w:lvlJc w:val="left"/>
      <w:pPr>
        <w:ind w:left="5094" w:hanging="316"/>
      </w:pPr>
      <w:rPr>
        <w:rFonts w:hint="default"/>
        <w:lang w:val="en-US" w:eastAsia="en-US" w:bidi="ar-SA"/>
      </w:rPr>
    </w:lvl>
    <w:lvl w:ilvl="5">
      <w:start w:val="0"/>
      <w:numFmt w:val="bullet"/>
      <w:lvlText w:val="•"/>
      <w:lvlJc w:val="left"/>
      <w:pPr>
        <w:ind w:left="6013" w:hanging="316"/>
      </w:pPr>
      <w:rPr>
        <w:rFonts w:hint="default"/>
        <w:lang w:val="en-US" w:eastAsia="en-US" w:bidi="ar-SA"/>
      </w:rPr>
    </w:lvl>
    <w:lvl w:ilvl="6">
      <w:start w:val="0"/>
      <w:numFmt w:val="bullet"/>
      <w:lvlText w:val="•"/>
      <w:lvlJc w:val="left"/>
      <w:pPr>
        <w:ind w:left="6931" w:hanging="316"/>
      </w:pPr>
      <w:rPr>
        <w:rFonts w:hint="default"/>
        <w:lang w:val="en-US" w:eastAsia="en-US" w:bidi="ar-SA"/>
      </w:rPr>
    </w:lvl>
    <w:lvl w:ilvl="7">
      <w:start w:val="0"/>
      <w:numFmt w:val="bullet"/>
      <w:lvlText w:val="•"/>
      <w:lvlJc w:val="left"/>
      <w:pPr>
        <w:ind w:left="7850" w:hanging="316"/>
      </w:pPr>
      <w:rPr>
        <w:rFonts w:hint="default"/>
        <w:lang w:val="en-US" w:eastAsia="en-US" w:bidi="ar-SA"/>
      </w:rPr>
    </w:lvl>
    <w:lvl w:ilvl="8">
      <w:start w:val="0"/>
      <w:numFmt w:val="bullet"/>
      <w:lvlText w:val="•"/>
      <w:lvlJc w:val="left"/>
      <w:pPr>
        <w:ind w:left="8769" w:hanging="316"/>
      </w:pPr>
      <w:rPr>
        <w:rFonts w:hint="default"/>
        <w:lang w:val="en-US" w:eastAsia="en-US" w:bidi="ar-SA"/>
      </w:rPr>
    </w:lvl>
  </w:abstractNum>
  <w:abstractNum w:abstractNumId="1">
    <w:nsid w:val="1F26BDBF"/>
    <w:multiLevelType w:val="hybridMultilevel"/>
    <w:tmpl w:val="00000000"/>
    <w:lvl w:ilvl="0">
      <w:start w:val="9"/>
      <w:numFmt w:val="decimal"/>
      <w:lvlText w:val="%1"/>
      <w:lvlJc w:val="left"/>
      <w:pPr>
        <w:ind w:left="1414" w:hanging="736"/>
        <w:jc w:val="left"/>
      </w:pPr>
      <w:rPr>
        <w:rFonts w:hint="default"/>
        <w:lang w:val="en-US" w:eastAsia="en-US" w:bidi="ar-SA"/>
      </w:rPr>
    </w:lvl>
    <w:lvl w:ilvl="1">
      <w:start w:val="2"/>
      <w:numFmt w:val="decimal"/>
      <w:lvlText w:val="%1.%2"/>
      <w:lvlJc w:val="left"/>
      <w:pPr>
        <w:ind w:left="1414" w:hanging="736"/>
        <w:jc w:val="left"/>
      </w:pPr>
      <w:rPr>
        <w:rFonts w:hint="default"/>
        <w:lang w:val="en-US" w:eastAsia="en-US" w:bidi="ar-SA"/>
      </w:rPr>
    </w:lvl>
    <w:lvl w:ilvl="2">
      <w:start w:val="1"/>
      <w:numFmt w:val="decimal"/>
      <w:lvlText w:val="%1.%2.%3"/>
      <w:lvlJc w:val="left"/>
      <w:pPr>
        <w:ind w:left="1414" w:hanging="736"/>
        <w:jc w:val="left"/>
      </w:pPr>
      <w:rPr>
        <w:rFonts w:ascii="黑体" w:eastAsia="黑体" w:hAnsi="黑体" w:cs="黑体" w:hint="default"/>
        <w:w w:val="100"/>
        <w:sz w:val="21"/>
        <w:szCs w:val="21"/>
        <w:lang w:val="en-US" w:eastAsia="en-US" w:bidi="ar-SA"/>
      </w:rPr>
    </w:lvl>
    <w:lvl w:ilvl="3">
      <w:start w:val="0"/>
      <w:numFmt w:val="bullet"/>
      <w:lvlText w:val="•"/>
      <w:lvlJc w:val="left"/>
      <w:pPr>
        <w:ind w:left="4175" w:hanging="736"/>
      </w:pPr>
      <w:rPr>
        <w:rFonts w:hint="default"/>
        <w:lang w:val="en-US" w:eastAsia="en-US" w:bidi="ar-SA"/>
      </w:rPr>
    </w:lvl>
    <w:lvl w:ilvl="4">
      <w:start w:val="0"/>
      <w:numFmt w:val="bullet"/>
      <w:lvlText w:val="•"/>
      <w:lvlJc w:val="left"/>
      <w:pPr>
        <w:ind w:left="5094" w:hanging="736"/>
      </w:pPr>
      <w:rPr>
        <w:rFonts w:hint="default"/>
        <w:lang w:val="en-US" w:eastAsia="en-US" w:bidi="ar-SA"/>
      </w:rPr>
    </w:lvl>
    <w:lvl w:ilvl="5">
      <w:start w:val="0"/>
      <w:numFmt w:val="bullet"/>
      <w:lvlText w:val="•"/>
      <w:lvlJc w:val="left"/>
      <w:pPr>
        <w:ind w:left="6013" w:hanging="736"/>
      </w:pPr>
      <w:rPr>
        <w:rFonts w:hint="default"/>
        <w:lang w:val="en-US" w:eastAsia="en-US" w:bidi="ar-SA"/>
      </w:rPr>
    </w:lvl>
    <w:lvl w:ilvl="6">
      <w:start w:val="0"/>
      <w:numFmt w:val="bullet"/>
      <w:lvlText w:val="•"/>
      <w:lvlJc w:val="left"/>
      <w:pPr>
        <w:ind w:left="6931" w:hanging="736"/>
      </w:pPr>
      <w:rPr>
        <w:rFonts w:hint="default"/>
        <w:lang w:val="en-US" w:eastAsia="en-US" w:bidi="ar-SA"/>
      </w:rPr>
    </w:lvl>
    <w:lvl w:ilvl="7">
      <w:start w:val="0"/>
      <w:numFmt w:val="bullet"/>
      <w:lvlText w:val="•"/>
      <w:lvlJc w:val="left"/>
      <w:pPr>
        <w:ind w:left="7850" w:hanging="736"/>
      </w:pPr>
      <w:rPr>
        <w:rFonts w:hint="default"/>
        <w:lang w:val="en-US" w:eastAsia="en-US" w:bidi="ar-SA"/>
      </w:rPr>
    </w:lvl>
    <w:lvl w:ilvl="8">
      <w:start w:val="0"/>
      <w:numFmt w:val="bullet"/>
      <w:lvlText w:val="•"/>
      <w:lvlJc w:val="left"/>
      <w:pPr>
        <w:ind w:left="8769" w:hanging="736"/>
      </w:pPr>
      <w:rPr>
        <w:rFonts w:hint="default"/>
        <w:lang w:val="en-US" w:eastAsia="en-US" w:bidi="ar-SA"/>
      </w:rPr>
    </w:lvl>
  </w:abstractNum>
  <w:abstractNum w:abstractNumId="2">
    <w:nsid w:val="21EA7AAD"/>
    <w:multiLevelType w:val="hybridMultilevel"/>
    <w:tmpl w:val="00000000"/>
    <w:lvl w:ilvl="0">
      <w:start w:val="1"/>
      <w:numFmt w:val="decimal"/>
      <w:lvlText w:val="%1"/>
      <w:lvlJc w:val="left"/>
      <w:pPr>
        <w:ind w:left="994" w:hanging="316"/>
        <w:jc w:val="right"/>
      </w:pPr>
      <w:rPr>
        <w:rFonts w:ascii="黑体" w:eastAsia="黑体" w:hAnsi="黑体" w:cs="黑体" w:hint="default"/>
        <w:w w:val="100"/>
        <w:sz w:val="21"/>
        <w:szCs w:val="21"/>
        <w:lang w:val="en-US" w:eastAsia="en-US" w:bidi="ar-SA"/>
      </w:rPr>
    </w:lvl>
    <w:lvl w:ilvl="1">
      <w:start w:val="1"/>
      <w:numFmt w:val="decimal"/>
      <w:lvlText w:val="%1.%2"/>
      <w:lvlJc w:val="left"/>
      <w:pPr>
        <w:ind w:left="994" w:hanging="316"/>
        <w:jc w:val="left"/>
      </w:pPr>
      <w:rPr>
        <w:rFonts w:ascii="黑体" w:eastAsia="黑体" w:hAnsi="黑体" w:cs="黑体" w:hint="default"/>
        <w:w w:val="100"/>
        <w:sz w:val="19"/>
        <w:szCs w:val="19"/>
        <w:lang w:val="en-US" w:eastAsia="en-US" w:bidi="ar-SA"/>
      </w:rPr>
    </w:lvl>
    <w:lvl w:ilvl="2">
      <w:start w:val="1"/>
      <w:numFmt w:val="lowerLetter"/>
      <w:lvlText w:val="%3)"/>
      <w:lvlJc w:val="left"/>
      <w:pPr>
        <w:ind w:left="1245" w:hanging="427"/>
        <w:jc w:val="left"/>
      </w:pPr>
      <w:rPr>
        <w:rFonts w:ascii="宋体" w:eastAsia="宋体" w:hAnsi="宋体" w:cs="宋体" w:hint="default"/>
        <w:w w:val="100"/>
        <w:sz w:val="21"/>
        <w:szCs w:val="21"/>
        <w:lang w:val="en-US" w:eastAsia="en-US" w:bidi="ar-SA"/>
      </w:rPr>
    </w:lvl>
    <w:lvl w:ilvl="3">
      <w:start w:val="0"/>
      <w:numFmt w:val="bullet"/>
      <w:lvlText w:val="•"/>
      <w:lvlJc w:val="left"/>
      <w:pPr>
        <w:ind w:left="1200" w:hanging="427"/>
      </w:pPr>
      <w:rPr>
        <w:rFonts w:hint="default"/>
        <w:lang w:val="en-US" w:eastAsia="en-US" w:bidi="ar-SA"/>
      </w:rPr>
    </w:lvl>
    <w:lvl w:ilvl="4">
      <w:start w:val="0"/>
      <w:numFmt w:val="bullet"/>
      <w:lvlText w:val="•"/>
      <w:lvlJc w:val="left"/>
      <w:pPr>
        <w:ind w:left="1240" w:hanging="427"/>
      </w:pPr>
      <w:rPr>
        <w:rFonts w:hint="default"/>
        <w:lang w:val="en-US" w:eastAsia="en-US" w:bidi="ar-SA"/>
      </w:rPr>
    </w:lvl>
    <w:lvl w:ilvl="5">
      <w:start w:val="0"/>
      <w:numFmt w:val="bullet"/>
      <w:lvlText w:val="•"/>
      <w:lvlJc w:val="left"/>
      <w:pPr>
        <w:ind w:left="1520" w:hanging="427"/>
      </w:pPr>
      <w:rPr>
        <w:rFonts w:hint="default"/>
        <w:lang w:val="en-US" w:eastAsia="en-US" w:bidi="ar-SA"/>
      </w:rPr>
    </w:lvl>
    <w:lvl w:ilvl="6">
      <w:start w:val="0"/>
      <w:numFmt w:val="bullet"/>
      <w:lvlText w:val="•"/>
      <w:lvlJc w:val="left"/>
      <w:pPr>
        <w:ind w:left="5280" w:hanging="427"/>
      </w:pPr>
      <w:rPr>
        <w:rFonts w:hint="default"/>
        <w:lang w:val="en-US" w:eastAsia="en-US" w:bidi="ar-SA"/>
      </w:rPr>
    </w:lvl>
    <w:lvl w:ilvl="7">
      <w:start w:val="0"/>
      <w:numFmt w:val="bullet"/>
      <w:lvlText w:val="•"/>
      <w:lvlJc w:val="left"/>
      <w:pPr>
        <w:ind w:left="5560" w:hanging="427"/>
      </w:pPr>
      <w:rPr>
        <w:rFonts w:hint="default"/>
        <w:lang w:val="en-US" w:eastAsia="en-US" w:bidi="ar-SA"/>
      </w:rPr>
    </w:lvl>
    <w:lvl w:ilvl="8">
      <w:start w:val="0"/>
      <w:numFmt w:val="bullet"/>
      <w:lvlText w:val="•"/>
      <w:lvlJc w:val="left"/>
      <w:pPr>
        <w:ind w:left="7242" w:hanging="427"/>
      </w:pPr>
      <w:rPr>
        <w:rFonts w:hint="default"/>
        <w:lang w:val="en-US" w:eastAsia="en-US" w:bidi="ar-SA"/>
      </w:rPr>
    </w:lvl>
  </w:abstractNum>
  <w:abstractNum w:abstractNumId="3">
    <w:nsid w:val="2D890BFF"/>
    <w:multiLevelType w:val="hybridMultilevel"/>
    <w:tmpl w:val="00000000"/>
    <w:lvl w:ilvl="0">
      <w:start w:val="9"/>
      <w:numFmt w:val="decimal"/>
      <w:lvlText w:val="%1"/>
      <w:lvlJc w:val="left"/>
      <w:pPr>
        <w:ind w:left="1414" w:hanging="736"/>
        <w:jc w:val="left"/>
      </w:pPr>
      <w:rPr>
        <w:rFonts w:hint="default"/>
        <w:lang w:val="en-US" w:eastAsia="en-US" w:bidi="ar-SA"/>
      </w:rPr>
    </w:lvl>
    <w:lvl w:ilvl="1">
      <w:start w:val="4"/>
      <w:numFmt w:val="decimal"/>
      <w:lvlText w:val="%1.%2"/>
      <w:lvlJc w:val="left"/>
      <w:pPr>
        <w:ind w:left="1414" w:hanging="736"/>
        <w:jc w:val="left"/>
      </w:pPr>
      <w:rPr>
        <w:rFonts w:hint="default"/>
        <w:lang w:val="en-US" w:eastAsia="en-US" w:bidi="ar-SA"/>
      </w:rPr>
    </w:lvl>
    <w:lvl w:ilvl="2">
      <w:start w:val="1"/>
      <w:numFmt w:val="decimal"/>
      <w:lvlText w:val="%1.%2.%3"/>
      <w:lvlJc w:val="left"/>
      <w:pPr>
        <w:ind w:left="1414" w:hanging="736"/>
        <w:jc w:val="left"/>
      </w:pPr>
      <w:rPr>
        <w:rFonts w:ascii="黑体" w:eastAsia="黑体" w:hAnsi="黑体" w:cs="黑体" w:hint="default"/>
        <w:spacing w:val="-54"/>
        <w:w w:val="100"/>
        <w:sz w:val="21"/>
        <w:szCs w:val="21"/>
        <w:lang w:val="en-US" w:eastAsia="en-US" w:bidi="ar-SA"/>
      </w:rPr>
    </w:lvl>
    <w:lvl w:ilvl="3">
      <w:start w:val="1"/>
      <w:numFmt w:val="lowerLetter"/>
      <w:lvlText w:val="%4)"/>
      <w:lvlJc w:val="left"/>
      <w:pPr>
        <w:ind w:left="1529" w:hanging="426"/>
        <w:jc w:val="right"/>
      </w:pPr>
      <w:rPr>
        <w:rFonts w:ascii="宋体" w:eastAsia="宋体" w:hAnsi="宋体" w:cs="宋体" w:hint="default"/>
        <w:spacing w:val="-12"/>
        <w:w w:val="100"/>
        <w:sz w:val="21"/>
        <w:szCs w:val="21"/>
        <w:lang w:val="en-US" w:eastAsia="en-US" w:bidi="ar-SA"/>
      </w:rPr>
    </w:lvl>
    <w:lvl w:ilvl="4">
      <w:start w:val="0"/>
      <w:numFmt w:val="bullet"/>
      <w:lvlText w:val="•"/>
      <w:lvlJc w:val="left"/>
      <w:pPr>
        <w:ind w:left="4548" w:hanging="426"/>
      </w:pPr>
      <w:rPr>
        <w:rFonts w:hint="default"/>
        <w:lang w:val="en-US" w:eastAsia="en-US" w:bidi="ar-SA"/>
      </w:rPr>
    </w:lvl>
    <w:lvl w:ilvl="5">
      <w:start w:val="0"/>
      <w:numFmt w:val="bullet"/>
      <w:lvlText w:val="•"/>
      <w:lvlJc w:val="left"/>
      <w:pPr>
        <w:ind w:left="5558" w:hanging="426"/>
      </w:pPr>
      <w:rPr>
        <w:rFonts w:hint="default"/>
        <w:lang w:val="en-US" w:eastAsia="en-US" w:bidi="ar-SA"/>
      </w:rPr>
    </w:lvl>
    <w:lvl w:ilvl="6">
      <w:start w:val="0"/>
      <w:numFmt w:val="bullet"/>
      <w:lvlText w:val="•"/>
      <w:lvlJc w:val="left"/>
      <w:pPr>
        <w:ind w:left="6568" w:hanging="426"/>
      </w:pPr>
      <w:rPr>
        <w:rFonts w:hint="default"/>
        <w:lang w:val="en-US" w:eastAsia="en-US" w:bidi="ar-SA"/>
      </w:rPr>
    </w:lvl>
    <w:lvl w:ilvl="7">
      <w:start w:val="0"/>
      <w:numFmt w:val="bullet"/>
      <w:lvlText w:val="•"/>
      <w:lvlJc w:val="left"/>
      <w:pPr>
        <w:ind w:left="7577" w:hanging="426"/>
      </w:pPr>
      <w:rPr>
        <w:rFonts w:hint="default"/>
        <w:lang w:val="en-US" w:eastAsia="en-US" w:bidi="ar-SA"/>
      </w:rPr>
    </w:lvl>
    <w:lvl w:ilvl="8">
      <w:start w:val="0"/>
      <w:numFmt w:val="bullet"/>
      <w:lvlText w:val="•"/>
      <w:lvlJc w:val="left"/>
      <w:pPr>
        <w:ind w:left="8587" w:hanging="426"/>
      </w:pPr>
      <w:rPr>
        <w:rFonts w:hint="default"/>
        <w:lang w:val="en-US" w:eastAsia="en-US" w:bidi="ar-SA"/>
      </w:rPr>
    </w:lvl>
  </w:abstractNum>
  <w:abstractNum w:abstractNumId="4">
    <w:nsid w:val="36DB7C77"/>
    <w:multiLevelType w:val="hybridMultilevel"/>
    <w:tmpl w:val="00000000"/>
    <w:lvl w:ilvl="0">
      <w:start w:val="10"/>
      <w:numFmt w:val="decimal"/>
      <w:lvlText w:val="%1"/>
      <w:lvlJc w:val="left"/>
      <w:pPr>
        <w:ind w:left="1234" w:hanging="841"/>
        <w:jc w:val="left"/>
      </w:pPr>
      <w:rPr>
        <w:rFonts w:hint="default"/>
        <w:lang w:val="en-US" w:eastAsia="en-US" w:bidi="ar-SA"/>
      </w:rPr>
    </w:lvl>
    <w:lvl w:ilvl="1">
      <w:start w:val="1"/>
      <w:numFmt w:val="decimal"/>
      <w:lvlText w:val="%1.%2"/>
      <w:lvlJc w:val="left"/>
      <w:pPr>
        <w:ind w:left="1234" w:hanging="841"/>
        <w:jc w:val="left"/>
      </w:pPr>
      <w:rPr>
        <w:rFonts w:hint="default"/>
        <w:lang w:val="en-US" w:eastAsia="en-US" w:bidi="ar-SA"/>
      </w:rPr>
    </w:lvl>
    <w:lvl w:ilvl="2">
      <w:start w:val="1"/>
      <w:numFmt w:val="decimal"/>
      <w:lvlText w:val="%1.%2.%3"/>
      <w:lvlJc w:val="left"/>
      <w:pPr>
        <w:ind w:left="1234" w:hanging="841"/>
        <w:jc w:val="left"/>
      </w:pPr>
      <w:rPr>
        <w:rFonts w:ascii="黑体" w:eastAsia="黑体" w:hAnsi="黑体" w:cs="黑体" w:hint="default"/>
        <w:w w:val="100"/>
        <w:sz w:val="21"/>
        <w:szCs w:val="21"/>
        <w:lang w:val="en-US" w:eastAsia="en-US" w:bidi="ar-SA"/>
      </w:rPr>
    </w:lvl>
    <w:lvl w:ilvl="3">
      <w:start w:val="1"/>
      <w:numFmt w:val="decimal"/>
      <w:lvlText w:val="%1.%2.%3.%4"/>
      <w:lvlJc w:val="left"/>
      <w:pPr>
        <w:ind w:left="394" w:hanging="1051"/>
        <w:jc w:val="right"/>
      </w:pPr>
      <w:rPr>
        <w:rFonts w:ascii="黑体" w:eastAsia="黑体" w:hAnsi="黑体" w:cs="黑体" w:hint="default"/>
        <w:spacing w:val="-52"/>
        <w:w w:val="100"/>
        <w:sz w:val="21"/>
        <w:szCs w:val="21"/>
        <w:lang w:val="en-US" w:eastAsia="en-US" w:bidi="ar-SA"/>
      </w:rPr>
    </w:lvl>
    <w:lvl w:ilvl="4">
      <w:start w:val="0"/>
      <w:numFmt w:val="bullet"/>
      <w:lvlText w:val="•"/>
      <w:lvlJc w:val="left"/>
      <w:pPr>
        <w:ind w:left="3641" w:hanging="1051"/>
      </w:pPr>
      <w:rPr>
        <w:rFonts w:hint="default"/>
        <w:lang w:val="en-US" w:eastAsia="en-US" w:bidi="ar-SA"/>
      </w:rPr>
    </w:lvl>
    <w:lvl w:ilvl="5">
      <w:start w:val="0"/>
      <w:numFmt w:val="bullet"/>
      <w:lvlText w:val="•"/>
      <w:lvlJc w:val="left"/>
      <w:pPr>
        <w:ind w:left="4802" w:hanging="1051"/>
      </w:pPr>
      <w:rPr>
        <w:rFonts w:hint="default"/>
        <w:lang w:val="en-US" w:eastAsia="en-US" w:bidi="ar-SA"/>
      </w:rPr>
    </w:lvl>
    <w:lvl w:ilvl="6">
      <w:start w:val="0"/>
      <w:numFmt w:val="bullet"/>
      <w:lvlText w:val="•"/>
      <w:lvlJc w:val="left"/>
      <w:pPr>
        <w:ind w:left="5963" w:hanging="1051"/>
      </w:pPr>
      <w:rPr>
        <w:rFonts w:hint="default"/>
        <w:lang w:val="en-US" w:eastAsia="en-US" w:bidi="ar-SA"/>
      </w:rPr>
    </w:lvl>
    <w:lvl w:ilvl="7">
      <w:start w:val="0"/>
      <w:numFmt w:val="bullet"/>
      <w:lvlText w:val="•"/>
      <w:lvlJc w:val="left"/>
      <w:pPr>
        <w:ind w:left="7124" w:hanging="1051"/>
      </w:pPr>
      <w:rPr>
        <w:rFonts w:hint="default"/>
        <w:lang w:val="en-US" w:eastAsia="en-US" w:bidi="ar-SA"/>
      </w:rPr>
    </w:lvl>
    <w:lvl w:ilvl="8">
      <w:start w:val="0"/>
      <w:numFmt w:val="bullet"/>
      <w:lvlText w:val="•"/>
      <w:lvlJc w:val="left"/>
      <w:pPr>
        <w:ind w:left="8284" w:hanging="1051"/>
      </w:pPr>
      <w:rPr>
        <w:rFonts w:hint="default"/>
        <w:lang w:val="en-US" w:eastAsia="en-US" w:bidi="ar-SA"/>
      </w:rPr>
    </w:lvl>
  </w:abstractNum>
  <w:abstractNum w:abstractNumId="5">
    <w:nsid w:val="412A7232"/>
    <w:multiLevelType w:val="hybridMultilevel"/>
    <w:tmpl w:val="00000000"/>
    <w:lvl w:ilvl="0">
      <w:start w:val="1"/>
      <w:numFmt w:val="decimal"/>
      <w:lvlText w:val="%1"/>
      <w:lvlJc w:val="left"/>
      <w:pPr>
        <w:ind w:left="994" w:hanging="316"/>
        <w:jc w:val="right"/>
      </w:pPr>
      <w:rPr>
        <w:rFonts w:ascii="黑体" w:eastAsia="黑体" w:hAnsi="黑体" w:cs="黑体" w:hint="default"/>
        <w:w w:val="100"/>
        <w:sz w:val="21"/>
        <w:szCs w:val="21"/>
        <w:lang w:val="en-US" w:eastAsia="en-US" w:bidi="ar-SA"/>
      </w:rPr>
    </w:lvl>
    <w:lvl w:ilvl="1">
      <w:start w:val="1"/>
      <w:numFmt w:val="decimal"/>
      <w:lvlText w:val="%1.%2"/>
      <w:lvlJc w:val="left"/>
      <w:pPr>
        <w:ind w:left="994" w:hanging="316"/>
        <w:jc w:val="left"/>
      </w:pPr>
      <w:rPr>
        <w:rFonts w:ascii="黑体" w:eastAsia="黑体" w:hAnsi="黑体" w:cs="黑体" w:hint="default"/>
        <w:w w:val="100"/>
        <w:sz w:val="19"/>
        <w:szCs w:val="19"/>
        <w:lang w:val="en-US" w:eastAsia="en-US" w:bidi="ar-SA"/>
      </w:rPr>
    </w:lvl>
    <w:lvl w:ilvl="2">
      <w:start w:val="1"/>
      <w:numFmt w:val="lowerLetter"/>
      <w:lvlText w:val="%3)"/>
      <w:lvlJc w:val="left"/>
      <w:pPr>
        <w:ind w:left="1245" w:hanging="427"/>
        <w:jc w:val="left"/>
      </w:pPr>
      <w:rPr>
        <w:rFonts w:ascii="宋体" w:eastAsia="宋体" w:hAnsi="宋体" w:cs="宋体" w:hint="default"/>
        <w:w w:val="100"/>
        <w:sz w:val="21"/>
        <w:szCs w:val="21"/>
        <w:lang w:val="en-US" w:eastAsia="en-US" w:bidi="ar-SA"/>
      </w:rPr>
    </w:lvl>
    <w:lvl w:ilvl="3">
      <w:start w:val="0"/>
      <w:numFmt w:val="bullet"/>
      <w:lvlText w:val="•"/>
      <w:lvlJc w:val="left"/>
      <w:pPr>
        <w:ind w:left="1200" w:hanging="427"/>
      </w:pPr>
      <w:rPr>
        <w:rFonts w:hint="default"/>
        <w:lang w:val="en-US" w:eastAsia="en-US" w:bidi="ar-SA"/>
      </w:rPr>
    </w:lvl>
    <w:lvl w:ilvl="4">
      <w:start w:val="0"/>
      <w:numFmt w:val="bullet"/>
      <w:lvlText w:val="•"/>
      <w:lvlJc w:val="left"/>
      <w:pPr>
        <w:ind w:left="1240" w:hanging="427"/>
      </w:pPr>
      <w:rPr>
        <w:rFonts w:hint="default"/>
        <w:lang w:val="en-US" w:eastAsia="en-US" w:bidi="ar-SA"/>
      </w:rPr>
    </w:lvl>
    <w:lvl w:ilvl="5">
      <w:start w:val="0"/>
      <w:numFmt w:val="bullet"/>
      <w:lvlText w:val="•"/>
      <w:lvlJc w:val="left"/>
      <w:pPr>
        <w:ind w:left="1520" w:hanging="427"/>
      </w:pPr>
      <w:rPr>
        <w:rFonts w:hint="default"/>
        <w:lang w:val="en-US" w:eastAsia="en-US" w:bidi="ar-SA"/>
      </w:rPr>
    </w:lvl>
    <w:lvl w:ilvl="6">
      <w:start w:val="0"/>
      <w:numFmt w:val="bullet"/>
      <w:lvlText w:val="•"/>
      <w:lvlJc w:val="left"/>
      <w:pPr>
        <w:ind w:left="5280" w:hanging="427"/>
      </w:pPr>
      <w:rPr>
        <w:rFonts w:hint="default"/>
        <w:lang w:val="en-US" w:eastAsia="en-US" w:bidi="ar-SA"/>
      </w:rPr>
    </w:lvl>
    <w:lvl w:ilvl="7">
      <w:start w:val="0"/>
      <w:numFmt w:val="bullet"/>
      <w:lvlText w:val="•"/>
      <w:lvlJc w:val="left"/>
      <w:pPr>
        <w:ind w:left="5560" w:hanging="427"/>
      </w:pPr>
      <w:rPr>
        <w:rFonts w:hint="default"/>
        <w:lang w:val="en-US" w:eastAsia="en-US" w:bidi="ar-SA"/>
      </w:rPr>
    </w:lvl>
    <w:lvl w:ilvl="8">
      <w:start w:val="0"/>
      <w:numFmt w:val="bullet"/>
      <w:lvlText w:val="•"/>
      <w:lvlJc w:val="left"/>
      <w:pPr>
        <w:ind w:left="7242" w:hanging="427"/>
      </w:pPr>
      <w:rPr>
        <w:rFonts w:hint="default"/>
        <w:lang w:val="en-US" w:eastAsia="en-US" w:bidi="ar-SA"/>
      </w:rPr>
    </w:lvl>
  </w:abstractNum>
  <w:abstractNum w:abstractNumId="6">
    <w:nsid w:val="5719FB00"/>
    <w:multiLevelType w:val="hybridMultilevel"/>
    <w:tmpl w:val="00000000"/>
    <w:lvl w:ilvl="0">
      <w:start w:val="9"/>
      <w:numFmt w:val="decimal"/>
      <w:lvlText w:val="%1"/>
      <w:lvlJc w:val="left"/>
      <w:pPr>
        <w:ind w:left="1414" w:hanging="736"/>
        <w:jc w:val="left"/>
      </w:pPr>
      <w:rPr>
        <w:rFonts w:hint="default"/>
        <w:lang w:val="en-US" w:eastAsia="en-US" w:bidi="ar-SA"/>
      </w:rPr>
    </w:lvl>
    <w:lvl w:ilvl="1">
      <w:start w:val="1"/>
      <w:numFmt w:val="decimal"/>
      <w:lvlText w:val="%1.%2"/>
      <w:lvlJc w:val="left"/>
      <w:pPr>
        <w:ind w:left="1414" w:hanging="736"/>
        <w:jc w:val="left"/>
      </w:pPr>
      <w:rPr>
        <w:rFonts w:hint="default"/>
        <w:lang w:val="en-US" w:eastAsia="en-US" w:bidi="ar-SA"/>
      </w:rPr>
    </w:lvl>
    <w:lvl w:ilvl="2">
      <w:start w:val="1"/>
      <w:numFmt w:val="decimal"/>
      <w:lvlText w:val="%1.%2.%3"/>
      <w:lvlJc w:val="left"/>
      <w:pPr>
        <w:ind w:left="1414" w:hanging="736"/>
        <w:jc w:val="left"/>
      </w:pPr>
      <w:rPr>
        <w:rFonts w:ascii="黑体" w:eastAsia="黑体" w:hAnsi="黑体" w:cs="黑体" w:hint="default"/>
        <w:w w:val="100"/>
        <w:sz w:val="21"/>
        <w:szCs w:val="21"/>
        <w:lang w:val="en-US" w:eastAsia="en-US" w:bidi="ar-SA"/>
      </w:rPr>
    </w:lvl>
    <w:lvl w:ilvl="3">
      <w:start w:val="0"/>
      <w:numFmt w:val="bullet"/>
      <w:lvlText w:val="•"/>
      <w:lvlJc w:val="left"/>
      <w:pPr>
        <w:ind w:left="4175" w:hanging="736"/>
      </w:pPr>
      <w:rPr>
        <w:rFonts w:hint="default"/>
        <w:lang w:val="en-US" w:eastAsia="en-US" w:bidi="ar-SA"/>
      </w:rPr>
    </w:lvl>
    <w:lvl w:ilvl="4">
      <w:start w:val="0"/>
      <w:numFmt w:val="bullet"/>
      <w:lvlText w:val="•"/>
      <w:lvlJc w:val="left"/>
      <w:pPr>
        <w:ind w:left="5094" w:hanging="736"/>
      </w:pPr>
      <w:rPr>
        <w:rFonts w:hint="default"/>
        <w:lang w:val="en-US" w:eastAsia="en-US" w:bidi="ar-SA"/>
      </w:rPr>
    </w:lvl>
    <w:lvl w:ilvl="5">
      <w:start w:val="0"/>
      <w:numFmt w:val="bullet"/>
      <w:lvlText w:val="•"/>
      <w:lvlJc w:val="left"/>
      <w:pPr>
        <w:ind w:left="6013" w:hanging="736"/>
      </w:pPr>
      <w:rPr>
        <w:rFonts w:hint="default"/>
        <w:lang w:val="en-US" w:eastAsia="en-US" w:bidi="ar-SA"/>
      </w:rPr>
    </w:lvl>
    <w:lvl w:ilvl="6">
      <w:start w:val="0"/>
      <w:numFmt w:val="bullet"/>
      <w:lvlText w:val="•"/>
      <w:lvlJc w:val="left"/>
      <w:pPr>
        <w:ind w:left="6931" w:hanging="736"/>
      </w:pPr>
      <w:rPr>
        <w:rFonts w:hint="default"/>
        <w:lang w:val="en-US" w:eastAsia="en-US" w:bidi="ar-SA"/>
      </w:rPr>
    </w:lvl>
    <w:lvl w:ilvl="7">
      <w:start w:val="0"/>
      <w:numFmt w:val="bullet"/>
      <w:lvlText w:val="•"/>
      <w:lvlJc w:val="left"/>
      <w:pPr>
        <w:ind w:left="7850" w:hanging="736"/>
      </w:pPr>
      <w:rPr>
        <w:rFonts w:hint="default"/>
        <w:lang w:val="en-US" w:eastAsia="en-US" w:bidi="ar-SA"/>
      </w:rPr>
    </w:lvl>
    <w:lvl w:ilvl="8">
      <w:start w:val="0"/>
      <w:numFmt w:val="bullet"/>
      <w:lvlText w:val="•"/>
      <w:lvlJc w:val="left"/>
      <w:pPr>
        <w:ind w:left="8769" w:hanging="736"/>
      </w:pPr>
      <w:rPr>
        <w:rFonts w:hint="default"/>
        <w:lang w:val="en-US" w:eastAsia="en-US" w:bidi="ar-SA"/>
      </w:rPr>
    </w:lvl>
  </w:abstractNum>
  <w:abstractNum w:abstractNumId="7">
    <w:nsid w:val="67529F4E"/>
    <w:multiLevelType w:val="hybridMultilevel"/>
    <w:tmpl w:val="00000000"/>
    <w:lvl w:ilvl="0">
      <w:start w:val="10"/>
      <w:numFmt w:val="decimal"/>
      <w:lvlText w:val="%1"/>
      <w:lvlJc w:val="left"/>
      <w:pPr>
        <w:ind w:left="1518" w:hanging="841"/>
        <w:jc w:val="left"/>
      </w:pPr>
      <w:rPr>
        <w:rFonts w:hint="default"/>
        <w:lang w:val="en-US" w:eastAsia="en-US" w:bidi="ar-SA"/>
      </w:rPr>
    </w:lvl>
    <w:lvl w:ilvl="1">
      <w:start w:val="2"/>
      <w:numFmt w:val="decimal"/>
      <w:lvlText w:val="%1.%2"/>
      <w:lvlJc w:val="left"/>
      <w:pPr>
        <w:ind w:left="1518" w:hanging="841"/>
        <w:jc w:val="left"/>
      </w:pPr>
      <w:rPr>
        <w:rFonts w:hint="default"/>
        <w:lang w:val="en-US" w:eastAsia="en-US" w:bidi="ar-SA"/>
      </w:rPr>
    </w:lvl>
    <w:lvl w:ilvl="2">
      <w:start w:val="1"/>
      <w:numFmt w:val="decimal"/>
      <w:lvlText w:val="%1.%2.%3"/>
      <w:lvlJc w:val="left"/>
      <w:pPr>
        <w:ind w:left="1518" w:hanging="841"/>
        <w:jc w:val="left"/>
      </w:pPr>
      <w:rPr>
        <w:rFonts w:ascii="黑体" w:eastAsia="黑体" w:hAnsi="黑体" w:cs="黑体" w:hint="default"/>
        <w:spacing w:val="-52"/>
        <w:w w:val="65"/>
        <w:sz w:val="21"/>
        <w:szCs w:val="21"/>
        <w:lang w:val="en-US" w:eastAsia="en-US" w:bidi="ar-SA"/>
      </w:rPr>
    </w:lvl>
    <w:lvl w:ilvl="3">
      <w:start w:val="0"/>
      <w:numFmt w:val="bullet"/>
      <w:lvlText w:val="•"/>
      <w:lvlJc w:val="left"/>
      <w:pPr>
        <w:ind w:left="4245" w:hanging="841"/>
      </w:pPr>
      <w:rPr>
        <w:rFonts w:hint="default"/>
        <w:lang w:val="en-US" w:eastAsia="en-US" w:bidi="ar-SA"/>
      </w:rPr>
    </w:lvl>
    <w:lvl w:ilvl="4">
      <w:start w:val="0"/>
      <w:numFmt w:val="bullet"/>
      <w:lvlText w:val="•"/>
      <w:lvlJc w:val="left"/>
      <w:pPr>
        <w:ind w:left="5154" w:hanging="841"/>
      </w:pPr>
      <w:rPr>
        <w:rFonts w:hint="default"/>
        <w:lang w:val="en-US" w:eastAsia="en-US" w:bidi="ar-SA"/>
      </w:rPr>
    </w:lvl>
    <w:lvl w:ilvl="5">
      <w:start w:val="0"/>
      <w:numFmt w:val="bullet"/>
      <w:lvlText w:val="•"/>
      <w:lvlJc w:val="left"/>
      <w:pPr>
        <w:ind w:left="6063" w:hanging="841"/>
      </w:pPr>
      <w:rPr>
        <w:rFonts w:hint="default"/>
        <w:lang w:val="en-US" w:eastAsia="en-US" w:bidi="ar-SA"/>
      </w:rPr>
    </w:lvl>
    <w:lvl w:ilvl="6">
      <w:start w:val="0"/>
      <w:numFmt w:val="bullet"/>
      <w:lvlText w:val="•"/>
      <w:lvlJc w:val="left"/>
      <w:pPr>
        <w:ind w:left="6971" w:hanging="841"/>
      </w:pPr>
      <w:rPr>
        <w:rFonts w:hint="default"/>
        <w:lang w:val="en-US" w:eastAsia="en-US" w:bidi="ar-SA"/>
      </w:rPr>
    </w:lvl>
    <w:lvl w:ilvl="7">
      <w:start w:val="0"/>
      <w:numFmt w:val="bullet"/>
      <w:lvlText w:val="•"/>
      <w:lvlJc w:val="left"/>
      <w:pPr>
        <w:ind w:left="7880" w:hanging="841"/>
      </w:pPr>
      <w:rPr>
        <w:rFonts w:hint="default"/>
        <w:lang w:val="en-US" w:eastAsia="en-US" w:bidi="ar-SA"/>
      </w:rPr>
    </w:lvl>
    <w:lvl w:ilvl="8">
      <w:start w:val="0"/>
      <w:numFmt w:val="bullet"/>
      <w:lvlText w:val="•"/>
      <w:lvlJc w:val="left"/>
      <w:pPr>
        <w:ind w:left="8789" w:hanging="841"/>
      </w:pPr>
      <w:rPr>
        <w:rFonts w:hint="default"/>
        <w:lang w:val="en-US" w:eastAsia="en-US" w:bidi="ar-SA"/>
      </w:rPr>
    </w:lvl>
  </w:abstractNum>
  <w:abstractNum w:abstractNumId="8">
    <w:nsid w:val="7361D8AA"/>
    <w:multiLevelType w:val="hybridMultilevel"/>
    <w:tmpl w:val="00000000"/>
    <w:lvl w:ilvl="0">
      <w:start w:val="6"/>
      <w:numFmt w:val="decimal"/>
      <w:lvlText w:val="%1"/>
      <w:lvlJc w:val="left"/>
      <w:pPr>
        <w:ind w:left="1130" w:hanging="736"/>
        <w:jc w:val="left"/>
      </w:pPr>
      <w:rPr>
        <w:rFonts w:hint="default"/>
        <w:lang w:val="en-US" w:eastAsia="en-US" w:bidi="ar-SA"/>
      </w:rPr>
    </w:lvl>
    <w:lvl w:ilvl="1">
      <w:start w:val="1"/>
      <w:numFmt w:val="decimal"/>
      <w:lvlText w:val="%1.%2"/>
      <w:lvlJc w:val="left"/>
      <w:pPr>
        <w:ind w:left="1130" w:hanging="736"/>
        <w:jc w:val="left"/>
      </w:pPr>
      <w:rPr>
        <w:rFonts w:hint="default"/>
        <w:lang w:val="en-US" w:eastAsia="en-US" w:bidi="ar-SA"/>
      </w:rPr>
    </w:lvl>
    <w:lvl w:ilvl="2">
      <w:start w:val="1"/>
      <w:numFmt w:val="decimal"/>
      <w:lvlText w:val="%1.%2.%3"/>
      <w:lvlJc w:val="left"/>
      <w:pPr>
        <w:ind w:left="1130" w:hanging="736"/>
        <w:jc w:val="right"/>
      </w:pPr>
      <w:rPr>
        <w:rFonts w:ascii="黑体" w:eastAsia="黑体" w:hAnsi="黑体" w:cs="黑体" w:hint="default"/>
        <w:w w:val="100"/>
        <w:sz w:val="21"/>
        <w:szCs w:val="21"/>
        <w:lang w:val="en-US" w:eastAsia="en-US" w:bidi="ar-SA"/>
      </w:rPr>
    </w:lvl>
    <w:lvl w:ilvl="3">
      <w:start w:val="0"/>
      <w:numFmt w:val="bullet"/>
      <w:lvlText w:val="•"/>
      <w:lvlJc w:val="left"/>
      <w:pPr>
        <w:ind w:left="3979" w:hanging="736"/>
      </w:pPr>
      <w:rPr>
        <w:rFonts w:hint="default"/>
        <w:lang w:val="en-US" w:eastAsia="en-US" w:bidi="ar-SA"/>
      </w:rPr>
    </w:lvl>
    <w:lvl w:ilvl="4">
      <w:start w:val="0"/>
      <w:numFmt w:val="bullet"/>
      <w:lvlText w:val="•"/>
      <w:lvlJc w:val="left"/>
      <w:pPr>
        <w:ind w:left="4926" w:hanging="736"/>
      </w:pPr>
      <w:rPr>
        <w:rFonts w:hint="default"/>
        <w:lang w:val="en-US" w:eastAsia="en-US" w:bidi="ar-SA"/>
      </w:rPr>
    </w:lvl>
    <w:lvl w:ilvl="5">
      <w:start w:val="0"/>
      <w:numFmt w:val="bullet"/>
      <w:lvlText w:val="•"/>
      <w:lvlJc w:val="left"/>
      <w:pPr>
        <w:ind w:left="5873" w:hanging="736"/>
      </w:pPr>
      <w:rPr>
        <w:rFonts w:hint="default"/>
        <w:lang w:val="en-US" w:eastAsia="en-US" w:bidi="ar-SA"/>
      </w:rPr>
    </w:lvl>
    <w:lvl w:ilvl="6">
      <w:start w:val="0"/>
      <w:numFmt w:val="bullet"/>
      <w:lvlText w:val="•"/>
      <w:lvlJc w:val="left"/>
      <w:pPr>
        <w:ind w:left="6819" w:hanging="736"/>
      </w:pPr>
      <w:rPr>
        <w:rFonts w:hint="default"/>
        <w:lang w:val="en-US" w:eastAsia="en-US" w:bidi="ar-SA"/>
      </w:rPr>
    </w:lvl>
    <w:lvl w:ilvl="7">
      <w:start w:val="0"/>
      <w:numFmt w:val="bullet"/>
      <w:lvlText w:val="•"/>
      <w:lvlJc w:val="left"/>
      <w:pPr>
        <w:ind w:left="7766" w:hanging="736"/>
      </w:pPr>
      <w:rPr>
        <w:rFonts w:hint="default"/>
        <w:lang w:val="en-US" w:eastAsia="en-US" w:bidi="ar-SA"/>
      </w:rPr>
    </w:lvl>
    <w:lvl w:ilvl="8">
      <w:start w:val="0"/>
      <w:numFmt w:val="bullet"/>
      <w:lvlText w:val="•"/>
      <w:lvlJc w:val="left"/>
      <w:pPr>
        <w:ind w:left="8713" w:hanging="736"/>
      </w:pPr>
      <w:rPr>
        <w:rFonts w:hint="default"/>
        <w:lang w:val="en-US" w:eastAsia="en-US" w:bidi="ar-SA"/>
      </w:rPr>
    </w:lvl>
  </w:abstractNum>
  <w:abstractNum w:abstractNumId="9">
    <w:nsid w:val="7B599EA8"/>
    <w:multiLevelType w:val="hybridMultilevel"/>
    <w:tmpl w:val="00000000"/>
    <w:lvl w:ilvl="0">
      <w:start w:val="2"/>
      <w:numFmt w:val="upperLetter"/>
      <w:lvlText w:val="%1"/>
      <w:lvlJc w:val="left"/>
      <w:pPr>
        <w:ind w:left="920" w:hanging="526"/>
        <w:jc w:val="left"/>
      </w:pPr>
      <w:rPr>
        <w:rFonts w:hint="default"/>
        <w:lang w:val="en-US" w:eastAsia="en-US" w:bidi="ar-SA"/>
      </w:rPr>
    </w:lvl>
    <w:lvl w:ilvl="1">
      <w:start w:val="1"/>
      <w:numFmt w:val="decimal"/>
      <w:lvlText w:val="%1.%2"/>
      <w:lvlJc w:val="left"/>
      <w:pPr>
        <w:ind w:left="920" w:hanging="526"/>
        <w:jc w:val="left"/>
      </w:pPr>
      <w:rPr>
        <w:rFonts w:ascii="黑体" w:eastAsia="黑体" w:hAnsi="黑体" w:cs="黑体" w:hint="default"/>
        <w:spacing w:val="-53"/>
        <w:w w:val="100"/>
        <w:sz w:val="21"/>
        <w:szCs w:val="21"/>
        <w:lang w:val="en-US" w:eastAsia="en-US" w:bidi="ar-SA"/>
      </w:rPr>
    </w:lvl>
    <w:lvl w:ilvl="2">
      <w:start w:val="1"/>
      <w:numFmt w:val="decimal"/>
      <w:lvlText w:val="%1.%2.%3"/>
      <w:lvlJc w:val="left"/>
      <w:pPr>
        <w:ind w:left="394" w:hanging="736"/>
        <w:jc w:val="left"/>
      </w:pPr>
      <w:rPr>
        <w:rFonts w:ascii="黑体" w:eastAsia="黑体" w:hAnsi="黑体" w:cs="黑体" w:hint="default"/>
        <w:spacing w:val="-13"/>
        <w:w w:val="100"/>
        <w:sz w:val="21"/>
        <w:szCs w:val="21"/>
        <w:lang w:val="en-US" w:eastAsia="en-US" w:bidi="ar-SA"/>
      </w:rPr>
    </w:lvl>
    <w:lvl w:ilvl="3">
      <w:start w:val="0"/>
      <w:numFmt w:val="bullet"/>
      <w:lvlText w:val="•"/>
      <w:lvlJc w:val="left"/>
      <w:pPr>
        <w:ind w:left="2288" w:hanging="736"/>
      </w:pPr>
      <w:rPr>
        <w:rFonts w:hint="default"/>
        <w:lang w:val="en-US" w:eastAsia="en-US" w:bidi="ar-SA"/>
      </w:rPr>
    </w:lvl>
    <w:lvl w:ilvl="4">
      <w:start w:val="0"/>
      <w:numFmt w:val="bullet"/>
      <w:lvlText w:val="•"/>
      <w:lvlJc w:val="left"/>
      <w:pPr>
        <w:ind w:left="3476" w:hanging="736"/>
      </w:pPr>
      <w:rPr>
        <w:rFonts w:hint="default"/>
        <w:lang w:val="en-US" w:eastAsia="en-US" w:bidi="ar-SA"/>
      </w:rPr>
    </w:lvl>
    <w:lvl w:ilvl="5">
      <w:start w:val="0"/>
      <w:numFmt w:val="bullet"/>
      <w:lvlText w:val="•"/>
      <w:lvlJc w:val="left"/>
      <w:pPr>
        <w:ind w:left="4664" w:hanging="736"/>
      </w:pPr>
      <w:rPr>
        <w:rFonts w:hint="default"/>
        <w:lang w:val="en-US" w:eastAsia="en-US" w:bidi="ar-SA"/>
      </w:rPr>
    </w:lvl>
    <w:lvl w:ilvl="6">
      <w:start w:val="0"/>
      <w:numFmt w:val="bullet"/>
      <w:lvlText w:val="•"/>
      <w:lvlJc w:val="left"/>
      <w:pPr>
        <w:ind w:left="5853" w:hanging="736"/>
      </w:pPr>
      <w:rPr>
        <w:rFonts w:hint="default"/>
        <w:lang w:val="en-US" w:eastAsia="en-US" w:bidi="ar-SA"/>
      </w:rPr>
    </w:lvl>
    <w:lvl w:ilvl="7">
      <w:start w:val="0"/>
      <w:numFmt w:val="bullet"/>
      <w:lvlText w:val="•"/>
      <w:lvlJc w:val="left"/>
      <w:pPr>
        <w:ind w:left="7041" w:hanging="736"/>
      </w:pPr>
      <w:rPr>
        <w:rFonts w:hint="default"/>
        <w:lang w:val="en-US" w:eastAsia="en-US" w:bidi="ar-SA"/>
      </w:rPr>
    </w:lvl>
    <w:lvl w:ilvl="8">
      <w:start w:val="0"/>
      <w:numFmt w:val="bullet"/>
      <w:lvlText w:val="•"/>
      <w:lvlJc w:val="left"/>
      <w:pPr>
        <w:ind w:left="8229" w:hanging="736"/>
      </w:pPr>
      <w:rPr>
        <w:rFonts w:hint="default"/>
        <w:lang w:val="en-US" w:eastAsia="en-US" w:bidi="ar-SA"/>
      </w:rPr>
    </w:lvl>
  </w:abstractNum>
  <w:num w:numId="1">
    <w:abstractNumId w:val="0"/>
  </w:num>
  <w:num w:numId="2">
    <w:abstractNumId w:val="9"/>
  </w:num>
  <w:num w:numId="3">
    <w:abstractNumId w:val="7"/>
  </w:num>
  <w:num w:numId="4">
    <w:abstractNumId w:val="4"/>
  </w:num>
  <w:num w:numId="5">
    <w:abstractNumId w:val="3"/>
  </w:num>
  <w:num w:numId="6">
    <w:abstractNumId w:val="1"/>
  </w:num>
  <w:num w:numId="7">
    <w:abstractNumId w:val="6"/>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5"/>
      <w:ind w:left="103"/>
      <w:jc w:val="center"/>
      <w:outlineLvl w:val="0"/>
    </w:pPr>
    <w:rPr>
      <w:rFonts w:ascii="黑体" w:eastAsia="黑体" w:hAnsi="黑体" w:cs="黑体"/>
      <w:sz w:val="32"/>
      <w:szCs w:val="32"/>
      <w:lang w:val="en-US" w:eastAsia="en-US" w:bidi="ar-SA"/>
    </w:rPr>
  </w:style>
  <w:style w:type="paragraph" w:styleId="Heading2">
    <w:name w:val="heading 2"/>
    <w:basedOn w:val="Normal"/>
    <w:uiPriority w:val="1"/>
    <w:qFormat/>
    <w:pPr>
      <w:spacing w:line="202" w:lineRule="exact"/>
      <w:outlineLvl w:val="1"/>
    </w:pPr>
    <w:rPr>
      <w:rFonts w:ascii="Times New Roman" w:eastAsia="Times New Roman" w:hAnsi="Times New Roman" w:cs="Times New Roman"/>
      <w:i/>
      <w:sz w:val="24"/>
      <w:szCs w:val="24"/>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ind w:left="388"/>
      <w:jc w:val="center"/>
    </w:pPr>
    <w:rPr>
      <w:rFonts w:ascii="黑体" w:eastAsia="黑体" w:hAnsi="黑体" w:cs="黑体"/>
      <w:sz w:val="52"/>
      <w:szCs w:val="52"/>
      <w:lang w:val="en-US" w:eastAsia="en-US" w:bidi="ar-SA"/>
    </w:rPr>
  </w:style>
  <w:style w:type="paragraph" w:styleId="ListParagraph">
    <w:name w:val="List Paragraph"/>
    <w:basedOn w:val="Normal"/>
    <w:uiPriority w:val="1"/>
    <w:qFormat/>
    <w:pPr>
      <w:ind w:left="1245" w:hanging="526"/>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footer" Target="footer8.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header" Target="header15.xml" /><Relationship Id="rId34" Type="http://schemas.openxmlformats.org/officeDocument/2006/relationships/footer" Target="footer14.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header" Target="header18.xml" /><Relationship Id="rId41" Type="http://schemas.openxmlformats.org/officeDocument/2006/relationships/header" Target="header19.xml" /><Relationship Id="rId42" Type="http://schemas.openxmlformats.org/officeDocument/2006/relationships/footer" Target="footer18.xml" /><Relationship Id="rId43" Type="http://schemas.openxmlformats.org/officeDocument/2006/relationships/footer" Target="footer19.xml" /><Relationship Id="rId44" Type="http://schemas.openxmlformats.org/officeDocument/2006/relationships/header" Target="header20.xml" /><Relationship Id="rId45" Type="http://schemas.openxmlformats.org/officeDocument/2006/relationships/header" Target="header21.xml" /><Relationship Id="rId46" Type="http://schemas.openxmlformats.org/officeDocument/2006/relationships/footer" Target="footer20.xml" /><Relationship Id="rId47" Type="http://schemas.openxmlformats.org/officeDocument/2006/relationships/footer" Target="footer21.xml" /><Relationship Id="rId48" Type="http://schemas.openxmlformats.org/officeDocument/2006/relationships/hyperlink" Target="https://d.book118.com/235001204032011041" TargetMode="External" /><Relationship Id="rId49" Type="http://schemas.openxmlformats.org/officeDocument/2006/relationships/header" Target="header22.xml" /><Relationship Id="rId5" Type="http://schemas.openxmlformats.org/officeDocument/2006/relationships/header" Target="header1.xml"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footer" Target="footer23.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cp:revision>0</cp:revision>
  <dcterms:created xsi:type="dcterms:W3CDTF">2024-01-10T09:24:28Z</dcterms:created>
  <dcterms:modified xsi:type="dcterms:W3CDTF">2024-01-10T09:24:28Z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2010</vt:lpwstr>
  </property>
  <property fmtid="{D5CDD505-2E9C-101B-9397-08002B2CF9AE}" pid="4" name="LastSaved">
    <vt:filetime>2024-01-10T00:00:00Z</vt:filetime>
  </property>
</Properties>
</file>