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仿宋_GB2312" w:eastAsia="仿宋_GB2312" w:hAnsi="仿宋_GB2312" w:cs="仿宋_GB2312" w:hint="eastAsia"/>
          <w:sz w:val="36"/>
          <w:szCs w:val="36"/>
        </w:rPr>
      </w:pPr>
    </w:p>
    <w:p>
      <w:pPr>
        <w:rPr>
          <w:rFonts w:ascii="仿宋_GB2312" w:eastAsia="仿宋_GB2312" w:hAnsi="仿宋_GB2312" w:cs="仿宋_GB2312"/>
          <w:sz w:val="36"/>
          <w:szCs w:val="36"/>
        </w:rPr>
      </w:pPr>
    </w:p>
    <w:p>
      <w:pPr>
        <w:rPr>
          <w:rFonts w:ascii="仿宋_GB2312" w:eastAsia="仿宋_GB2312" w:hAnsi="仿宋_GB2312" w:cs="仿宋_GB2312"/>
          <w:sz w:val="36"/>
          <w:szCs w:val="36"/>
        </w:rPr>
      </w:pPr>
    </w:p>
    <w:p>
      <w:pPr>
        <w:rPr>
          <w:rFonts w:ascii="仿宋_GB2312" w:eastAsia="仿宋_GB2312" w:hAnsi="仿宋_GB2312" w:cs="仿宋_GB2312" w:hint="eastAsia"/>
          <w:sz w:val="36"/>
          <w:szCs w:val="36"/>
        </w:rPr>
      </w:pPr>
    </w:p>
    <w:p>
      <w:pPr>
        <w:adjustRightInd w:val="0"/>
        <w:snapToGrid w:val="0"/>
        <w:jc w:val="center"/>
        <w:outlineLvl w:val="0"/>
        <w:rPr>
          <w:rFonts w:ascii="方正小标宋_GBK" w:eastAsia="方正小标宋_GBK" w:hint="eastAsia"/>
          <w:bCs/>
          <w:sz w:val="72"/>
          <w:szCs w:val="72"/>
        </w:rPr>
      </w:pPr>
      <w:r>
        <w:rPr>
          <w:rFonts w:ascii="方正小标宋_GBK" w:eastAsia="方正小标宋_GBK" w:hint="eastAsia"/>
          <w:bCs/>
          <w:sz w:val="72"/>
          <w:szCs w:val="72"/>
        </w:rPr>
        <w:t>建设项目环境影响报告表</w:t>
      </w:r>
    </w:p>
    <w:p>
      <w:pPr>
        <w:adjustRightInd w:val="0"/>
        <w:snapToGrid w:val="0"/>
        <w:spacing w:before="192" w:beforeLines="80"/>
        <w:jc w:val="center"/>
        <w:rPr>
          <w:rFonts w:ascii="楷体_GB2312" w:eastAsia="楷体_GB2312" w:hint="eastAsia"/>
          <w:bCs/>
          <w:sz w:val="48"/>
          <w:szCs w:val="48"/>
        </w:rPr>
      </w:pPr>
      <w:r>
        <w:rPr>
          <w:rFonts w:ascii="楷体_GB2312" w:eastAsia="楷体_GB2312" w:hint="eastAsia"/>
          <w:bCs/>
          <w:sz w:val="48"/>
          <w:szCs w:val="48"/>
        </w:rPr>
        <w:t>（污染影响类）</w:t>
      </w:r>
    </w:p>
    <w:p>
      <w:pPr>
        <w:adjustRightInd w:val="0"/>
        <w:snapToGrid w:val="0"/>
        <w:spacing w:before="120" w:beforeLines="50" w:line="288" w:lineRule="auto"/>
        <w:jc w:val="center"/>
        <w:rPr>
          <w:rFonts w:ascii="华文仿宋" w:eastAsia="华文仿宋" w:hAnsi="华文仿宋" w:cs="华文仿宋"/>
          <w:kern w:val="44"/>
          <w:sz w:val="44"/>
          <w:szCs w:val="44"/>
        </w:rPr>
      </w:pPr>
    </w:p>
    <w:p>
      <w:pPr>
        <w:adjustRightInd w:val="0"/>
        <w:snapToGrid w:val="0"/>
        <w:spacing w:line="288" w:lineRule="auto"/>
        <w:jc w:val="center"/>
        <w:rPr>
          <w:rFonts w:eastAsia="仿宋" w:hint="eastAsia"/>
          <w:sz w:val="52"/>
          <w:szCs w:val="52"/>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adjustRightInd w:val="0"/>
        <w:snapToGrid w:val="0"/>
        <w:spacing w:line="300" w:lineRule="auto"/>
        <w:rPr>
          <w:rFonts w:ascii="仿宋_GB2312" w:eastAsia="仿宋_GB2312" w:hint="eastAsia"/>
          <w:spacing w:val="-16"/>
          <w:sz w:val="36"/>
          <w:szCs w:val="36"/>
          <w:u w:val="single"/>
        </w:rPr>
      </w:pPr>
      <w:r>
        <w:rPr>
          <w:rFonts w:ascii="仿宋_GB2312" w:eastAsia="仿宋_GB2312" w:hint="eastAsia"/>
          <w:sz w:val="36"/>
          <w:szCs w:val="36"/>
        </w:rPr>
        <w:t>项目名称：</w:t>
      </w:r>
      <w:r>
        <w:rPr>
          <w:rFonts w:ascii="仿宋_GB2312" w:eastAsia="仿宋_GB2312" w:hint="eastAsia"/>
          <w:sz w:val="36"/>
          <w:szCs w:val="36"/>
          <w:u w:val="single"/>
        </w:rPr>
        <w:t>澄城县年产3000吨水性涂料生产线建设项目</w:t>
      </w:r>
    </w:p>
    <w:p>
      <w:pPr>
        <w:adjustRightInd w:val="0"/>
        <w:snapToGrid w:val="0"/>
        <w:spacing w:line="300" w:lineRule="auto"/>
        <w:rPr>
          <w:rFonts w:ascii="仿宋_GB2312" w:eastAsia="仿宋_GB2312"/>
          <w:sz w:val="36"/>
          <w:szCs w:val="36"/>
          <w:u w:val="single"/>
        </w:rPr>
      </w:pPr>
      <w:r>
        <w:rPr>
          <w:rFonts w:ascii="仿宋_GB2312" w:eastAsia="仿宋_GB2312" w:hint="eastAsia"/>
          <w:sz w:val="36"/>
          <w:szCs w:val="36"/>
        </w:rPr>
        <w:t>建设单位（盖章）：</w:t>
      </w:r>
      <w:r>
        <w:rPr>
          <w:rFonts w:ascii="仿宋_GB2312" w:eastAsia="仿宋_GB2312" w:hint="eastAsia"/>
          <w:sz w:val="36"/>
          <w:szCs w:val="36"/>
          <w:u w:val="single"/>
        </w:rPr>
        <w:t xml:space="preserve"> 澄城县汇诚达建筑材料有限公司</w:t>
      </w:r>
      <w:r>
        <w:rPr>
          <w:rFonts w:ascii="仿宋_GB2312" w:eastAsia="仿宋_GB2312"/>
          <w:sz w:val="36"/>
          <w:szCs w:val="36"/>
          <w:u w:val="single"/>
        </w:rPr>
        <w:t xml:space="preserve">   </w:t>
      </w:r>
    </w:p>
    <w:p>
      <w:pPr>
        <w:adjustRightInd w:val="0"/>
        <w:snapToGrid w:val="0"/>
        <w:spacing w:line="300" w:lineRule="auto"/>
        <w:rPr>
          <w:rFonts w:ascii="仿宋_GB2312" w:eastAsia="仿宋_GB2312" w:hint="eastAsia"/>
          <w:sz w:val="36"/>
          <w:szCs w:val="36"/>
          <w:u w:val="single"/>
        </w:rPr>
      </w:pPr>
      <w:r>
        <w:rPr>
          <w:rFonts w:ascii="仿宋_GB2312" w:eastAsia="仿宋_GB2312" w:hint="eastAsia"/>
          <w:sz w:val="36"/>
          <w:szCs w:val="36"/>
        </w:rPr>
        <w:t>编制日期：</w:t>
      </w:r>
      <w:r>
        <w:rPr>
          <w:rFonts w:ascii="仿宋_GB2312" w:eastAsia="仿宋_GB2312" w:hint="eastAsia"/>
          <w:sz w:val="36"/>
          <w:szCs w:val="36"/>
          <w:u w:val="single"/>
        </w:rPr>
        <w:t xml:space="preserve"> </w:t>
      </w:r>
      <w:r>
        <w:rPr>
          <w:rFonts w:ascii="仿宋_GB2312" w:eastAsia="仿宋_GB2312"/>
          <w:sz w:val="36"/>
          <w:szCs w:val="36"/>
          <w:u w:val="single"/>
        </w:rPr>
        <w:t xml:space="preserve">           2022年4月                </w:t>
      </w:r>
      <w:r>
        <w:rPr>
          <w:rFonts w:ascii="仿宋_GB2312" w:eastAsia="仿宋_GB2312"/>
          <w:sz w:val="18"/>
          <w:szCs w:val="18"/>
          <w:u w:val="single"/>
        </w:rPr>
        <w:t xml:space="preserve"> </w:t>
      </w:r>
    </w:p>
    <w:p>
      <w:pPr>
        <w:adjustRightInd w:val="0"/>
        <w:snapToGrid w:val="0"/>
        <w:spacing w:line="288" w:lineRule="auto"/>
        <w:ind w:firstLine="1040"/>
        <w:rPr>
          <w:rFonts w:ascii="仿宋_GB2312" w:eastAsia="仿宋_GB2312"/>
          <w:sz w:val="36"/>
          <w:szCs w:val="36"/>
          <w:u w:val="single"/>
        </w:rPr>
      </w:pPr>
      <w:bookmarkStart w:id="0" w:name="_Hlk57884087"/>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ascii="仿宋_GB2312" w:eastAsia="仿宋_GB2312" w:hint="eastAsia"/>
          <w:sz w:val="36"/>
          <w:szCs w:val="36"/>
        </w:rPr>
      </w:pPr>
    </w:p>
    <w:p>
      <w:pPr>
        <w:adjustRightInd w:val="0"/>
        <w:snapToGrid w:val="0"/>
        <w:spacing w:line="288" w:lineRule="auto"/>
        <w:ind w:firstLine="1040"/>
        <w:rPr>
          <w:rFonts w:ascii="仿宋_GB2312" w:eastAsia="仿宋_GB2312" w:hint="eastAsia"/>
          <w:sz w:val="36"/>
          <w:szCs w:val="36"/>
        </w:rPr>
      </w:pPr>
    </w:p>
    <w:p>
      <w:pPr>
        <w:adjustRightInd w:val="0"/>
        <w:snapToGrid w:val="0"/>
        <w:spacing w:line="288" w:lineRule="auto"/>
        <w:jc w:val="center"/>
        <w:rPr>
          <w:rFonts w:ascii="楷体_GB2312" w:eastAsia="楷体_GB2312" w:hint="eastAsia"/>
          <w:sz w:val="36"/>
          <w:szCs w:val="36"/>
        </w:rPr>
      </w:pPr>
      <w:bookmarkEnd w:id="0"/>
      <w:r>
        <w:rPr>
          <w:rFonts w:ascii="楷体_GB2312" w:eastAsia="楷体_GB2312" w:hint="eastAsia"/>
          <w:sz w:val="36"/>
          <w:szCs w:val="36"/>
        </w:rPr>
        <w:t>中华人民共和国生态环境部制</w:t>
      </w:r>
    </w:p>
    <w:p>
      <w:pPr>
        <w:adjustRightInd w:val="0"/>
        <w:snapToGrid w:val="0"/>
        <w:spacing w:line="288" w:lineRule="auto"/>
        <w:ind w:firstLine="1040"/>
        <w:rPr>
          <w:rFonts w:ascii="仿宋_GB2312" w:eastAsia="仿宋_GB2312"/>
          <w:sz w:val="36"/>
          <w:szCs w:val="36"/>
        </w:rPr>
        <w:sectPr>
          <w:footerReference w:type="even" r:id="rId4"/>
          <w:footerReference w:type="default" r:id="rId5"/>
          <w:pgSz w:w="11906" w:h="16838"/>
          <w:pgMar w:top="1701" w:right="1531" w:bottom="1701" w:left="1531" w:header="851" w:footer="1077" w:gutter="0"/>
          <w:pgNumType w:start="3"/>
          <w:cols w:space="708"/>
          <w:docGrid w:linePitch="312"/>
        </w:sectPr>
      </w:pPr>
    </w:p>
    <w:p>
      <w:pPr>
        <w:pStyle w:val="NormalWeb"/>
        <w:jc w:val="center"/>
        <w:outlineLvl w:val="0"/>
        <w:rPr>
          <w:rFonts w:ascii="黑体" w:eastAsia="黑体" w:hAnsi="黑体" w:hint="eastAsia"/>
          <w:snapToGrid w:val="0"/>
          <w:sz w:val="30"/>
          <w:szCs w:val="30"/>
        </w:rPr>
      </w:pPr>
      <w:r>
        <w:rPr>
          <w:rFonts w:ascii="黑体" w:eastAsia="黑体" w:hAnsi="黑体" w:hint="eastAsia"/>
          <w:snapToGrid w:val="0"/>
          <w:sz w:val="30"/>
          <w:szCs w:val="30"/>
        </w:rPr>
        <w:t>一、建设项目基本情况</w:t>
      </w:r>
    </w:p>
    <w:tbl>
      <w:tblPr>
        <w:tblStyle w:val="TableNormal"/>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98"/>
        <w:gridCol w:w="1984"/>
        <w:gridCol w:w="2127"/>
        <w:gridCol w:w="2761"/>
      </w:tblGrid>
      <w:tr>
        <w:tblPrEx>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497"/>
          <w:jc w:val="center"/>
        </w:trPr>
        <w:tc>
          <w:tcPr>
            <w:tcW w:w="1998" w:type="dxa"/>
            <w:tcMar>
              <w:top w:w="16" w:type="dxa"/>
              <w:left w:w="16" w:type="dxa"/>
              <w:right w:w="16" w:type="dxa"/>
            </w:tcMar>
            <w:vAlign w:val="center"/>
          </w:tcPr>
          <w:p>
            <w:pPr>
              <w:adjustRightInd w:val="0"/>
              <w:snapToGrid w:val="0"/>
              <w:jc w:val="center"/>
              <w:rPr>
                <w:rFonts w:ascii="宋体" w:hAnsi="宋体" w:cs="宋体"/>
              </w:rPr>
            </w:pPr>
            <w:r>
              <w:rPr>
                <w:rFonts w:ascii="宋体" w:hAnsi="宋体" w:cs="宋体" w:hint="eastAsia"/>
              </w:rPr>
              <w:t>建设项目名称</w:t>
            </w:r>
          </w:p>
        </w:tc>
        <w:tc>
          <w:tcPr>
            <w:tcW w:w="6872" w:type="dxa"/>
            <w:gridSpan w:val="3"/>
            <w:vAlign w:val="center"/>
          </w:tcPr>
          <w:p>
            <w:pPr>
              <w:adjustRightInd w:val="0"/>
              <w:snapToGrid w:val="0"/>
              <w:jc w:val="center"/>
            </w:pPr>
            <w:r>
              <w:rPr>
                <w:rFonts w:hint="eastAsia"/>
              </w:rPr>
              <w:t>澄城县年产3000吨水性涂料生产线建设项目</w:t>
            </w:r>
          </w:p>
        </w:tc>
      </w:tr>
      <w:tr>
        <w:tblPrEx>
          <w:tblW w:w="8870" w:type="dxa"/>
          <w:jc w:val="center"/>
          <w:tblInd w:w="3" w:type="dxa"/>
          <w:tblCellMar>
            <w:top w:w="0" w:type="dxa"/>
            <w:left w:w="0" w:type="dxa"/>
            <w:bottom w:w="0" w:type="dxa"/>
            <w:right w:w="0" w:type="dxa"/>
          </w:tblCellMar>
          <w:tblLook w:val="0000"/>
        </w:tblPrEx>
        <w:trPr>
          <w:trHeight w:val="497"/>
          <w:jc w:val="center"/>
        </w:trPr>
        <w:tc>
          <w:tcPr>
            <w:tcW w:w="1998" w:type="dxa"/>
            <w:tcMar>
              <w:top w:w="16" w:type="dxa"/>
              <w:left w:w="16" w:type="dxa"/>
              <w:right w:w="16" w:type="dxa"/>
            </w:tcMar>
            <w:vAlign w:val="center"/>
          </w:tcPr>
          <w:p>
            <w:pPr>
              <w:adjustRightInd w:val="0"/>
              <w:snapToGrid w:val="0"/>
              <w:jc w:val="center"/>
              <w:rPr>
                <w:rFonts w:ascii="宋体" w:hAnsi="宋体" w:cs="宋体"/>
              </w:rPr>
            </w:pPr>
            <w:r>
              <w:rPr>
                <w:rFonts w:ascii="宋体" w:hAnsi="宋体" w:cs="宋体" w:hint="eastAsia"/>
              </w:rPr>
              <w:t>项目代码</w:t>
            </w:r>
          </w:p>
        </w:tc>
        <w:tc>
          <w:tcPr>
            <w:tcW w:w="6872" w:type="dxa"/>
            <w:gridSpan w:val="3"/>
            <w:vAlign w:val="center"/>
          </w:tcPr>
          <w:p>
            <w:pPr>
              <w:adjustRightInd w:val="0"/>
              <w:snapToGrid w:val="0"/>
              <w:jc w:val="center"/>
            </w:pPr>
            <w:r>
              <w:rPr>
                <w:rFonts w:hint="eastAsia"/>
              </w:rPr>
              <w:t>2110-610525-04-01-261943</w:t>
            </w:r>
          </w:p>
        </w:tc>
      </w:tr>
      <w:tr>
        <w:tblPrEx>
          <w:tblW w:w="8870" w:type="dxa"/>
          <w:jc w:val="center"/>
          <w:tblInd w:w="3" w:type="dxa"/>
          <w:tblCellMar>
            <w:top w:w="0" w:type="dxa"/>
            <w:left w:w="0" w:type="dxa"/>
            <w:bottom w:w="0" w:type="dxa"/>
            <w:right w:w="0" w:type="dxa"/>
          </w:tblCellMar>
          <w:tblLook w:val="0000"/>
        </w:tblPrEx>
        <w:trPr>
          <w:trHeight w:val="497"/>
          <w:jc w:val="center"/>
        </w:trPr>
        <w:tc>
          <w:tcPr>
            <w:tcW w:w="1998" w:type="dxa"/>
            <w:tcMar>
              <w:top w:w="16" w:type="dxa"/>
              <w:left w:w="16" w:type="dxa"/>
              <w:right w:w="16" w:type="dxa"/>
            </w:tcMar>
            <w:vAlign w:val="center"/>
          </w:tcPr>
          <w:p>
            <w:pPr>
              <w:adjustRightInd w:val="0"/>
              <w:snapToGrid w:val="0"/>
              <w:jc w:val="center"/>
              <w:rPr>
                <w:rFonts w:hint="eastAsia"/>
                <w:szCs w:val="20"/>
              </w:rPr>
            </w:pPr>
            <w:r>
              <w:rPr>
                <w:rFonts w:hint="eastAsia"/>
                <w:szCs w:val="20"/>
              </w:rPr>
              <w:t>建设单位联系人</w:t>
            </w:r>
          </w:p>
        </w:tc>
        <w:tc>
          <w:tcPr>
            <w:tcW w:w="1984" w:type="dxa"/>
            <w:vAlign w:val="center"/>
          </w:tcPr>
          <w:p>
            <w:pPr>
              <w:adjustRightInd w:val="0"/>
              <w:snapToGrid w:val="0"/>
              <w:jc w:val="center"/>
            </w:pPr>
          </w:p>
        </w:tc>
        <w:tc>
          <w:tcPr>
            <w:tcW w:w="2127" w:type="dxa"/>
            <w:vAlign w:val="center"/>
          </w:tcPr>
          <w:p>
            <w:pPr>
              <w:adjustRightInd w:val="0"/>
              <w:snapToGrid w:val="0"/>
              <w:jc w:val="center"/>
            </w:pPr>
            <w:r>
              <w:rPr>
                <w:rFonts w:hint="eastAsia"/>
              </w:rPr>
              <w:t>联系方式</w:t>
            </w:r>
          </w:p>
        </w:tc>
        <w:tc>
          <w:tcPr>
            <w:tcW w:w="2761" w:type="dxa"/>
            <w:vAlign w:val="center"/>
          </w:tcPr>
          <w:p>
            <w:pPr>
              <w:pStyle w:val="a22"/>
              <w:tabs>
                <w:tab w:val="left" w:pos="540"/>
              </w:tabs>
              <w:spacing w:line="240" w:lineRule="auto"/>
              <w:ind w:left="-105" w:right="-105" w:firstLine="0" w:leftChars="-50" w:rightChars="-50" w:firstLineChars="0"/>
              <w:jc w:val="center"/>
              <w:rPr>
                <w:kern w:val="2"/>
                <w:sz w:val="21"/>
                <w:lang w:val="en-US" w:eastAsia="zh-CN"/>
              </w:rPr>
            </w:pPr>
          </w:p>
        </w:tc>
      </w:tr>
      <w:tr>
        <w:tblPrEx>
          <w:tblW w:w="8870" w:type="dxa"/>
          <w:jc w:val="center"/>
          <w:tblInd w:w="3" w:type="dxa"/>
          <w:tblCellMar>
            <w:top w:w="0" w:type="dxa"/>
            <w:left w:w="0" w:type="dxa"/>
            <w:bottom w:w="0" w:type="dxa"/>
            <w:right w:w="0" w:type="dxa"/>
          </w:tblCellMar>
          <w:tblLook w:val="0000"/>
        </w:tblPrEx>
        <w:trPr>
          <w:trHeight w:val="497"/>
          <w:jc w:val="center"/>
        </w:trPr>
        <w:tc>
          <w:tcPr>
            <w:tcW w:w="1998" w:type="dxa"/>
            <w:tcMar>
              <w:top w:w="16" w:type="dxa"/>
              <w:left w:w="16" w:type="dxa"/>
              <w:right w:w="16" w:type="dxa"/>
            </w:tcMar>
            <w:vAlign w:val="center"/>
          </w:tcPr>
          <w:p>
            <w:pPr>
              <w:adjustRightInd w:val="0"/>
              <w:snapToGrid w:val="0"/>
              <w:jc w:val="center"/>
              <w:rPr>
                <w:rFonts w:ascii="宋体" w:hAnsi="宋体" w:cs="宋体"/>
              </w:rPr>
            </w:pPr>
            <w:r>
              <w:rPr>
                <w:rFonts w:ascii="宋体" w:hAnsi="宋体" w:cs="宋体" w:hint="eastAsia"/>
              </w:rPr>
              <w:t>建设地点</w:t>
            </w:r>
          </w:p>
        </w:tc>
        <w:tc>
          <w:tcPr>
            <w:tcW w:w="6872" w:type="dxa"/>
            <w:gridSpan w:val="3"/>
            <w:vAlign w:val="center"/>
          </w:tcPr>
          <w:p>
            <w:pPr>
              <w:adjustRightInd w:val="0"/>
              <w:snapToGrid w:val="0"/>
              <w:jc w:val="center"/>
            </w:pPr>
            <w:r>
              <w:rPr>
                <w:rFonts w:hint="eastAsia"/>
              </w:rPr>
              <w:t>澄城县经开区</w:t>
            </w:r>
          </w:p>
        </w:tc>
      </w:tr>
      <w:tr>
        <w:tblPrEx>
          <w:tblW w:w="8870" w:type="dxa"/>
          <w:jc w:val="center"/>
          <w:tblInd w:w="3" w:type="dxa"/>
          <w:tblCellMar>
            <w:top w:w="0" w:type="dxa"/>
            <w:left w:w="0" w:type="dxa"/>
            <w:bottom w:w="0" w:type="dxa"/>
            <w:right w:w="0" w:type="dxa"/>
          </w:tblCellMar>
          <w:tblLook w:val="0000"/>
        </w:tblPrEx>
        <w:trPr>
          <w:trHeight w:val="497"/>
          <w:jc w:val="center"/>
        </w:trPr>
        <w:tc>
          <w:tcPr>
            <w:tcW w:w="1998" w:type="dxa"/>
            <w:tcMar>
              <w:top w:w="16" w:type="dxa"/>
              <w:left w:w="16" w:type="dxa"/>
              <w:right w:w="16" w:type="dxa"/>
            </w:tcMar>
            <w:vAlign w:val="center"/>
          </w:tcPr>
          <w:p>
            <w:pPr>
              <w:adjustRightInd w:val="0"/>
              <w:snapToGrid w:val="0"/>
              <w:jc w:val="center"/>
              <w:rPr>
                <w:rFonts w:ascii="宋体" w:hAnsi="宋体" w:cs="宋体"/>
              </w:rPr>
            </w:pPr>
            <w:r>
              <w:rPr>
                <w:rFonts w:ascii="宋体" w:hAnsi="宋体" w:cs="宋体" w:hint="eastAsia"/>
              </w:rPr>
              <w:t>地理坐标</w:t>
            </w:r>
          </w:p>
        </w:tc>
        <w:tc>
          <w:tcPr>
            <w:tcW w:w="6872" w:type="dxa"/>
            <w:gridSpan w:val="3"/>
            <w:vAlign w:val="center"/>
          </w:tcPr>
          <w:p>
            <w:pPr>
              <w:jc w:val="center"/>
            </w:pPr>
            <w:r>
              <w:t>（</w:t>
            </w:r>
            <w:r>
              <w:rPr>
                <w:u w:val="single"/>
              </w:rPr>
              <w:t xml:space="preserve"> 109 </w:t>
            </w:r>
            <w:r>
              <w:t>度</w:t>
            </w:r>
            <w:r>
              <w:rPr>
                <w:u w:val="single"/>
              </w:rPr>
              <w:t xml:space="preserve"> 56 </w:t>
            </w:r>
            <w:r>
              <w:t>分</w:t>
            </w:r>
            <w:r>
              <w:rPr>
                <w:u w:val="single"/>
              </w:rPr>
              <w:t xml:space="preserve"> 31.533 </w:t>
            </w:r>
            <w:r>
              <w:t>秒，</w:t>
            </w:r>
            <w:r>
              <w:rPr>
                <w:u w:val="single"/>
              </w:rPr>
              <w:t xml:space="preserve"> 34 </w:t>
            </w:r>
            <w:r>
              <w:t>度</w:t>
            </w:r>
            <w:r>
              <w:rPr>
                <w:u w:val="single"/>
              </w:rPr>
              <w:t xml:space="preserve"> 59 </w:t>
            </w:r>
            <w:r>
              <w:t>分</w:t>
            </w:r>
            <w:r>
              <w:rPr>
                <w:u w:val="single"/>
              </w:rPr>
              <w:t xml:space="preserve"> 37.527 </w:t>
            </w:r>
            <w:r>
              <w:t>秒）</w:t>
            </w:r>
          </w:p>
        </w:tc>
      </w:tr>
      <w:tr>
        <w:tblPrEx>
          <w:tblW w:w="8870" w:type="dxa"/>
          <w:jc w:val="center"/>
          <w:tblInd w:w="3" w:type="dxa"/>
          <w:tblCellMar>
            <w:top w:w="0" w:type="dxa"/>
            <w:left w:w="0" w:type="dxa"/>
            <w:bottom w:w="0" w:type="dxa"/>
            <w:right w:w="0" w:type="dxa"/>
          </w:tblCellMar>
          <w:tblLook w:val="0000"/>
        </w:tblPrEx>
        <w:trPr>
          <w:trHeight w:val="561"/>
          <w:jc w:val="center"/>
        </w:trPr>
        <w:tc>
          <w:tcPr>
            <w:tcW w:w="1998" w:type="dxa"/>
            <w:tcMar>
              <w:top w:w="16" w:type="dxa"/>
              <w:left w:w="16" w:type="dxa"/>
              <w:right w:w="16" w:type="dxa"/>
            </w:tcMar>
            <w:vAlign w:val="center"/>
          </w:tcPr>
          <w:p>
            <w:pPr>
              <w:adjustRightInd w:val="0"/>
              <w:snapToGrid w:val="0"/>
              <w:jc w:val="center"/>
              <w:rPr>
                <w:rFonts w:ascii="宋体" w:hAnsi="宋体" w:cs="宋体" w:hint="eastAsia"/>
              </w:rPr>
            </w:pPr>
            <w:r>
              <w:rPr>
                <w:rFonts w:ascii="宋体" w:hAnsi="宋体" w:cs="宋体" w:hint="eastAsia"/>
              </w:rPr>
              <w:t>国民经济</w:t>
            </w:r>
          </w:p>
          <w:p>
            <w:pPr>
              <w:adjustRightInd w:val="0"/>
              <w:snapToGrid w:val="0"/>
              <w:jc w:val="center"/>
              <w:rPr>
                <w:rFonts w:ascii="宋体" w:hAnsi="宋体" w:cs="宋体"/>
              </w:rPr>
            </w:pPr>
            <w:r>
              <w:rPr>
                <w:rFonts w:ascii="宋体" w:hAnsi="宋体" w:cs="宋体" w:hint="eastAsia"/>
              </w:rPr>
              <w:t>行业类别</w:t>
            </w:r>
          </w:p>
        </w:tc>
        <w:tc>
          <w:tcPr>
            <w:tcW w:w="1984" w:type="dxa"/>
            <w:vAlign w:val="center"/>
          </w:tcPr>
          <w:p>
            <w:pPr>
              <w:adjustRightInd w:val="0"/>
              <w:snapToGrid w:val="0"/>
              <w:jc w:val="center"/>
            </w:pPr>
            <w:r>
              <w:rPr>
                <w:rFonts w:hint="eastAsia"/>
              </w:rPr>
              <w:t>C2641</w:t>
            </w:r>
            <w:r>
              <w:t xml:space="preserve"> </w:t>
            </w:r>
            <w:r>
              <w:rPr>
                <w:rFonts w:hint="eastAsia"/>
              </w:rPr>
              <w:t>涂料制造</w:t>
            </w:r>
          </w:p>
        </w:tc>
        <w:tc>
          <w:tcPr>
            <w:tcW w:w="2127" w:type="dxa"/>
            <w:vAlign w:val="center"/>
          </w:tcPr>
          <w:p>
            <w:pPr>
              <w:adjustRightInd w:val="0"/>
              <w:snapToGrid w:val="0"/>
              <w:jc w:val="center"/>
            </w:pPr>
            <w:bookmarkStart w:id="1" w:name="_Hlk49843745"/>
            <w:r>
              <w:t>建设项目</w:t>
            </w:r>
          </w:p>
          <w:p>
            <w:pPr>
              <w:adjustRightInd w:val="0"/>
              <w:snapToGrid w:val="0"/>
              <w:jc w:val="center"/>
            </w:pPr>
            <w:r>
              <w:t>行业类别</w:t>
            </w:r>
            <w:bookmarkEnd w:id="1"/>
          </w:p>
        </w:tc>
        <w:tc>
          <w:tcPr>
            <w:tcW w:w="2761" w:type="dxa"/>
            <w:vAlign w:val="center"/>
          </w:tcPr>
          <w:p>
            <w:pPr>
              <w:adjustRightInd w:val="0"/>
              <w:snapToGrid w:val="0"/>
            </w:pPr>
            <w:r>
              <w:rPr>
                <w:rFonts w:hint="eastAsia"/>
              </w:rPr>
              <w:t xml:space="preserve">二十三、化学原料和化学制品制造业 </w:t>
            </w:r>
            <w:r>
              <w:t xml:space="preserve"> </w:t>
            </w:r>
            <w:r>
              <w:rPr>
                <w:rFonts w:hint="eastAsia"/>
              </w:rPr>
              <w:t>44涂料、油墨、颜料及类似产品制造264</w:t>
            </w:r>
          </w:p>
        </w:tc>
      </w:tr>
      <w:tr>
        <w:tblPrEx>
          <w:tblW w:w="8870" w:type="dxa"/>
          <w:jc w:val="center"/>
          <w:tblInd w:w="3" w:type="dxa"/>
          <w:tblCellMar>
            <w:top w:w="0" w:type="dxa"/>
            <w:left w:w="0" w:type="dxa"/>
            <w:bottom w:w="0" w:type="dxa"/>
            <w:right w:w="0" w:type="dxa"/>
          </w:tblCellMar>
          <w:tblLook w:val="0000"/>
        </w:tblPrEx>
        <w:trPr>
          <w:trHeight w:val="1219"/>
          <w:jc w:val="center"/>
        </w:trPr>
        <w:tc>
          <w:tcPr>
            <w:tcW w:w="1998" w:type="dxa"/>
            <w:tcMar>
              <w:top w:w="16" w:type="dxa"/>
              <w:left w:w="16" w:type="dxa"/>
              <w:right w:w="16" w:type="dxa"/>
            </w:tcMar>
            <w:vAlign w:val="center"/>
          </w:tcPr>
          <w:p>
            <w:pPr>
              <w:adjustRightInd w:val="0"/>
              <w:snapToGrid w:val="0"/>
              <w:jc w:val="center"/>
              <w:rPr>
                <w:rFonts w:ascii="宋体" w:hAnsi="宋体" w:cs="宋体"/>
              </w:rPr>
            </w:pPr>
            <w:r>
              <w:rPr>
                <w:rFonts w:ascii="宋体" w:hAnsi="宋体" w:cs="宋体" w:hint="eastAsia"/>
              </w:rPr>
              <w:t>建设性质</w:t>
            </w:r>
          </w:p>
        </w:tc>
        <w:tc>
          <w:tcPr>
            <w:tcW w:w="1984" w:type="dxa"/>
            <w:vAlign w:val="center"/>
          </w:tcPr>
          <w:p>
            <w:pPr>
              <w:jc w:val="left"/>
              <w:rPr>
                <w:rFonts w:ascii="宋体" w:hAnsi="宋体" w:cs="宋体"/>
              </w:rPr>
            </w:pPr>
            <w:r>
              <w:rPr>
                <w:rFonts w:ascii="Segoe UI Symbol" w:eastAsia="MS Mincho" w:hAnsi="Segoe UI Symbol" w:cs="Segoe UI Symbol"/>
                <w:sz w:val="24"/>
              </w:rPr>
              <w:t>☑</w:t>
            </w:r>
            <w:r>
              <w:rPr>
                <w:rFonts w:ascii="宋体" w:hAnsi="宋体" w:cs="宋体" w:hint="eastAsia"/>
              </w:rPr>
              <w:t>新建（迁建）</w:t>
            </w:r>
          </w:p>
          <w:p>
            <w:pPr>
              <w:jc w:val="left"/>
              <w:rPr>
                <w:rFonts w:ascii="宋体" w:hAnsi="宋体" w:cs="宋体" w:hint="eastAsia"/>
              </w:rPr>
            </w:pPr>
            <w:r>
              <w:rPr>
                <w:rFonts w:ascii="宋体" w:hAnsi="宋体" w:cs="宋体" w:hint="eastAsia"/>
              </w:rPr>
              <w:t>□</w:t>
            </w:r>
            <w:r>
              <w:rPr>
                <w:rFonts w:ascii="宋体" w:hAnsi="宋体" w:cs="宋体" w:hint="eastAsia"/>
              </w:rPr>
              <w:t>改建</w:t>
            </w:r>
          </w:p>
          <w:p>
            <w:pPr>
              <w:jc w:val="left"/>
              <w:rPr>
                <w:rFonts w:ascii="宋体" w:hAnsi="宋体" w:cs="宋体" w:hint="eastAsia"/>
              </w:rPr>
            </w:pPr>
            <w:r>
              <w:rPr>
                <w:rFonts w:ascii="宋体" w:hAnsi="宋体" w:cs="宋体" w:hint="eastAsia"/>
              </w:rPr>
              <w:t>□</w:t>
            </w:r>
            <w:r>
              <w:rPr>
                <w:rFonts w:ascii="宋体" w:hAnsi="宋体" w:cs="宋体" w:hint="eastAsia"/>
              </w:rPr>
              <w:t>扩建</w:t>
            </w:r>
          </w:p>
          <w:p>
            <w:pPr>
              <w:jc w:val="left"/>
              <w:rPr>
                <w:rFonts w:ascii="宋体" w:hAnsi="宋体" w:cs="宋体"/>
              </w:rPr>
            </w:pPr>
            <w:r>
              <w:rPr>
                <w:rFonts w:ascii="宋体" w:hAnsi="宋体" w:cs="宋体" w:hint="eastAsia"/>
              </w:rPr>
              <w:t>□</w:t>
            </w:r>
            <w:r>
              <w:rPr>
                <w:rFonts w:ascii="宋体" w:hAnsi="宋体" w:cs="宋体" w:hint="eastAsia"/>
              </w:rPr>
              <w:t>技术改造</w:t>
            </w:r>
          </w:p>
        </w:tc>
        <w:tc>
          <w:tcPr>
            <w:tcW w:w="2127" w:type="dxa"/>
            <w:vAlign w:val="center"/>
          </w:tcPr>
          <w:p>
            <w:pPr>
              <w:adjustRightInd w:val="0"/>
              <w:snapToGrid w:val="0"/>
              <w:jc w:val="center"/>
              <w:rPr>
                <w:rFonts w:ascii="宋体" w:hAnsi="宋体" w:cs="宋体" w:hint="eastAsia"/>
              </w:rPr>
            </w:pPr>
            <w:r>
              <w:rPr>
                <w:rFonts w:ascii="宋体" w:hAnsi="宋体" w:cs="宋体" w:hint="eastAsia"/>
              </w:rPr>
              <w:t>建设项目</w:t>
            </w:r>
          </w:p>
          <w:p>
            <w:pPr>
              <w:adjustRightInd w:val="0"/>
              <w:snapToGrid w:val="0"/>
              <w:jc w:val="center"/>
              <w:rPr>
                <w:rFonts w:ascii="宋体" w:hAnsi="宋体" w:cs="宋体"/>
              </w:rPr>
            </w:pPr>
            <w:r>
              <w:rPr>
                <w:rFonts w:ascii="宋体" w:hAnsi="宋体" w:cs="宋体" w:hint="eastAsia"/>
              </w:rPr>
              <w:t>申报情形</w:t>
            </w:r>
          </w:p>
        </w:tc>
        <w:tc>
          <w:tcPr>
            <w:tcW w:w="2761" w:type="dxa"/>
            <w:vAlign w:val="center"/>
          </w:tcPr>
          <w:p>
            <w:pPr>
              <w:jc w:val="left"/>
              <w:rPr>
                <w:rFonts w:ascii="宋体" w:hAnsi="宋体" w:cs="宋体"/>
              </w:rPr>
            </w:pPr>
            <w:r>
              <w:rPr>
                <w:rFonts w:ascii="Segoe UI Symbol" w:eastAsia="MS Mincho" w:hAnsi="Segoe UI Symbol" w:cs="Segoe UI Symbol"/>
                <w:sz w:val="24"/>
              </w:rPr>
              <w:t>☑</w:t>
            </w:r>
            <w:r>
              <w:rPr>
                <w:rFonts w:ascii="宋体" w:hAnsi="宋体" w:cs="宋体" w:hint="eastAsia"/>
              </w:rPr>
              <w:t>首次申报项目</w:t>
            </w:r>
            <w:r>
              <w:rPr>
                <w:rFonts w:ascii="宋体" w:hAnsi="宋体" w:cs="宋体"/>
              </w:rPr>
              <w:t xml:space="preserve">             </w:t>
            </w:r>
          </w:p>
          <w:p>
            <w:pPr>
              <w:jc w:val="left"/>
              <w:rPr>
                <w:rFonts w:ascii="宋体" w:hAnsi="宋体" w:cs="宋体"/>
              </w:rPr>
            </w:pPr>
            <w:r>
              <w:rPr>
                <w:rFonts w:ascii="宋体" w:hAnsi="宋体" w:cs="宋体" w:hint="eastAsia"/>
              </w:rPr>
              <w:t>□</w:t>
            </w:r>
            <w:r>
              <w:rPr>
                <w:rFonts w:ascii="宋体" w:hAnsi="宋体" w:cs="宋体" w:hint="eastAsia"/>
              </w:rPr>
              <w:t>不予批准后再次申报项目</w:t>
            </w:r>
          </w:p>
          <w:p>
            <w:pPr>
              <w:jc w:val="left"/>
              <w:rPr>
                <w:rFonts w:ascii="宋体" w:hAnsi="宋体" w:cs="宋体"/>
              </w:rPr>
            </w:pPr>
            <w:r>
              <w:rPr>
                <w:rFonts w:ascii="Wingdings 2" w:hAnsi="Wingdings 2" w:cs="宋体"/>
              </w:rPr>
              <w:sym w:font="Wingdings 2" w:char="F0A3"/>
            </w:r>
            <w:r>
              <w:rPr>
                <w:rFonts w:ascii="宋体" w:hAnsi="宋体" w:cs="宋体" w:hint="eastAsia"/>
              </w:rPr>
              <w:t>超五年重新审核项目</w:t>
            </w:r>
            <w:r>
              <w:rPr>
                <w:rFonts w:ascii="宋体" w:hAnsi="宋体" w:cs="宋体"/>
              </w:rPr>
              <w:t xml:space="preserve">     </w:t>
            </w:r>
          </w:p>
          <w:p>
            <w:pPr>
              <w:jc w:val="left"/>
              <w:rPr>
                <w:rFonts w:ascii="宋体" w:hAnsi="宋体" w:cs="宋体"/>
              </w:rPr>
            </w:pPr>
            <w:r>
              <w:rPr>
                <w:rFonts w:ascii="宋体" w:hAnsi="宋体" w:cs="宋体" w:hint="eastAsia"/>
              </w:rPr>
              <w:t>□</w:t>
            </w:r>
            <w:r>
              <w:rPr>
                <w:rFonts w:ascii="宋体" w:hAnsi="宋体" w:cs="宋体" w:hint="eastAsia"/>
              </w:rPr>
              <w:t>重大变动重新报批项目</w:t>
            </w:r>
          </w:p>
        </w:tc>
      </w:tr>
      <w:tr>
        <w:tblPrEx>
          <w:tblW w:w="8870" w:type="dxa"/>
          <w:jc w:val="center"/>
          <w:tblInd w:w="3" w:type="dxa"/>
          <w:tblCellMar>
            <w:top w:w="0" w:type="dxa"/>
            <w:left w:w="0" w:type="dxa"/>
            <w:bottom w:w="0" w:type="dxa"/>
            <w:right w:w="0" w:type="dxa"/>
          </w:tblCellMar>
          <w:tblLook w:val="0000"/>
        </w:tblPrEx>
        <w:trPr>
          <w:trHeight w:val="851"/>
          <w:jc w:val="center"/>
        </w:trPr>
        <w:tc>
          <w:tcPr>
            <w:tcW w:w="1998" w:type="dxa"/>
            <w:tcMar>
              <w:top w:w="16" w:type="dxa"/>
              <w:left w:w="16" w:type="dxa"/>
              <w:right w:w="16" w:type="dxa"/>
            </w:tcMar>
            <w:vAlign w:val="center"/>
          </w:tcPr>
          <w:p>
            <w:pPr>
              <w:adjustRightInd w:val="0"/>
              <w:snapToGrid w:val="0"/>
              <w:jc w:val="center"/>
              <w:rPr>
                <w:rFonts w:ascii="宋体" w:hAnsi="宋体" w:cs="宋体" w:hint="eastAsia"/>
              </w:rPr>
            </w:pPr>
            <w:r>
              <w:rPr>
                <w:rFonts w:ascii="宋体" w:hAnsi="宋体" w:cs="宋体" w:hint="eastAsia"/>
              </w:rPr>
              <w:t>项目审批（核准</w:t>
            </w:r>
            <w:r>
              <w:rPr>
                <w:rFonts w:ascii="宋体" w:hAnsi="宋体" w:cs="宋体"/>
              </w:rPr>
              <w:t>/</w:t>
            </w:r>
          </w:p>
          <w:p>
            <w:pPr>
              <w:adjustRightInd w:val="0"/>
              <w:snapToGrid w:val="0"/>
              <w:jc w:val="center"/>
              <w:rPr>
                <w:rFonts w:ascii="宋体" w:hAnsi="宋体" w:cs="宋体"/>
              </w:rPr>
            </w:pPr>
            <w:r>
              <w:rPr>
                <w:rFonts w:ascii="宋体" w:hAnsi="宋体" w:cs="宋体" w:hint="eastAsia"/>
              </w:rPr>
              <w:t>备案）部门（选填）</w:t>
            </w:r>
          </w:p>
        </w:tc>
        <w:tc>
          <w:tcPr>
            <w:tcW w:w="1984" w:type="dxa"/>
            <w:vAlign w:val="center"/>
          </w:tcPr>
          <w:p>
            <w:pPr>
              <w:adjustRightInd w:val="0"/>
              <w:snapToGrid w:val="0"/>
              <w:jc w:val="center"/>
            </w:pPr>
            <w:r>
              <w:rPr>
                <w:rFonts w:hint="eastAsia"/>
              </w:rPr>
              <w:t>澄城县发展和改革局</w:t>
            </w:r>
          </w:p>
        </w:tc>
        <w:tc>
          <w:tcPr>
            <w:tcW w:w="2127" w:type="dxa"/>
            <w:vAlign w:val="center"/>
          </w:tcPr>
          <w:p>
            <w:pPr>
              <w:adjustRightInd w:val="0"/>
              <w:snapToGrid w:val="0"/>
              <w:jc w:val="center"/>
              <w:rPr>
                <w:rFonts w:ascii="宋体" w:hAnsi="宋体" w:cs="宋体" w:hint="eastAsia"/>
              </w:rPr>
            </w:pPr>
            <w:r>
              <w:rPr>
                <w:rFonts w:ascii="宋体" w:hAnsi="宋体" w:cs="宋体" w:hint="eastAsia"/>
              </w:rPr>
              <w:t>项目审批（核准</w:t>
            </w:r>
            <w:r>
              <w:rPr>
                <w:rFonts w:ascii="宋体" w:hAnsi="宋体" w:cs="宋体"/>
              </w:rPr>
              <w:t>/</w:t>
            </w:r>
          </w:p>
          <w:p>
            <w:pPr>
              <w:adjustRightInd w:val="0"/>
              <w:snapToGrid w:val="0"/>
              <w:jc w:val="center"/>
              <w:rPr>
                <w:rFonts w:ascii="宋体" w:hAnsi="宋体" w:cs="宋体" w:hint="eastAsia"/>
              </w:rPr>
            </w:pPr>
            <w:r>
              <w:rPr>
                <w:rFonts w:ascii="宋体" w:hAnsi="宋体" w:cs="宋体" w:hint="eastAsia"/>
              </w:rPr>
              <w:t>备案）文号（选填）</w:t>
            </w:r>
          </w:p>
        </w:tc>
        <w:tc>
          <w:tcPr>
            <w:tcW w:w="2761" w:type="dxa"/>
            <w:vAlign w:val="center"/>
          </w:tcPr>
          <w:p>
            <w:pPr>
              <w:adjustRightInd w:val="0"/>
              <w:snapToGrid w:val="0"/>
              <w:jc w:val="center"/>
              <w:rPr>
                <w:rFonts w:hint="eastAsia"/>
              </w:rPr>
            </w:pPr>
            <w:r>
              <w:rPr>
                <w:rFonts w:hint="eastAsia"/>
              </w:rPr>
              <w:t>/</w:t>
            </w:r>
          </w:p>
        </w:tc>
      </w:tr>
      <w:tr>
        <w:tblPrEx>
          <w:tblW w:w="8870" w:type="dxa"/>
          <w:jc w:val="center"/>
          <w:tblInd w:w="3" w:type="dxa"/>
          <w:tblCellMar>
            <w:top w:w="0" w:type="dxa"/>
            <w:left w:w="0" w:type="dxa"/>
            <w:bottom w:w="0" w:type="dxa"/>
            <w:right w:w="0" w:type="dxa"/>
          </w:tblCellMar>
          <w:tblLook w:val="0000"/>
        </w:tblPrEx>
        <w:trPr>
          <w:trHeight w:val="497"/>
          <w:jc w:val="center"/>
        </w:trPr>
        <w:tc>
          <w:tcPr>
            <w:tcW w:w="1998" w:type="dxa"/>
            <w:tcMar>
              <w:top w:w="16" w:type="dxa"/>
              <w:left w:w="16" w:type="dxa"/>
              <w:right w:w="16" w:type="dxa"/>
            </w:tcMar>
            <w:vAlign w:val="center"/>
          </w:tcPr>
          <w:p>
            <w:pPr>
              <w:adjustRightInd w:val="0"/>
              <w:snapToGrid w:val="0"/>
              <w:jc w:val="center"/>
              <w:rPr>
                <w:rFonts w:ascii="宋体" w:hAnsi="宋体" w:cs="宋体"/>
                <w:color w:val="auto"/>
              </w:rPr>
            </w:pPr>
            <w:r>
              <w:rPr>
                <w:rFonts w:ascii="宋体" w:hAnsi="宋体" w:cs="宋体" w:hint="eastAsia"/>
                <w:color w:val="auto"/>
              </w:rPr>
              <w:t>总投资（万元）</w:t>
            </w:r>
          </w:p>
        </w:tc>
        <w:tc>
          <w:tcPr>
            <w:tcW w:w="1984" w:type="dxa"/>
            <w:vAlign w:val="center"/>
          </w:tcPr>
          <w:p>
            <w:pPr>
              <w:adjustRightInd w:val="0"/>
              <w:snapToGrid w:val="0"/>
              <w:jc w:val="center"/>
              <w:rPr>
                <w:color w:val="auto"/>
              </w:rPr>
            </w:pPr>
            <w:r>
              <w:rPr>
                <w:rFonts w:hint="eastAsia"/>
                <w:color w:val="auto"/>
              </w:rPr>
              <w:t>1500</w:t>
            </w:r>
          </w:p>
        </w:tc>
        <w:tc>
          <w:tcPr>
            <w:tcW w:w="2127" w:type="dxa"/>
            <w:tcMar>
              <w:top w:w="16" w:type="dxa"/>
              <w:left w:w="16" w:type="dxa"/>
              <w:right w:w="16" w:type="dxa"/>
            </w:tcMar>
            <w:vAlign w:val="center"/>
          </w:tcPr>
          <w:p>
            <w:pPr>
              <w:adjustRightInd w:val="0"/>
              <w:snapToGrid w:val="0"/>
              <w:jc w:val="center"/>
              <w:rPr>
                <w:rFonts w:ascii="宋体" w:hAnsi="宋体" w:cs="宋体"/>
                <w:color w:val="auto"/>
              </w:rPr>
            </w:pPr>
            <w:r>
              <w:rPr>
                <w:rFonts w:ascii="宋体" w:hAnsi="宋体" w:cs="宋体" w:hint="eastAsia"/>
                <w:color w:val="auto"/>
              </w:rPr>
              <w:t>环保投资（万元）</w:t>
            </w:r>
          </w:p>
        </w:tc>
        <w:tc>
          <w:tcPr>
            <w:tcW w:w="2761" w:type="dxa"/>
            <w:vAlign w:val="center"/>
          </w:tcPr>
          <w:p>
            <w:pPr>
              <w:adjustRightInd w:val="0"/>
              <w:snapToGrid w:val="0"/>
              <w:jc w:val="center"/>
              <w:rPr>
                <w:color w:val="auto"/>
              </w:rPr>
            </w:pPr>
            <w:r>
              <w:rPr>
                <w:color w:val="auto"/>
              </w:rPr>
              <w:t>33</w:t>
            </w:r>
          </w:p>
        </w:tc>
      </w:tr>
      <w:tr>
        <w:tblPrEx>
          <w:tblW w:w="8870" w:type="dxa"/>
          <w:jc w:val="center"/>
          <w:tblInd w:w="3" w:type="dxa"/>
          <w:tblCellMar>
            <w:top w:w="0" w:type="dxa"/>
            <w:left w:w="0" w:type="dxa"/>
            <w:bottom w:w="0" w:type="dxa"/>
            <w:right w:w="0" w:type="dxa"/>
          </w:tblCellMar>
          <w:tblLook w:val="0000"/>
        </w:tblPrEx>
        <w:trPr>
          <w:trHeight w:val="497"/>
          <w:jc w:val="center"/>
        </w:trPr>
        <w:tc>
          <w:tcPr>
            <w:tcW w:w="1998" w:type="dxa"/>
            <w:tcMar>
              <w:top w:w="16" w:type="dxa"/>
              <w:left w:w="16" w:type="dxa"/>
              <w:right w:w="16" w:type="dxa"/>
            </w:tcMar>
            <w:vAlign w:val="center"/>
          </w:tcPr>
          <w:p>
            <w:pPr>
              <w:adjustRightInd w:val="0"/>
              <w:snapToGrid w:val="0"/>
              <w:jc w:val="center"/>
              <w:rPr>
                <w:rFonts w:ascii="宋体" w:hAnsi="宋体" w:cs="宋体"/>
                <w:color w:val="auto"/>
              </w:rPr>
            </w:pPr>
            <w:r>
              <w:rPr>
                <w:rFonts w:ascii="宋体" w:hAnsi="宋体" w:cs="宋体" w:hint="eastAsia"/>
                <w:color w:val="auto"/>
              </w:rPr>
              <w:t>环保投资占比（</w:t>
            </w:r>
            <w:r>
              <w:rPr>
                <w:rFonts w:ascii="宋体" w:hAnsi="宋体" w:cs="宋体"/>
                <w:color w:val="auto"/>
              </w:rPr>
              <w:t>%</w:t>
            </w:r>
            <w:r>
              <w:rPr>
                <w:rFonts w:ascii="宋体" w:hAnsi="宋体" w:cs="宋体" w:hint="eastAsia"/>
                <w:color w:val="auto"/>
              </w:rPr>
              <w:t>）</w:t>
            </w:r>
          </w:p>
        </w:tc>
        <w:tc>
          <w:tcPr>
            <w:tcW w:w="1984" w:type="dxa"/>
            <w:vAlign w:val="center"/>
          </w:tcPr>
          <w:p>
            <w:pPr>
              <w:adjustRightInd w:val="0"/>
              <w:snapToGrid w:val="0"/>
              <w:jc w:val="center"/>
              <w:rPr>
                <w:color w:val="auto"/>
              </w:rPr>
            </w:pPr>
            <w:r>
              <w:rPr>
                <w:color w:val="auto"/>
              </w:rPr>
              <w:t>2.2</w:t>
            </w:r>
          </w:p>
        </w:tc>
        <w:tc>
          <w:tcPr>
            <w:tcW w:w="2127" w:type="dxa"/>
            <w:tcMar>
              <w:top w:w="16" w:type="dxa"/>
              <w:left w:w="16" w:type="dxa"/>
              <w:right w:w="16" w:type="dxa"/>
            </w:tcMar>
            <w:vAlign w:val="center"/>
          </w:tcPr>
          <w:p>
            <w:pPr>
              <w:adjustRightInd w:val="0"/>
              <w:snapToGrid w:val="0"/>
              <w:jc w:val="center"/>
              <w:rPr>
                <w:rFonts w:ascii="宋体" w:hAnsi="宋体" w:cs="宋体"/>
                <w:color w:val="auto"/>
              </w:rPr>
            </w:pPr>
            <w:r>
              <w:rPr>
                <w:rFonts w:ascii="宋体" w:hAnsi="宋体" w:cs="宋体" w:hint="eastAsia"/>
                <w:color w:val="auto"/>
              </w:rPr>
              <w:t>施工工期</w:t>
            </w:r>
          </w:p>
        </w:tc>
        <w:tc>
          <w:tcPr>
            <w:tcW w:w="2761" w:type="dxa"/>
            <w:vAlign w:val="center"/>
          </w:tcPr>
          <w:p>
            <w:pPr>
              <w:adjustRightInd w:val="0"/>
              <w:snapToGrid w:val="0"/>
              <w:jc w:val="center"/>
              <w:rPr>
                <w:color w:val="auto"/>
              </w:rPr>
            </w:pPr>
            <w:r>
              <w:rPr>
                <w:color w:val="auto"/>
              </w:rPr>
              <w:t>1</w:t>
            </w:r>
            <w:r>
              <w:rPr>
                <w:rFonts w:hint="eastAsia"/>
                <w:color w:val="auto"/>
              </w:rPr>
              <w:t>2</w:t>
            </w:r>
            <w:r>
              <w:rPr>
                <w:color w:val="auto"/>
              </w:rPr>
              <w:t>个月</w:t>
            </w:r>
          </w:p>
        </w:tc>
      </w:tr>
      <w:tr>
        <w:tblPrEx>
          <w:tblW w:w="8870" w:type="dxa"/>
          <w:jc w:val="center"/>
          <w:tblInd w:w="3" w:type="dxa"/>
          <w:tblCellMar>
            <w:top w:w="0" w:type="dxa"/>
            <w:left w:w="0" w:type="dxa"/>
            <w:bottom w:w="0" w:type="dxa"/>
            <w:right w:w="0" w:type="dxa"/>
          </w:tblCellMar>
          <w:tblLook w:val="0000"/>
        </w:tblPrEx>
        <w:trPr>
          <w:trHeight w:val="497"/>
          <w:jc w:val="center"/>
        </w:trPr>
        <w:tc>
          <w:tcPr>
            <w:tcW w:w="1998" w:type="dxa"/>
            <w:tcMar>
              <w:top w:w="16" w:type="dxa"/>
              <w:left w:w="16" w:type="dxa"/>
              <w:right w:w="16" w:type="dxa"/>
            </w:tcMar>
            <w:vAlign w:val="center"/>
          </w:tcPr>
          <w:p>
            <w:pPr>
              <w:adjustRightInd w:val="0"/>
              <w:snapToGrid w:val="0"/>
              <w:jc w:val="center"/>
              <w:rPr>
                <w:rFonts w:ascii="宋体" w:hAnsi="宋体" w:cs="宋体" w:hint="eastAsia"/>
              </w:rPr>
            </w:pPr>
            <w:r>
              <w:rPr>
                <w:rFonts w:ascii="宋体" w:hAnsi="宋体" w:cs="宋体" w:hint="eastAsia"/>
              </w:rPr>
              <w:t>是否开工建设</w:t>
            </w:r>
          </w:p>
        </w:tc>
        <w:tc>
          <w:tcPr>
            <w:tcW w:w="1984" w:type="dxa"/>
            <w:vAlign w:val="center"/>
          </w:tcPr>
          <w:p>
            <w:pPr>
              <w:adjustRightInd w:val="0"/>
              <w:snapToGrid w:val="0"/>
              <w:rPr>
                <w:rFonts w:ascii="宋体" w:hAnsi="宋体" w:cs="宋体"/>
              </w:rPr>
            </w:pPr>
            <w:r>
              <w:rPr>
                <w:rFonts w:ascii="Segoe UI Symbol" w:eastAsia="MS Mincho" w:hAnsi="Segoe UI Symbol" w:cs="Segoe UI Symbol"/>
                <w:sz w:val="24"/>
              </w:rPr>
              <w:t>☑</w:t>
            </w:r>
            <w:r>
              <w:rPr>
                <w:rFonts w:ascii="宋体" w:hAnsi="宋体" w:cs="宋体" w:hint="eastAsia"/>
              </w:rPr>
              <w:t>否</w:t>
            </w:r>
          </w:p>
          <w:p>
            <w:pPr>
              <w:adjustRightInd w:val="0"/>
              <w:snapToGrid w:val="0"/>
              <w:rPr>
                <w:rFonts w:ascii="宋体" w:hAnsi="宋体" w:cs="宋体"/>
              </w:rPr>
            </w:pPr>
            <w:r>
              <w:rPr>
                <w:rFonts w:ascii="宋体" w:hAnsi="宋体" w:cs="宋体" w:hint="eastAsia"/>
              </w:rPr>
              <w:t>□</w:t>
            </w:r>
            <w:r>
              <w:rPr>
                <w:rFonts w:ascii="宋体" w:hAnsi="宋体" w:cs="宋体" w:hint="eastAsia"/>
              </w:rPr>
              <w:t>是：</w:t>
            </w:r>
            <w:r>
              <w:rPr>
                <w:rFonts w:ascii="宋体" w:hAnsi="宋体" w:cs="宋体" w:hint="eastAsia"/>
                <w:u w:val="single"/>
              </w:rPr>
              <w:t xml:space="preserve">             </w:t>
            </w:r>
          </w:p>
        </w:tc>
        <w:tc>
          <w:tcPr>
            <w:tcW w:w="2127" w:type="dxa"/>
            <w:tcMar>
              <w:top w:w="16" w:type="dxa"/>
              <w:left w:w="16" w:type="dxa"/>
              <w:right w:w="16" w:type="dxa"/>
            </w:tcMar>
            <w:vAlign w:val="center"/>
          </w:tcPr>
          <w:p>
            <w:pPr>
              <w:adjustRightInd w:val="0"/>
              <w:snapToGrid w:val="0"/>
              <w:jc w:val="center"/>
              <w:rPr>
                <w:rFonts w:ascii="宋体" w:hAnsi="宋体" w:cs="宋体"/>
                <w:spacing w:val="-6"/>
              </w:rPr>
            </w:pPr>
            <w:r>
              <w:rPr>
                <w:rFonts w:ascii="宋体" w:hAnsi="宋体" w:cs="宋体" w:hint="eastAsia"/>
                <w:spacing w:val="-6"/>
              </w:rPr>
              <w:t>用地（用海）</w:t>
            </w:r>
          </w:p>
          <w:p>
            <w:pPr>
              <w:adjustRightInd w:val="0"/>
              <w:snapToGrid w:val="0"/>
              <w:jc w:val="center"/>
              <w:rPr>
                <w:rFonts w:ascii="宋体" w:hAnsi="宋体" w:cs="宋体" w:hint="eastAsia"/>
              </w:rPr>
            </w:pPr>
            <w:r>
              <w:rPr>
                <w:rFonts w:ascii="宋体" w:hAnsi="宋体" w:cs="宋体" w:hint="eastAsia"/>
                <w:spacing w:val="-6"/>
              </w:rPr>
              <w:t>面积（</w:t>
            </w:r>
            <w:r>
              <w:rPr>
                <w:rFonts w:ascii="宋体" w:hAnsi="宋体" w:cs="宋体"/>
                <w:spacing w:val="-6"/>
              </w:rPr>
              <w:t>m</w:t>
            </w:r>
            <w:r>
              <w:rPr>
                <w:rFonts w:ascii="宋体" w:hAnsi="宋体" w:cs="宋体"/>
                <w:spacing w:val="-6"/>
                <w:vertAlign w:val="superscript"/>
              </w:rPr>
              <w:t>2</w:t>
            </w:r>
            <w:r>
              <w:rPr>
                <w:rFonts w:ascii="宋体" w:hAnsi="宋体" w:cs="宋体" w:hint="eastAsia"/>
                <w:spacing w:val="-6"/>
              </w:rPr>
              <w:t>）</w:t>
            </w:r>
          </w:p>
        </w:tc>
        <w:tc>
          <w:tcPr>
            <w:tcW w:w="2761" w:type="dxa"/>
            <w:vAlign w:val="center"/>
          </w:tcPr>
          <w:p>
            <w:pPr>
              <w:adjustRightInd w:val="0"/>
              <w:snapToGrid w:val="0"/>
              <w:jc w:val="center"/>
            </w:pPr>
            <w:r>
              <w:rPr>
                <w:rFonts w:hint="eastAsia"/>
              </w:rPr>
              <w:t>5000</w:t>
            </w:r>
          </w:p>
        </w:tc>
      </w:tr>
      <w:tr>
        <w:tblPrEx>
          <w:tblW w:w="8870" w:type="dxa"/>
          <w:jc w:val="center"/>
          <w:tblInd w:w="3" w:type="dxa"/>
          <w:tblCellMar>
            <w:top w:w="0" w:type="dxa"/>
            <w:left w:w="108" w:type="dxa"/>
            <w:bottom w:w="0" w:type="dxa"/>
            <w:right w:w="108" w:type="dxa"/>
          </w:tblCellMar>
          <w:tblLook w:val="0000"/>
        </w:tblPrEx>
        <w:trPr>
          <w:trHeight w:val="964"/>
          <w:jc w:val="center"/>
        </w:trPr>
        <w:tc>
          <w:tcPr>
            <w:tcW w:w="1998" w:type="dxa"/>
            <w:vAlign w:val="center"/>
          </w:tcPr>
          <w:p>
            <w:pPr>
              <w:autoSpaceDE w:val="0"/>
              <w:autoSpaceDN w:val="0"/>
              <w:adjustRightInd w:val="0"/>
              <w:snapToGrid w:val="0"/>
              <w:jc w:val="center"/>
              <w:rPr>
                <w:rFonts w:ascii="宋体" w:hAnsi="宋体" w:cs="宋体"/>
                <w:kern w:val="0"/>
              </w:rPr>
            </w:pPr>
            <w:r>
              <w:rPr>
                <w:rFonts w:ascii="宋体" w:hAnsi="宋体" w:cs="宋体" w:hint="eastAsia"/>
                <w:kern w:val="0"/>
              </w:rPr>
              <w:t>专项评价设置情况</w:t>
            </w:r>
          </w:p>
        </w:tc>
        <w:tc>
          <w:tcPr>
            <w:tcW w:w="6872" w:type="dxa"/>
            <w:gridSpan w:val="3"/>
            <w:vAlign w:val="center"/>
          </w:tcPr>
          <w:p>
            <w:pPr>
              <w:autoSpaceDE w:val="0"/>
              <w:autoSpaceDN w:val="0"/>
              <w:adjustRightInd w:val="0"/>
              <w:snapToGrid w:val="0"/>
              <w:jc w:val="center"/>
              <w:rPr>
                <w:rFonts w:ascii="宋体" w:hAnsi="宋体" w:cs="宋体" w:hint="eastAsia"/>
                <w:kern w:val="0"/>
              </w:rPr>
            </w:pPr>
            <w:r>
              <w:rPr>
                <w:rFonts w:ascii="宋体" w:hAnsi="宋体" w:cs="宋体" w:hint="eastAsia"/>
                <w:kern w:val="0"/>
              </w:rPr>
              <w:t>无</w:t>
            </w:r>
          </w:p>
        </w:tc>
      </w:tr>
      <w:tr>
        <w:tblPrEx>
          <w:tblW w:w="8870" w:type="dxa"/>
          <w:jc w:val="center"/>
          <w:tblInd w:w="3" w:type="dxa"/>
          <w:tblCellMar>
            <w:top w:w="0" w:type="dxa"/>
            <w:left w:w="108" w:type="dxa"/>
            <w:bottom w:w="0" w:type="dxa"/>
            <w:right w:w="108" w:type="dxa"/>
          </w:tblCellMar>
          <w:tblLook w:val="0000"/>
        </w:tblPrEx>
        <w:trPr>
          <w:trHeight w:val="964"/>
          <w:jc w:val="center"/>
        </w:trPr>
        <w:tc>
          <w:tcPr>
            <w:tcW w:w="1998" w:type="dxa"/>
            <w:vAlign w:val="center"/>
          </w:tcPr>
          <w:p>
            <w:pPr>
              <w:autoSpaceDE w:val="0"/>
              <w:autoSpaceDN w:val="0"/>
              <w:adjustRightInd w:val="0"/>
              <w:snapToGrid w:val="0"/>
              <w:jc w:val="center"/>
              <w:rPr>
                <w:rFonts w:ascii="宋体" w:hAnsi="宋体" w:cs="宋体" w:hint="eastAsia"/>
                <w:kern w:val="0"/>
              </w:rPr>
            </w:pPr>
            <w:r>
              <w:rPr>
                <w:rFonts w:ascii="宋体" w:hAnsi="宋体" w:cs="宋体" w:hint="eastAsia"/>
              </w:rPr>
              <w:t>规划情况</w:t>
            </w:r>
          </w:p>
        </w:tc>
        <w:tc>
          <w:tcPr>
            <w:tcW w:w="6872" w:type="dxa"/>
            <w:gridSpan w:val="3"/>
            <w:vAlign w:val="center"/>
          </w:tcPr>
          <w:p>
            <w:pPr>
              <w:autoSpaceDE w:val="0"/>
              <w:autoSpaceDN w:val="0"/>
              <w:adjustRightInd w:val="0"/>
              <w:snapToGrid w:val="0"/>
              <w:spacing w:before="24" w:after="24"/>
              <w:rPr>
                <w:kern w:val="0"/>
                <w:sz w:val="24"/>
              </w:rPr>
            </w:pPr>
            <w:r>
              <w:rPr>
                <w:kern w:val="0"/>
                <w:sz w:val="24"/>
              </w:rPr>
              <w:t>规划名称：《陕西澄城经济技术开发区总体规划》（2018-2035</w:t>
            </w:r>
          </w:p>
          <w:p>
            <w:pPr>
              <w:autoSpaceDE w:val="0"/>
              <w:autoSpaceDN w:val="0"/>
              <w:adjustRightInd w:val="0"/>
              <w:snapToGrid w:val="0"/>
              <w:spacing w:before="24" w:after="24"/>
              <w:rPr>
                <w:kern w:val="0"/>
                <w:sz w:val="24"/>
              </w:rPr>
            </w:pPr>
            <w:r>
              <w:rPr>
                <w:kern w:val="0"/>
                <w:sz w:val="24"/>
              </w:rPr>
              <w:t>年）：</w:t>
            </w:r>
          </w:p>
          <w:p>
            <w:pPr>
              <w:autoSpaceDE w:val="0"/>
              <w:autoSpaceDN w:val="0"/>
              <w:adjustRightInd w:val="0"/>
              <w:snapToGrid w:val="0"/>
              <w:spacing w:before="24" w:after="24"/>
              <w:rPr>
                <w:kern w:val="0"/>
                <w:sz w:val="24"/>
              </w:rPr>
            </w:pPr>
            <w:r>
              <w:rPr>
                <w:kern w:val="0"/>
                <w:sz w:val="24"/>
              </w:rPr>
              <w:t>审批机关：澄城县人民政府：</w:t>
            </w:r>
          </w:p>
          <w:p>
            <w:pPr>
              <w:autoSpaceDE w:val="0"/>
              <w:autoSpaceDN w:val="0"/>
              <w:adjustRightInd w:val="0"/>
              <w:snapToGrid w:val="0"/>
              <w:spacing w:before="24" w:after="24"/>
              <w:rPr>
                <w:kern w:val="0"/>
                <w:sz w:val="24"/>
              </w:rPr>
            </w:pPr>
            <w:r>
              <w:rPr>
                <w:kern w:val="0"/>
                <w:sz w:val="24"/>
              </w:rPr>
              <w:t>审查文件名称及文号：《澄城县人民政府关于&lt;陕西（澄城）经济技术开发区总体规划(2018-2035)&gt;的批复》，澄政函[2018]98号</w:t>
            </w:r>
          </w:p>
        </w:tc>
      </w:tr>
      <w:tr>
        <w:tblPrEx>
          <w:tblW w:w="8870" w:type="dxa"/>
          <w:jc w:val="center"/>
          <w:tblInd w:w="3" w:type="dxa"/>
          <w:tblCellMar>
            <w:top w:w="0" w:type="dxa"/>
            <w:left w:w="108" w:type="dxa"/>
            <w:bottom w:w="0" w:type="dxa"/>
            <w:right w:w="108" w:type="dxa"/>
          </w:tblCellMar>
          <w:tblLook w:val="0000"/>
        </w:tblPrEx>
        <w:trPr>
          <w:trHeight w:val="964"/>
          <w:jc w:val="center"/>
        </w:trPr>
        <w:tc>
          <w:tcPr>
            <w:tcW w:w="1998" w:type="dxa"/>
            <w:vAlign w:val="center"/>
          </w:tcPr>
          <w:p>
            <w:pPr>
              <w:adjustRightInd w:val="0"/>
              <w:snapToGrid w:val="0"/>
              <w:jc w:val="center"/>
              <w:rPr>
                <w:rFonts w:ascii="宋体" w:hAnsi="宋体" w:cs="宋体"/>
              </w:rPr>
            </w:pPr>
            <w:r>
              <w:rPr>
                <w:rFonts w:ascii="宋体" w:hAnsi="宋体" w:cs="宋体" w:hint="eastAsia"/>
              </w:rPr>
              <w:t>规划环境影响</w:t>
            </w:r>
          </w:p>
          <w:p>
            <w:pPr>
              <w:adjustRightInd w:val="0"/>
              <w:snapToGrid w:val="0"/>
              <w:jc w:val="center"/>
              <w:rPr>
                <w:rFonts w:ascii="宋体" w:hAnsi="宋体" w:cs="宋体" w:hint="eastAsia"/>
                <w:kern w:val="0"/>
              </w:rPr>
            </w:pPr>
            <w:r>
              <w:rPr>
                <w:rFonts w:ascii="宋体" w:hAnsi="宋体" w:cs="宋体" w:hint="eastAsia"/>
              </w:rPr>
              <w:t>评价情况</w:t>
            </w:r>
          </w:p>
        </w:tc>
        <w:tc>
          <w:tcPr>
            <w:tcW w:w="6872" w:type="dxa"/>
            <w:gridSpan w:val="3"/>
            <w:vAlign w:val="center"/>
          </w:tcPr>
          <w:p>
            <w:pPr>
              <w:autoSpaceDE w:val="0"/>
              <w:autoSpaceDN w:val="0"/>
              <w:adjustRightInd w:val="0"/>
              <w:snapToGrid w:val="0"/>
              <w:spacing w:before="24" w:after="24"/>
              <w:rPr>
                <w:kern w:val="0"/>
                <w:sz w:val="24"/>
              </w:rPr>
            </w:pPr>
            <w:r>
              <w:rPr>
                <w:kern w:val="0"/>
                <w:sz w:val="24"/>
              </w:rPr>
              <w:t>文件名称：《陕西澄城经济技术开发区总体规划（2018-2035年）环境影响报告书》：</w:t>
            </w:r>
          </w:p>
          <w:p>
            <w:pPr>
              <w:autoSpaceDE w:val="0"/>
              <w:autoSpaceDN w:val="0"/>
              <w:adjustRightInd w:val="0"/>
              <w:snapToGrid w:val="0"/>
              <w:spacing w:before="24" w:after="24"/>
              <w:rPr>
                <w:kern w:val="0"/>
                <w:sz w:val="24"/>
              </w:rPr>
            </w:pPr>
            <w:r>
              <w:rPr>
                <w:kern w:val="0"/>
                <w:sz w:val="24"/>
              </w:rPr>
              <w:t>审查机关：陕西省生态环境厅；</w:t>
            </w:r>
          </w:p>
          <w:p>
            <w:pPr>
              <w:autoSpaceDE w:val="0"/>
              <w:autoSpaceDN w:val="0"/>
              <w:adjustRightInd w:val="0"/>
              <w:snapToGrid w:val="0"/>
              <w:spacing w:before="24" w:after="24"/>
              <w:rPr>
                <w:kern w:val="0"/>
                <w:sz w:val="24"/>
              </w:rPr>
            </w:pPr>
            <w:r>
              <w:rPr>
                <w:kern w:val="0"/>
                <w:sz w:val="24"/>
              </w:rPr>
              <w:t>审查文件名称及文号：《陕西省生态环境厅关于陕西澄城经济技术开发区总体规划(2018-2035)环境影响报告书审查意见的函》，陕环环评函[2019]88号</w:t>
            </w:r>
          </w:p>
        </w:tc>
      </w:tr>
    </w:tbl>
    <w:p>
      <w:pPr>
        <w:sectPr>
          <w:footerReference w:type="even" r:id="rId6"/>
          <w:footerReference w:type="default" r:id="rId7"/>
          <w:pgSz w:w="11906" w:h="16838"/>
          <w:pgMar w:top="1701" w:right="1531" w:bottom="1701" w:left="1531" w:header="851" w:footer="1077" w:gutter="0"/>
          <w:pgNumType w:start="1"/>
          <w:cols w:space="708"/>
          <w:docGrid w:linePitch="312"/>
        </w:sectPr>
      </w:pPr>
    </w:p>
    <w:tbl>
      <w:tblPr>
        <w:tblStyle w:val="TableNormal"/>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998"/>
        <w:gridCol w:w="6872"/>
      </w:tblGrid>
      <w:tr>
        <w:tblPrEx>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64"/>
          <w:jc w:val="center"/>
        </w:trPr>
        <w:tc>
          <w:tcPr>
            <w:tcW w:w="1998" w:type="dxa"/>
            <w:vAlign w:val="center"/>
          </w:tcPr>
          <w:p>
            <w:pPr>
              <w:autoSpaceDE w:val="0"/>
              <w:autoSpaceDN w:val="0"/>
              <w:adjustRightInd w:val="0"/>
              <w:snapToGrid w:val="0"/>
              <w:jc w:val="center"/>
              <w:rPr>
                <w:rFonts w:ascii="宋体" w:hAnsi="宋体" w:cs="宋体"/>
                <w:kern w:val="0"/>
              </w:rPr>
            </w:pPr>
            <w:r>
              <w:rPr>
                <w:rFonts w:ascii="宋体" w:hAnsi="宋体" w:cs="宋体" w:hint="eastAsia"/>
                <w:kern w:val="0"/>
              </w:rPr>
              <w:t>规划及规划环境影响评价符合性分析</w:t>
            </w:r>
          </w:p>
        </w:tc>
        <w:tc>
          <w:tcPr>
            <w:tcW w:w="6872" w:type="dxa"/>
            <w:vAlign w:val="center"/>
          </w:tcPr>
          <w:p>
            <w:pPr>
              <w:pStyle w:val="a20"/>
              <w:ind w:firstLine="480"/>
            </w:pPr>
            <w:r>
              <w:rPr>
                <w:rFonts w:hint="eastAsia"/>
              </w:rPr>
              <w:t>陕西（</w:t>
            </w:r>
            <w:r>
              <w:t>澄城）经济技术开发区是在原澄城工业园和韦庄工业集中区（陕西省农业产业化示范园）建设基础上合并成立的经济技术开发区。于2018年由西安建大城市规划设计研究院修编完成了《陕西（澄城）经济技术开发区总体规划（2018-2035）》。本项目与《陕西（澄城）经济技术开发区总体规划（2018-2035）》符合性见下表。</w:t>
            </w:r>
          </w:p>
          <w:p>
            <w:pPr>
              <w:pStyle w:val="0"/>
              <w:rPr>
                <w:rFonts w:hint="eastAsia"/>
              </w:rPr>
            </w:pPr>
            <w:r>
              <w:t>表1-1  本项目与《陕西（澄城）经济技术开发区总体规划（2018-203</w:t>
            </w:r>
            <w:r>
              <w:rPr>
                <w:rFonts w:hint="eastAsia"/>
              </w:rPr>
              <w:t>5）》符合性分析</w:t>
            </w:r>
          </w:p>
          <w:tbl>
            <w:tblPr>
              <w:tblStyle w:val="TableNormal"/>
              <w:tblW w:w="4998" w:type="pct"/>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51" w:type="dxa"/>
                <w:bottom w:w="0" w:type="dxa"/>
                <w:right w:w="51" w:type="dxa"/>
              </w:tblCellMar>
              <w:tblLook w:val="0000"/>
            </w:tblPr>
            <w:tblGrid>
              <w:gridCol w:w="3316"/>
              <w:gridCol w:w="2697"/>
              <w:gridCol w:w="630"/>
            </w:tblGrid>
            <w:tr>
              <w:tblPrEx>
                <w:tblW w:w="4998" w:type="pct"/>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51" w:type="dxa"/>
                  <w:bottom w:w="0" w:type="dxa"/>
                  <w:right w:w="51" w:type="dxa"/>
                </w:tblCellMar>
                <w:tblLook w:val="0000"/>
              </w:tblPrEx>
              <w:trPr>
                <w:trHeight w:val="397"/>
                <w:jc w:val="center"/>
              </w:trPr>
              <w:tc>
                <w:tcPr>
                  <w:tcW w:w="2496" w:type="pct"/>
                  <w:vAlign w:val="center"/>
                </w:tcPr>
                <w:p>
                  <w:pPr>
                    <w:autoSpaceDE w:val="0"/>
                    <w:autoSpaceDN w:val="0"/>
                    <w:adjustRightInd w:val="0"/>
                    <w:snapToGrid w:val="0"/>
                    <w:jc w:val="center"/>
                  </w:pPr>
                  <w:r>
                    <w:rPr>
                      <w:rFonts w:hint="eastAsia"/>
                      <w:bCs/>
                    </w:rPr>
                    <w:t>规划</w:t>
                  </w:r>
                  <w:r>
                    <w:rPr>
                      <w:bCs/>
                    </w:rPr>
                    <w:t>内容</w:t>
                  </w:r>
                </w:p>
              </w:tc>
              <w:tc>
                <w:tcPr>
                  <w:tcW w:w="2030" w:type="pct"/>
                  <w:vAlign w:val="center"/>
                </w:tcPr>
                <w:p>
                  <w:pPr>
                    <w:autoSpaceDE w:val="0"/>
                    <w:autoSpaceDN w:val="0"/>
                    <w:adjustRightInd w:val="0"/>
                    <w:snapToGrid w:val="0"/>
                    <w:jc w:val="center"/>
                  </w:pPr>
                  <w:r>
                    <w:rPr>
                      <w:rFonts w:hint="eastAsia"/>
                      <w:bCs/>
                    </w:rPr>
                    <w:t>本项目内容</w:t>
                  </w:r>
                </w:p>
              </w:tc>
              <w:tc>
                <w:tcPr>
                  <w:tcW w:w="474" w:type="pct"/>
                  <w:vAlign w:val="center"/>
                </w:tcPr>
                <w:p>
                  <w:pPr>
                    <w:autoSpaceDE w:val="0"/>
                    <w:autoSpaceDN w:val="0"/>
                    <w:adjustRightInd w:val="0"/>
                    <w:snapToGrid w:val="0"/>
                    <w:ind w:left="-105" w:right="-105" w:leftChars="-50" w:rightChars="-50"/>
                    <w:jc w:val="center"/>
                    <w:rPr>
                      <w:rFonts w:hint="eastAsia"/>
                    </w:rPr>
                  </w:pPr>
                  <w:r>
                    <w:rPr>
                      <w:rFonts w:hint="eastAsia"/>
                    </w:rPr>
                    <w:t>符合性</w:t>
                  </w:r>
                </w:p>
              </w:tc>
            </w:tr>
            <w:tr>
              <w:tblPrEx>
                <w:tblW w:w="4998" w:type="pct"/>
                <w:jc w:val="center"/>
                <w:tblInd w:w="57" w:type="dxa"/>
                <w:tblCellMar>
                  <w:top w:w="0" w:type="dxa"/>
                  <w:left w:w="51" w:type="dxa"/>
                  <w:bottom w:w="0" w:type="dxa"/>
                  <w:right w:w="51" w:type="dxa"/>
                </w:tblCellMar>
                <w:tblLook w:val="0000"/>
              </w:tblPrEx>
              <w:trPr>
                <w:trHeight w:val="397"/>
                <w:jc w:val="center"/>
              </w:trPr>
              <w:tc>
                <w:tcPr>
                  <w:tcW w:w="2496" w:type="pct"/>
                  <w:vAlign w:val="center"/>
                </w:tcPr>
                <w:p>
                  <w:pPr>
                    <w:adjustRightInd w:val="0"/>
                    <w:snapToGrid w:val="0"/>
                    <w:rPr>
                      <w:bCs/>
                    </w:rPr>
                  </w:pPr>
                  <w:r>
                    <w:rPr>
                      <w:rFonts w:hint="eastAsia"/>
                    </w:rPr>
                    <w:t>经开区总体规划按照</w:t>
                  </w:r>
                  <w:r>
                    <w:rPr>
                      <w:rFonts w:hint="eastAsia"/>
                    </w:rPr>
                    <w:t>“</w:t>
                  </w:r>
                  <w:r>
                    <w:rPr>
                      <w:rFonts w:hint="eastAsia"/>
                    </w:rPr>
                    <w:t>一区两板块</w:t>
                  </w:r>
                  <w:r>
                    <w:rPr>
                      <w:rFonts w:hint="eastAsia"/>
                    </w:rPr>
                    <w:t>”</w:t>
                  </w:r>
                  <w:r>
                    <w:rPr>
                      <w:rFonts w:hint="eastAsia"/>
                    </w:rPr>
                    <w:t>的基本规划结构，</w:t>
                  </w:r>
                  <w:r>
                    <w:rPr>
                      <w:rFonts w:hint="eastAsia"/>
                    </w:rPr>
                    <w:t>“</w:t>
                  </w:r>
                  <w:r>
                    <w:rPr>
                      <w:rFonts w:hint="eastAsia"/>
                    </w:rPr>
                    <w:t>一区</w:t>
                  </w:r>
                  <w:r>
                    <w:rPr>
                      <w:rFonts w:hint="eastAsia"/>
                    </w:rPr>
                    <w:t>”</w:t>
                  </w:r>
                  <w:r>
                    <w:rPr>
                      <w:rFonts w:hint="eastAsia"/>
                    </w:rPr>
                    <w:t>即陕西（澄城）经济技术开发区，</w:t>
                  </w:r>
                  <w:r>
                    <w:rPr>
                      <w:rFonts w:hint="eastAsia"/>
                    </w:rPr>
                    <w:t>“</w:t>
                  </w:r>
                  <w:r>
                    <w:rPr>
                      <w:rFonts w:hint="eastAsia"/>
                    </w:rPr>
                    <w:t>两板块</w:t>
                  </w:r>
                  <w:r>
                    <w:rPr>
                      <w:rFonts w:hint="eastAsia"/>
                    </w:rPr>
                    <w:t>”</w:t>
                  </w:r>
                  <w:r>
                    <w:rPr>
                      <w:rFonts w:hint="eastAsia"/>
                    </w:rPr>
                    <w:t>即澄城韦庄工业集中区板块和澄城双创示范基地板块（原工业园区范围）。</w:t>
                  </w:r>
                </w:p>
              </w:tc>
              <w:tc>
                <w:tcPr>
                  <w:tcW w:w="2030" w:type="pct"/>
                  <w:vAlign w:val="center"/>
                </w:tcPr>
                <w:p>
                  <w:pPr>
                    <w:autoSpaceDE w:val="0"/>
                    <w:autoSpaceDN w:val="0"/>
                    <w:adjustRightInd w:val="0"/>
                    <w:snapToGrid w:val="0"/>
                  </w:pPr>
                  <w:r>
                    <w:rPr>
                      <w:bCs/>
                    </w:rPr>
                    <w:t>本项目位于澄城县经开区，租赁已建成的空置厂房</w:t>
                  </w:r>
                  <w:r>
                    <w:rPr>
                      <w:rFonts w:hint="eastAsia"/>
                      <w:bCs/>
                    </w:rPr>
                    <w:t>，根据陕西澄城经济技术开发区总体规划（2018-2035）远景土地使用规划图，本项目</w:t>
                  </w:r>
                  <w:r>
                    <w:rPr>
                      <w:kern w:val="0"/>
                      <w:lang w:bidi="ar"/>
                    </w:rPr>
                    <w:t>用地性质为</w:t>
                  </w:r>
                  <w:r>
                    <w:rPr>
                      <w:rFonts w:hint="eastAsia"/>
                      <w:kern w:val="0"/>
                      <w:lang w:bidi="ar"/>
                    </w:rPr>
                    <w:t>二类</w:t>
                  </w:r>
                  <w:r>
                    <w:rPr>
                      <w:kern w:val="0"/>
                      <w:lang w:bidi="ar"/>
                    </w:rPr>
                    <w:t>工业用地</w:t>
                  </w:r>
                  <w:r>
                    <w:rPr>
                      <w:bCs/>
                    </w:rPr>
                    <w:t>，属于</w:t>
                  </w:r>
                  <w:r>
                    <w:t>澄城韦庄工业集中区板块，</w:t>
                  </w:r>
                  <w:r>
                    <w:rPr>
                      <w:bCs/>
                    </w:rPr>
                    <w:t>在规划范围内</w:t>
                  </w:r>
                  <w:r>
                    <w:rPr>
                      <w:rFonts w:ascii="宋体" w:hAnsi="宋体" w:hint="eastAsia"/>
                    </w:rPr>
                    <w:t>（见附图</w:t>
                  </w:r>
                  <w:r>
                    <w:t>2</w:t>
                  </w:r>
                  <w:r>
                    <w:rPr>
                      <w:rFonts w:ascii="宋体" w:hAnsi="宋体" w:hint="eastAsia"/>
                    </w:rPr>
                    <w:t>）。</w:t>
                  </w:r>
                </w:p>
              </w:tc>
              <w:tc>
                <w:tcPr>
                  <w:tcW w:w="474" w:type="pct"/>
                  <w:vAlign w:val="center"/>
                </w:tcPr>
                <w:p>
                  <w:pPr>
                    <w:autoSpaceDE w:val="0"/>
                    <w:autoSpaceDN w:val="0"/>
                    <w:adjustRightInd w:val="0"/>
                    <w:snapToGrid w:val="0"/>
                    <w:jc w:val="center"/>
                    <w:rPr>
                      <w:rFonts w:hint="eastAsia"/>
                    </w:rPr>
                  </w:pPr>
                  <w:r>
                    <w:rPr>
                      <w:rFonts w:hint="eastAsia"/>
                    </w:rPr>
                    <w:t>符合</w:t>
                  </w:r>
                </w:p>
              </w:tc>
            </w:tr>
            <w:tr>
              <w:tblPrEx>
                <w:tblW w:w="4998" w:type="pct"/>
                <w:jc w:val="center"/>
                <w:tblInd w:w="57" w:type="dxa"/>
                <w:tblCellMar>
                  <w:top w:w="0" w:type="dxa"/>
                  <w:left w:w="51" w:type="dxa"/>
                  <w:bottom w:w="0" w:type="dxa"/>
                  <w:right w:w="51" w:type="dxa"/>
                </w:tblCellMar>
                <w:tblLook w:val="0000"/>
              </w:tblPrEx>
              <w:trPr>
                <w:trHeight w:val="397"/>
                <w:jc w:val="center"/>
              </w:trPr>
              <w:tc>
                <w:tcPr>
                  <w:tcW w:w="2496" w:type="pct"/>
                  <w:vAlign w:val="center"/>
                </w:tcPr>
                <w:p>
                  <w:pPr>
                    <w:adjustRightInd w:val="0"/>
                    <w:snapToGrid w:val="0"/>
                    <w:rPr>
                      <w:rFonts w:hint="eastAsia"/>
                      <w:bCs/>
                    </w:rPr>
                  </w:pPr>
                  <w:r>
                    <w:rPr>
                      <w:rFonts w:hint="eastAsia"/>
                      <w:bCs/>
                    </w:rPr>
                    <w:t>产业结构：</w:t>
                  </w:r>
                  <w:r>
                    <w:rPr>
                      <w:rFonts w:hint="eastAsia"/>
                      <w:bCs/>
                    </w:rPr>
                    <w:t>“</w:t>
                  </w:r>
                  <w:r>
                    <w:rPr>
                      <w:rFonts w:hint="eastAsia"/>
                      <w:bCs/>
                    </w:rPr>
                    <w:t>一园两区</w:t>
                  </w:r>
                  <w:r>
                    <w:rPr>
                      <w:rFonts w:hint="eastAsia"/>
                      <w:bCs/>
                    </w:rPr>
                    <w:t>”</w:t>
                  </w:r>
                  <w:r>
                    <w:rPr>
                      <w:rFonts w:hint="eastAsia"/>
                      <w:bCs/>
                    </w:rPr>
                    <w:t>，即北部产城融合示范园，具体包括三大工业板块分别为：新材料及装备制造板块、氢能制造板块、生物医药板块；三大服务板块分别为：现代物流板块、科研孵化板块和中央商务板块；南部工业集中承载园，具体包括三大板块：光伏及清洁能源板块、涉农加工板块以及镇区综合服务板块。</w:t>
                  </w:r>
                </w:p>
              </w:tc>
              <w:tc>
                <w:tcPr>
                  <w:tcW w:w="2030" w:type="pct"/>
                  <w:vAlign w:val="center"/>
                </w:tcPr>
                <w:p>
                  <w:pPr>
                    <w:autoSpaceDE w:val="0"/>
                    <w:autoSpaceDN w:val="0"/>
                    <w:adjustRightInd w:val="0"/>
                    <w:snapToGrid w:val="0"/>
                    <w:rPr>
                      <w:kern w:val="0"/>
                      <w:lang w:bidi="ar"/>
                    </w:rPr>
                  </w:pPr>
                  <w:r>
                    <w:rPr>
                      <w:kern w:val="0"/>
                      <w:lang w:bidi="ar"/>
                    </w:rPr>
                    <w:t>本项目位于</w:t>
                  </w:r>
                  <w:r>
                    <w:rPr>
                      <w:bCs/>
                    </w:rPr>
                    <w:t>南部工业集中承载园，为涂料制造项目，与镇区综合服务板块相符，且</w:t>
                  </w:r>
                  <w:r>
                    <w:rPr>
                      <w:kern w:val="0"/>
                      <w:lang w:bidi="ar"/>
                    </w:rPr>
                    <w:t>取得陕西（澄城）经济技术开发区管理委员会关于《澄城县年产3000吨水性涂料生产线建设项目申请入园的批复》（澄政经开发[2021]42号（见附件3）</w:t>
                  </w:r>
                </w:p>
              </w:tc>
              <w:tc>
                <w:tcPr>
                  <w:tcW w:w="474" w:type="pct"/>
                  <w:vAlign w:val="center"/>
                </w:tcPr>
                <w:p>
                  <w:pPr>
                    <w:autoSpaceDE w:val="0"/>
                    <w:autoSpaceDN w:val="0"/>
                    <w:adjustRightInd w:val="0"/>
                    <w:snapToGrid w:val="0"/>
                    <w:jc w:val="center"/>
                    <w:rPr>
                      <w:rFonts w:hint="eastAsia"/>
                    </w:rPr>
                  </w:pPr>
                  <w:r>
                    <w:rPr>
                      <w:rFonts w:hint="eastAsia"/>
                    </w:rPr>
                    <w:t>符合</w:t>
                  </w:r>
                </w:p>
              </w:tc>
            </w:tr>
          </w:tbl>
          <w:p>
            <w:pPr>
              <w:pStyle w:val="a20"/>
              <w:spacing w:before="120" w:beforeLines="50"/>
              <w:ind w:firstLine="480"/>
              <w:rPr>
                <w:rFonts w:hint="eastAsia"/>
              </w:rPr>
            </w:pPr>
            <w:r>
              <w:rPr>
                <w:rFonts w:hint="eastAsia"/>
              </w:rPr>
              <w:t>《陕西（澄城）经济技术开发区总体规划环境影响报告书》于2</w:t>
            </w:r>
            <w:r>
              <w:t>019</w:t>
            </w:r>
            <w:r>
              <w:rPr>
                <w:rFonts w:hint="eastAsia"/>
              </w:rPr>
              <w:t>年8月2</w:t>
            </w:r>
            <w:r>
              <w:t>2</w:t>
            </w:r>
            <w:r>
              <w:rPr>
                <w:rFonts w:hint="eastAsia"/>
              </w:rPr>
              <w:t>日取得陕西省生态环境厅关于陕西澄城经济技术开发区总体规划环境影响报告书审查意见的函（陕环环评函[</w:t>
            </w:r>
            <w:r>
              <w:t>2019]88</w:t>
            </w:r>
            <w:r>
              <w:rPr>
                <w:rFonts w:hint="eastAsia"/>
              </w:rPr>
              <w:t>号），本项目与《陕西（澄城）经济技术开发区总体规划环境影响报告书》符合性见下表。</w:t>
            </w:r>
          </w:p>
          <w:p>
            <w:pPr>
              <w:pStyle w:val="0"/>
              <w:rPr>
                <w:rFonts w:hint="eastAsia"/>
              </w:rPr>
            </w:pPr>
            <w:r>
              <w:rPr>
                <w:rFonts w:ascii="宋体" w:cs="宋体" w:hint="eastAsia"/>
              </w:rPr>
              <w:t>表1</w:t>
            </w:r>
            <w:r>
              <w:rPr>
                <w:rFonts w:hint="eastAsia"/>
              </w:rPr>
              <w:t>-2</w:t>
            </w:r>
            <w:r>
              <w:t xml:space="preserve"> </w:t>
            </w:r>
            <w:r>
              <w:rPr>
                <w:rFonts w:hint="eastAsia"/>
              </w:rPr>
              <w:t xml:space="preserve"> 本项目与《陕西（澄城）经济技术开发区总体规划环境影响报告书》及审查意见符合性分析</w:t>
            </w:r>
          </w:p>
          <w:tbl>
            <w:tblPr>
              <w:tblStyle w:val="TableNormal"/>
              <w:tblW w:w="4999" w:type="pct"/>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51" w:type="dxa"/>
                <w:bottom w:w="0" w:type="dxa"/>
                <w:right w:w="51" w:type="dxa"/>
              </w:tblCellMar>
              <w:tblLook w:val="0000"/>
            </w:tblPr>
            <w:tblGrid>
              <w:gridCol w:w="4079"/>
              <w:gridCol w:w="1936"/>
              <w:gridCol w:w="630"/>
            </w:tblGrid>
            <w:tr>
              <w:tblPrEx>
                <w:tblW w:w="4999" w:type="pct"/>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51" w:type="dxa"/>
                  <w:bottom w:w="0" w:type="dxa"/>
                  <w:right w:w="51" w:type="dxa"/>
                </w:tblCellMar>
                <w:tblLook w:val="0000"/>
              </w:tblPrEx>
              <w:trPr>
                <w:trHeight w:val="454"/>
                <w:jc w:val="center"/>
              </w:trPr>
              <w:tc>
                <w:tcPr>
                  <w:tcW w:w="3069" w:type="pct"/>
                  <w:vAlign w:val="center"/>
                </w:tcPr>
                <w:p>
                  <w:pPr>
                    <w:autoSpaceDE w:val="0"/>
                    <w:autoSpaceDN w:val="0"/>
                    <w:adjustRightInd w:val="0"/>
                    <w:snapToGrid w:val="0"/>
                    <w:jc w:val="center"/>
                  </w:pPr>
                  <w:r>
                    <w:rPr>
                      <w:rFonts w:hint="eastAsia"/>
                      <w:bCs/>
                    </w:rPr>
                    <w:t>规划环评及审查意见</w:t>
                  </w:r>
                  <w:r>
                    <w:rPr>
                      <w:bCs/>
                    </w:rPr>
                    <w:t>内容</w:t>
                  </w:r>
                </w:p>
              </w:tc>
              <w:tc>
                <w:tcPr>
                  <w:tcW w:w="1457" w:type="pct"/>
                  <w:vAlign w:val="center"/>
                </w:tcPr>
                <w:p>
                  <w:pPr>
                    <w:autoSpaceDE w:val="0"/>
                    <w:autoSpaceDN w:val="0"/>
                    <w:adjustRightInd w:val="0"/>
                    <w:snapToGrid w:val="0"/>
                    <w:jc w:val="center"/>
                  </w:pPr>
                  <w:r>
                    <w:rPr>
                      <w:rFonts w:hint="eastAsia"/>
                      <w:bCs/>
                    </w:rPr>
                    <w:t>本项目内容</w:t>
                  </w:r>
                </w:p>
              </w:tc>
              <w:tc>
                <w:tcPr>
                  <w:tcW w:w="474" w:type="pct"/>
                  <w:vAlign w:val="center"/>
                </w:tcPr>
                <w:p>
                  <w:pPr>
                    <w:autoSpaceDE w:val="0"/>
                    <w:autoSpaceDN w:val="0"/>
                    <w:adjustRightInd w:val="0"/>
                    <w:snapToGrid w:val="0"/>
                    <w:ind w:left="-105" w:right="-105" w:leftChars="-50" w:rightChars="-50"/>
                    <w:jc w:val="center"/>
                    <w:rPr>
                      <w:rFonts w:hint="eastAsia"/>
                    </w:rPr>
                  </w:pPr>
                  <w:r>
                    <w:rPr>
                      <w:rFonts w:hint="eastAsia"/>
                    </w:rPr>
                    <w:t>符合性</w:t>
                  </w:r>
                </w:p>
              </w:tc>
            </w:tr>
            <w:tr>
              <w:tblPrEx>
                <w:tblW w:w="4999" w:type="pct"/>
                <w:jc w:val="center"/>
                <w:tblInd w:w="56" w:type="dxa"/>
                <w:tblCellMar>
                  <w:top w:w="0" w:type="dxa"/>
                  <w:left w:w="51" w:type="dxa"/>
                  <w:bottom w:w="0" w:type="dxa"/>
                  <w:right w:w="51" w:type="dxa"/>
                </w:tblCellMar>
                <w:tblLook w:val="0000"/>
              </w:tblPrEx>
              <w:trPr>
                <w:trHeight w:val="454"/>
                <w:jc w:val="center"/>
              </w:trPr>
              <w:tc>
                <w:tcPr>
                  <w:tcW w:w="3069" w:type="pct"/>
                  <w:vAlign w:val="center"/>
                </w:tcPr>
                <w:p>
                  <w:pPr>
                    <w:tabs>
                      <w:tab w:val="left" w:pos="924"/>
                    </w:tabs>
                    <w:adjustRightInd w:val="0"/>
                    <w:snapToGrid w:val="0"/>
                    <w:spacing w:after="0"/>
                    <w:rPr>
                      <w:rFonts w:hint="eastAsia"/>
                      <w:bCs/>
                    </w:rPr>
                  </w:pPr>
                  <w:r>
                    <w:rPr>
                      <w:rFonts w:hint="eastAsia"/>
                      <w:bCs/>
                    </w:rPr>
                    <w:t>规划范围：开发区以</w:t>
                  </w:r>
                  <w:r>
                    <w:rPr>
                      <w:rFonts w:hint="eastAsia"/>
                      <w:bCs/>
                    </w:rPr>
                    <w:t>“</w:t>
                  </w:r>
                  <w:r>
                    <w:rPr>
                      <w:rFonts w:hint="eastAsia"/>
                      <w:bCs/>
                    </w:rPr>
                    <w:t>一区两园</w:t>
                  </w:r>
                  <w:r>
                    <w:rPr>
                      <w:rFonts w:hint="eastAsia"/>
                      <w:bCs/>
                    </w:rPr>
                    <w:t>”</w:t>
                  </w:r>
                </w:p>
              </w:tc>
              <w:tc>
                <w:tcPr>
                  <w:tcW w:w="1457" w:type="pct"/>
                  <w:vAlign w:val="center"/>
                </w:tcPr>
                <w:p>
                  <w:pPr>
                    <w:autoSpaceDE w:val="0"/>
                    <w:autoSpaceDN w:val="0"/>
                    <w:adjustRightInd w:val="0"/>
                    <w:snapToGrid w:val="0"/>
                    <w:spacing w:after="0"/>
                  </w:pPr>
                  <w:r>
                    <w:rPr>
                      <w:bCs/>
                    </w:rPr>
                    <w:t>本项目</w:t>
                  </w:r>
                  <w:r>
                    <w:rPr>
                      <w:rFonts w:hint="eastAsia"/>
                      <w:bCs/>
                    </w:rPr>
                    <w:t>位于澄城县经开区</w:t>
                  </w:r>
                  <w:r>
                    <w:rPr>
                      <w:bCs/>
                    </w:rPr>
                    <w:t>，</w:t>
                  </w:r>
                  <w:r>
                    <w:rPr>
                      <w:rFonts w:ascii="宋体" w:hAnsi="宋体" w:cs="宋体" w:hint="eastAsia"/>
                      <w:kern w:val="0"/>
                      <w:lang w:bidi="ar"/>
                    </w:rPr>
                    <w:t>厂房为租赁开发区个人已建成的空置厂</w:t>
                  </w:r>
                </w:p>
              </w:tc>
              <w:tc>
                <w:tcPr>
                  <w:tcW w:w="474" w:type="pct"/>
                  <w:vAlign w:val="center"/>
                </w:tcPr>
                <w:p>
                  <w:pPr>
                    <w:autoSpaceDE w:val="0"/>
                    <w:autoSpaceDN w:val="0"/>
                    <w:adjustRightInd w:val="0"/>
                    <w:snapToGrid w:val="0"/>
                    <w:jc w:val="center"/>
                    <w:rPr>
                      <w:rFonts w:hint="eastAsia"/>
                    </w:rPr>
                  </w:pPr>
                  <w:r>
                    <w:rPr>
                      <w:rFonts w:hint="eastAsia"/>
                    </w:rPr>
                    <w:t>符合</w:t>
                  </w:r>
                </w:p>
              </w:tc>
            </w:tr>
          </w:tbl>
          <w:p/>
        </w:tc>
      </w:tr>
    </w:tbl>
    <w:p>
      <w:pPr>
        <w:sectPr>
          <w:footerReference w:type="even" r:id="rId8"/>
          <w:footerReference w:type="default" r:id="rId9"/>
          <w:type w:val="nextPage"/>
          <w:pgSz w:w="11906" w:h="16838"/>
          <w:pgMar w:top="1701" w:right="1531" w:bottom="1701" w:left="1531" w:header="851" w:footer="1077" w:gutter="0"/>
          <w:pgNumType w:start="2"/>
          <w:cols w:space="708"/>
          <w:titlePg w:val="0"/>
          <w:docGrid w:linePitch="312"/>
        </w:sectPr>
      </w:pPr>
    </w:p>
    <w:tbl>
      <w:tblPr>
        <w:tblStyle w:val="TableNormal"/>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998"/>
        <w:gridCol w:w="6872"/>
      </w:tblGrid>
      <w:tr>
        <w:tblPrEx>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64"/>
          <w:jc w:val="center"/>
        </w:trPr>
        <w:tc>
          <w:tcPr>
            <w:tcW w:w="1998" w:type="dxa"/>
            <w:vAlign w:val="center"/>
          </w:tcPr>
          <w:p/>
        </w:tc>
        <w:tc>
          <w:tcPr>
            <w:tcW w:w="6872" w:type="dxa"/>
            <w:vAlign w:val="center"/>
          </w:tcPr>
          <w:tbl>
            <w:tblPr>
              <w:tblStyle w:val="TableNormal"/>
              <w:tblW w:w="4999" w:type="pct"/>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51" w:type="dxa"/>
                <w:bottom w:w="0" w:type="dxa"/>
                <w:right w:w="51" w:type="dxa"/>
              </w:tblCellMar>
              <w:tblLook w:val="0000"/>
            </w:tblPr>
            <w:tblGrid>
              <w:gridCol w:w="4079"/>
              <w:gridCol w:w="1936"/>
              <w:gridCol w:w="630"/>
            </w:tblGrid>
            <w:tr>
              <w:tblPrEx>
                <w:tblW w:w="4999" w:type="pct"/>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51" w:type="dxa"/>
                  <w:bottom w:w="0" w:type="dxa"/>
                  <w:right w:w="51" w:type="dxa"/>
                </w:tblCellMar>
                <w:tblLook w:val="0000"/>
              </w:tblPrEx>
              <w:trPr>
                <w:trHeight w:val="454"/>
                <w:jc w:val="center"/>
              </w:trPr>
              <w:tc>
                <w:tcPr>
                  <w:tcW w:w="3069" w:type="pct"/>
                  <w:vAlign w:val="center"/>
                </w:tcPr>
                <w:p>
                  <w:pPr>
                    <w:tabs>
                      <w:tab w:val="left" w:pos="924"/>
                    </w:tabs>
                    <w:adjustRightInd w:val="0"/>
                    <w:snapToGrid w:val="0"/>
                    <w:spacing w:before="0"/>
                    <w:rPr>
                      <w:rFonts w:hint="eastAsia"/>
                      <w:bCs/>
                    </w:rPr>
                  </w:pPr>
                  <w:r>
                    <w:rPr>
                      <w:rFonts w:hint="eastAsia"/>
                      <w:bCs/>
                    </w:rPr>
                    <w:t>为基本构架，规划范围包括北部产城融合示范园、南部工业集中承载园两大区域。南部工业集中承载园的具体四至为：东至西韩铁路和双家坡村、刘家庄村，南至韦庄镇南白村，西至国道108西侧的临皋庄、韦一村，北至京昆高速，规划区面积：2217.74公顷。建设用地范围具体四至为：北至赵家寺村与雷家圪崂村交界，南至东白村，西至韦一村，东至和家楼村，建设用地面积：583.15公顷。北部产城融合示范园的具体四至为：东至东环路、锦园街，南至国道242，西至国道242以西（镇基沟边），北至西十路、东十路，规划区面积：965.92公顷。建设用地范围具体四至为：北至工北路，南至202省道，西至朝阳街，东至李庄村，建设用地面积：</w:t>
                  </w:r>
                </w:p>
                <w:p>
                  <w:pPr>
                    <w:tabs>
                      <w:tab w:val="left" w:pos="924"/>
                    </w:tabs>
                    <w:adjustRightInd w:val="0"/>
                    <w:snapToGrid w:val="0"/>
                    <w:rPr>
                      <w:bCs/>
                    </w:rPr>
                  </w:pPr>
                  <w:r>
                    <w:rPr>
                      <w:rFonts w:hint="eastAsia"/>
                      <w:bCs/>
                    </w:rPr>
                    <w:t>516.54公顷。</w:t>
                  </w:r>
                </w:p>
              </w:tc>
              <w:tc>
                <w:tcPr>
                  <w:tcW w:w="1457" w:type="pct"/>
                  <w:vAlign w:val="center"/>
                </w:tcPr>
                <w:p>
                  <w:pPr>
                    <w:autoSpaceDE w:val="0"/>
                    <w:autoSpaceDN w:val="0"/>
                    <w:adjustRightInd w:val="0"/>
                    <w:snapToGrid w:val="0"/>
                    <w:spacing w:before="0"/>
                  </w:pPr>
                  <w:r>
                    <w:rPr>
                      <w:kern w:val="0"/>
                      <w:lang w:bidi="ar"/>
                    </w:rPr>
                    <w:t>房（见附件4），属于</w:t>
                  </w:r>
                  <w:r>
                    <w:rPr>
                      <w:bCs/>
                    </w:rPr>
                    <w:t>南</w:t>
                  </w:r>
                  <w:r>
                    <w:rPr>
                      <w:rFonts w:hint="eastAsia"/>
                      <w:bCs/>
                    </w:rPr>
                    <w:t>部工业集中承载园，在规划范围内，用地性质为工业用地（见附图</w:t>
                  </w:r>
                  <w:r>
                    <w:rPr>
                      <w:bCs/>
                    </w:rPr>
                    <w:t>2</w:t>
                  </w:r>
                  <w:r>
                    <w:rPr>
                      <w:rFonts w:hint="eastAsia"/>
                      <w:bCs/>
                    </w:rPr>
                    <w:t>）。</w:t>
                  </w:r>
                </w:p>
              </w:tc>
              <w:tc>
                <w:tcPr>
                  <w:tcW w:w="474" w:type="pct"/>
                  <w:vAlign w:val="center"/>
                </w:tcPr>
                <w:p/>
              </w:tc>
            </w:tr>
            <w:tr>
              <w:tblPrEx>
                <w:tblW w:w="4999" w:type="pct"/>
                <w:jc w:val="center"/>
                <w:tblInd w:w="56" w:type="dxa"/>
                <w:tblCellMar>
                  <w:top w:w="0" w:type="dxa"/>
                  <w:left w:w="51" w:type="dxa"/>
                  <w:bottom w:w="0" w:type="dxa"/>
                  <w:right w:w="51" w:type="dxa"/>
                </w:tblCellMar>
                <w:tblLook w:val="0000"/>
              </w:tblPrEx>
              <w:trPr>
                <w:trHeight w:val="454"/>
                <w:jc w:val="center"/>
              </w:trPr>
              <w:tc>
                <w:tcPr>
                  <w:tcW w:w="3069" w:type="pct"/>
                  <w:vAlign w:val="center"/>
                </w:tcPr>
                <w:p>
                  <w:pPr>
                    <w:tabs>
                      <w:tab w:val="left" w:pos="924"/>
                    </w:tabs>
                    <w:adjustRightInd w:val="0"/>
                    <w:snapToGrid w:val="0"/>
                    <w:rPr>
                      <w:rFonts w:hint="eastAsia"/>
                      <w:bCs/>
                    </w:rPr>
                  </w:pPr>
                  <w:r>
                    <w:rPr>
                      <w:rFonts w:hint="eastAsia"/>
                      <w:bCs/>
                    </w:rPr>
                    <w:t>产业定位：以新兴产业接续实现传统产业升级的经济技术开发区。即：陕西（澄城）经济技术开发区是陕西省县域经济技术开发区中，通过新材料、清洁能源、高新涉农等新兴产业的接续，实现铝冶炼及农副产品加工制造等传统产业升级拓展的示范建设高地，具有突出的创新转型示范意义和产业升级引导效应的经济技术开发区。</w:t>
                  </w:r>
                  <w:r>
                    <w:t>具体定位包括1）陕西省县级层面的工业绿色生产改造升级先试板块。2）渭北西禹产业带上的新能源产业创新高地。3）澄城县新兴工业承载区和产城融合示范区</w:t>
                  </w:r>
                </w:p>
              </w:tc>
              <w:tc>
                <w:tcPr>
                  <w:tcW w:w="1457" w:type="pct"/>
                  <w:vAlign w:val="center"/>
                </w:tcPr>
                <w:p>
                  <w:pPr>
                    <w:autoSpaceDE w:val="0"/>
                    <w:autoSpaceDN w:val="0"/>
                    <w:adjustRightInd w:val="0"/>
                    <w:snapToGrid w:val="0"/>
                    <w:rPr>
                      <w:rFonts w:hint="eastAsia"/>
                      <w:bCs/>
                    </w:rPr>
                  </w:pPr>
                  <w:r>
                    <w:rPr>
                      <w:rFonts w:ascii="宋体" w:hAnsi="宋体" w:cs="宋体" w:hint="eastAsia"/>
                      <w:kern w:val="0"/>
                      <w:lang w:bidi="ar"/>
                    </w:rPr>
                    <w:t>本项目为水性涂料（水性环氧地坪漆）生产项目，产业定位为</w:t>
                  </w:r>
                  <w:r>
                    <w:t>澄城县新兴工业承载区和产城融合示范区</w:t>
                  </w:r>
                </w:p>
              </w:tc>
              <w:tc>
                <w:tcPr>
                  <w:tcW w:w="474" w:type="pct"/>
                  <w:vAlign w:val="center"/>
                </w:tcPr>
                <w:p>
                  <w:pPr>
                    <w:autoSpaceDE w:val="0"/>
                    <w:autoSpaceDN w:val="0"/>
                    <w:adjustRightInd w:val="0"/>
                    <w:snapToGrid w:val="0"/>
                    <w:jc w:val="center"/>
                    <w:rPr>
                      <w:rFonts w:hint="eastAsia"/>
                    </w:rPr>
                  </w:pPr>
                  <w:r>
                    <w:rPr>
                      <w:rFonts w:hint="eastAsia"/>
                    </w:rPr>
                    <w:t>符合</w:t>
                  </w:r>
                </w:p>
              </w:tc>
            </w:tr>
            <w:tr>
              <w:tblPrEx>
                <w:tblW w:w="4999" w:type="pct"/>
                <w:jc w:val="center"/>
                <w:tblInd w:w="56" w:type="dxa"/>
                <w:tblCellMar>
                  <w:top w:w="0" w:type="dxa"/>
                  <w:left w:w="51" w:type="dxa"/>
                  <w:bottom w:w="0" w:type="dxa"/>
                  <w:right w:w="51" w:type="dxa"/>
                </w:tblCellMar>
                <w:tblLook w:val="0000"/>
              </w:tblPrEx>
              <w:trPr>
                <w:trHeight w:val="454"/>
                <w:jc w:val="center"/>
              </w:trPr>
              <w:tc>
                <w:tcPr>
                  <w:tcW w:w="3069" w:type="pct"/>
                  <w:vAlign w:val="center"/>
                </w:tcPr>
                <w:p>
                  <w:pPr>
                    <w:tabs>
                      <w:tab w:val="left" w:pos="924"/>
                    </w:tabs>
                    <w:adjustRightInd w:val="0"/>
                    <w:snapToGrid w:val="0"/>
                    <w:rPr>
                      <w:rFonts w:hint="eastAsia"/>
                      <w:bCs/>
                    </w:rPr>
                  </w:pPr>
                  <w:r>
                    <w:rPr>
                      <w:rFonts w:hint="eastAsia"/>
                      <w:bCs/>
                    </w:rPr>
                    <w:t>规划目标：到规划期末，将陕西（澄城）经济技术开发区打造成为产业转型升级成效显著、产城关系融合发展、生态环境建设良好、辐射带动效应显著的经济技术开发区和现代科技新城，成为工业绿色生产改造升级示范基地和产城融合示范高地。</w:t>
                  </w:r>
                </w:p>
              </w:tc>
              <w:tc>
                <w:tcPr>
                  <w:tcW w:w="1457" w:type="pct"/>
                  <w:vAlign w:val="center"/>
                </w:tcPr>
                <w:p>
                  <w:pPr>
                    <w:widowControl/>
                    <w:rPr>
                      <w:bCs/>
                    </w:rPr>
                  </w:pPr>
                  <w:r>
                    <w:rPr>
                      <w:rFonts w:ascii="宋体" w:hAnsi="宋体" w:cs="宋体" w:hint="eastAsia"/>
                      <w:kern w:val="0"/>
                      <w:lang w:bidi="ar"/>
                    </w:rPr>
                    <w:t>本项目为水性涂料（水性环氧地坪漆）生产项目，且取得陕西（澄城）经济技术开发区管理委员会关于《澄城县年产3</w:t>
                  </w:r>
                  <w:r>
                    <w:rPr>
                      <w:rFonts w:ascii="宋体" w:hAnsi="宋体" w:cs="宋体"/>
                      <w:kern w:val="0"/>
                      <w:lang w:bidi="ar"/>
                    </w:rPr>
                    <w:t>000</w:t>
                  </w:r>
                  <w:r>
                    <w:rPr>
                      <w:rFonts w:ascii="宋体" w:hAnsi="宋体" w:cs="宋体" w:hint="eastAsia"/>
                      <w:kern w:val="0"/>
                      <w:lang w:bidi="ar"/>
                    </w:rPr>
                    <w:t>吨水性涂料生产线建设项目申请入园的批复》（澄政经开发[</w:t>
                  </w:r>
                  <w:r>
                    <w:rPr>
                      <w:rFonts w:ascii="宋体" w:hAnsi="宋体" w:cs="宋体"/>
                      <w:kern w:val="0"/>
                      <w:lang w:bidi="ar"/>
                    </w:rPr>
                    <w:t>2021]42</w:t>
                  </w:r>
                  <w:r>
                    <w:rPr>
                      <w:rFonts w:ascii="宋体" w:hAnsi="宋体" w:cs="宋体" w:hint="eastAsia"/>
                      <w:kern w:val="0"/>
                      <w:lang w:bidi="ar"/>
                    </w:rPr>
                    <w:t>号）</w:t>
                  </w:r>
                </w:p>
              </w:tc>
              <w:tc>
                <w:tcPr>
                  <w:tcW w:w="474" w:type="pct"/>
                  <w:vAlign w:val="center"/>
                </w:tcPr>
                <w:p>
                  <w:pPr>
                    <w:jc w:val="center"/>
                    <w:rPr>
                      <w:rFonts w:hint="eastAsia"/>
                      <w:kern w:val="0"/>
                    </w:rPr>
                  </w:pPr>
                  <w:r>
                    <w:rPr>
                      <w:rFonts w:hint="eastAsia"/>
                      <w:kern w:val="0"/>
                    </w:rPr>
                    <w:t>符合</w:t>
                  </w:r>
                </w:p>
              </w:tc>
            </w:tr>
            <w:tr>
              <w:tblPrEx>
                <w:tblW w:w="4999" w:type="pct"/>
                <w:jc w:val="center"/>
                <w:tblInd w:w="56" w:type="dxa"/>
                <w:tblCellMar>
                  <w:top w:w="0" w:type="dxa"/>
                  <w:left w:w="51" w:type="dxa"/>
                  <w:bottom w:w="0" w:type="dxa"/>
                  <w:right w:w="51" w:type="dxa"/>
                </w:tblCellMar>
                <w:tblLook w:val="0000"/>
              </w:tblPrEx>
              <w:trPr>
                <w:trHeight w:val="454"/>
                <w:jc w:val="center"/>
              </w:trPr>
              <w:tc>
                <w:tcPr>
                  <w:tcW w:w="3069" w:type="pct"/>
                  <w:vAlign w:val="center"/>
                </w:tcPr>
                <w:p>
                  <w:pPr>
                    <w:tabs>
                      <w:tab w:val="left" w:pos="924"/>
                    </w:tabs>
                    <w:adjustRightInd w:val="0"/>
                    <w:snapToGrid w:val="0"/>
                    <w:rPr>
                      <w:rFonts w:hint="eastAsia"/>
                      <w:bCs/>
                    </w:rPr>
                  </w:pPr>
                  <w:r>
                    <w:rPr>
                      <w:rFonts w:hint="eastAsia"/>
                      <w:bCs/>
                    </w:rPr>
                    <w:t>排水工程规划：逐步改造现有排水管网系统，实现雨污分流，改变城市污水不经处理直接排放、污染环境的状况，城区污水要集中处理，统一排放。新建区要按雨污分流原则建设排水管道。根据城区地形特点，总的排水方向由西北向东南，最后排入城市污水处理厂。雨水按就近、分散、简捷、自流的原则，排入县城周边河沟。</w:t>
                  </w:r>
                </w:p>
              </w:tc>
              <w:tc>
                <w:tcPr>
                  <w:tcW w:w="1457" w:type="pct"/>
                  <w:vAlign w:val="center"/>
                </w:tcPr>
                <w:p>
                  <w:pPr>
                    <w:widowControl/>
                    <w:rPr>
                      <w:rFonts w:ascii="宋体" w:hAnsi="宋体" w:cs="宋体" w:hint="eastAsia"/>
                      <w:kern w:val="0"/>
                      <w:lang w:bidi="ar"/>
                    </w:rPr>
                  </w:pPr>
                  <w:r>
                    <w:rPr>
                      <w:rFonts w:ascii="宋体" w:hAnsi="宋体" w:cs="宋体" w:hint="eastAsia"/>
                      <w:kern w:val="0"/>
                      <w:lang w:bidi="ar"/>
                    </w:rPr>
                    <w:t>本项目雨污分流，</w:t>
                  </w:r>
                  <w:r>
                    <w:rPr>
                      <w:rFonts w:ascii="宋体" w:hAnsi="宋体"/>
                    </w:rPr>
                    <w:t>雨水排入雨水管网</w:t>
                  </w:r>
                  <w:r>
                    <w:rPr>
                      <w:rFonts w:ascii="宋体" w:hAnsi="宋体" w:hint="eastAsia"/>
                    </w:rPr>
                    <w:t>，</w:t>
                  </w:r>
                  <w:r>
                    <w:rPr>
                      <w:rFonts w:ascii="宋体" w:hAnsi="宋体" w:cs="宋体" w:hint="eastAsia"/>
                      <w:lang w:bidi="ar"/>
                    </w:rPr>
                    <w:t>食堂废水经油水分离器处理后与生活污水一同排入化粪池处理后</w:t>
                  </w:r>
                  <w:r>
                    <w:rPr>
                      <w:rFonts w:ascii="宋体" w:hAnsi="宋体" w:hint="eastAsia"/>
                    </w:rPr>
                    <w:t>进入</w:t>
                  </w:r>
                  <w:r>
                    <w:rPr>
                      <w:rFonts w:hint="eastAsia"/>
                    </w:rPr>
                    <w:t>韦庄镇污水处理厂</w:t>
                  </w:r>
                  <w:r>
                    <w:rPr>
                      <w:rFonts w:ascii="宋体" w:hAnsi="宋体" w:cs="宋体" w:hint="eastAsia"/>
                      <w:kern w:val="0"/>
                      <w:lang w:bidi="ar"/>
                    </w:rPr>
                    <w:t>；</w:t>
                  </w:r>
                  <w:r>
                    <w:rPr>
                      <w:rFonts w:ascii="宋体" w:hAnsi="宋体" w:cs="宋体" w:hint="eastAsia"/>
                      <w:lang w:bidi="ar"/>
                    </w:rPr>
                    <w:t>清洗废水经混凝沉淀后全部回用于产品生产不外排。</w:t>
                  </w:r>
                </w:p>
              </w:tc>
              <w:tc>
                <w:tcPr>
                  <w:tcW w:w="474" w:type="pct"/>
                  <w:vAlign w:val="center"/>
                </w:tcPr>
                <w:p>
                  <w:pPr>
                    <w:jc w:val="center"/>
                    <w:rPr>
                      <w:kern w:val="0"/>
                    </w:rPr>
                  </w:pPr>
                  <w:r>
                    <w:rPr>
                      <w:rFonts w:hint="eastAsia"/>
                      <w:kern w:val="0"/>
                    </w:rPr>
                    <w:t>符合</w:t>
                  </w:r>
                </w:p>
              </w:tc>
            </w:tr>
            <w:tr>
              <w:tblPrEx>
                <w:tblW w:w="4999" w:type="pct"/>
                <w:jc w:val="center"/>
                <w:tblInd w:w="56" w:type="dxa"/>
                <w:tblCellMar>
                  <w:top w:w="0" w:type="dxa"/>
                  <w:left w:w="51" w:type="dxa"/>
                  <w:bottom w:w="0" w:type="dxa"/>
                  <w:right w:w="51" w:type="dxa"/>
                </w:tblCellMar>
                <w:tblLook w:val="0000"/>
              </w:tblPrEx>
              <w:trPr>
                <w:trHeight w:val="454"/>
                <w:jc w:val="center"/>
              </w:trPr>
              <w:tc>
                <w:tcPr>
                  <w:tcW w:w="3069" w:type="pct"/>
                  <w:vAlign w:val="center"/>
                </w:tcPr>
                <w:p>
                  <w:pPr>
                    <w:tabs>
                      <w:tab w:val="left" w:pos="924"/>
                    </w:tabs>
                    <w:adjustRightInd w:val="0"/>
                    <w:snapToGrid w:val="0"/>
                    <w:spacing w:after="0"/>
                    <w:rPr>
                      <w:rFonts w:hint="eastAsia"/>
                      <w:bCs/>
                    </w:rPr>
                  </w:pPr>
                </w:p>
              </w:tc>
              <w:tc>
                <w:tcPr>
                  <w:tcW w:w="1457" w:type="pct"/>
                  <w:vAlign w:val="center"/>
                </w:tcPr>
                <w:p>
                  <w:pPr>
                    <w:widowControl/>
                    <w:rPr>
                      <w:rFonts w:ascii="宋体" w:hAnsi="宋体" w:cs="宋体"/>
                      <w:kern w:val="0"/>
                      <w:lang w:bidi="ar"/>
                    </w:rPr>
                  </w:pPr>
                  <w:r>
                    <w:rPr>
                      <w:rFonts w:ascii="宋体" w:hAnsi="宋体" w:cs="宋体" w:hint="eastAsia"/>
                      <w:kern w:val="0"/>
                      <w:lang w:bidi="ar"/>
                    </w:rPr>
                    <w:t>本项目供热制冷采用空调</w:t>
                  </w:r>
                </w:p>
              </w:tc>
              <w:tc>
                <w:tcPr>
                  <w:tcW w:w="474" w:type="pct"/>
                  <w:vAlign w:val="center"/>
                </w:tcPr>
                <w:p>
                  <w:pPr>
                    <w:jc w:val="center"/>
                    <w:rPr>
                      <w:kern w:val="0"/>
                    </w:rPr>
                  </w:pPr>
                  <w:r>
                    <w:rPr>
                      <w:rFonts w:hint="eastAsia"/>
                      <w:kern w:val="0"/>
                    </w:rPr>
                    <w:t>符合</w:t>
                  </w:r>
                </w:p>
              </w:tc>
            </w:tr>
          </w:tbl>
          <w:p/>
        </w:tc>
      </w:tr>
    </w:tbl>
    <w:p>
      <w:pPr>
        <w:sectPr>
          <w:footerReference w:type="even" r:id="rId10"/>
          <w:footerReference w:type="default" r:id="rId11"/>
          <w:type w:val="nextPage"/>
          <w:pgSz w:w="11906" w:h="16838"/>
          <w:pgMar w:top="1701" w:right="1531" w:bottom="1701" w:left="1531" w:header="851" w:footer="1077" w:gutter="0"/>
          <w:pgNumType w:start="3"/>
          <w:cols w:space="708"/>
          <w:titlePg w:val="0"/>
          <w:docGrid w:linePitch="312"/>
        </w:sectPr>
      </w:pPr>
    </w:p>
    <w:tbl>
      <w:tblPr>
        <w:tblStyle w:val="TableNormal"/>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998"/>
        <w:gridCol w:w="6872"/>
      </w:tblGrid>
      <w:tr>
        <w:tblPrEx>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64"/>
          <w:jc w:val="center"/>
        </w:trPr>
        <w:tc>
          <w:tcPr>
            <w:tcW w:w="1998" w:type="dxa"/>
            <w:vAlign w:val="center"/>
          </w:tcPr>
          <w:p/>
        </w:tc>
        <w:tc>
          <w:tcPr>
            <w:tcW w:w="6872" w:type="dxa"/>
            <w:vAlign w:val="center"/>
          </w:tcPr>
          <w:tbl>
            <w:tblPr>
              <w:tblStyle w:val="TableNormal"/>
              <w:tblW w:w="4999" w:type="pct"/>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51" w:type="dxa"/>
                <w:bottom w:w="0" w:type="dxa"/>
                <w:right w:w="51" w:type="dxa"/>
              </w:tblCellMar>
              <w:tblLook w:val="0000"/>
            </w:tblPr>
            <w:tblGrid>
              <w:gridCol w:w="4079"/>
              <w:gridCol w:w="1936"/>
              <w:gridCol w:w="630"/>
            </w:tblGrid>
            <w:tr>
              <w:tblPrEx>
                <w:tblW w:w="4999" w:type="pct"/>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51" w:type="dxa"/>
                  <w:bottom w:w="0" w:type="dxa"/>
                  <w:right w:w="51" w:type="dxa"/>
                </w:tblCellMar>
                <w:tblLook w:val="0000"/>
              </w:tblPrEx>
              <w:trPr>
                <w:trHeight w:val="454"/>
                <w:jc w:val="center"/>
              </w:trPr>
              <w:tc>
                <w:tcPr>
                  <w:tcW w:w="3069" w:type="pct"/>
                  <w:vAlign w:val="center"/>
                </w:tcPr>
                <w:p>
                  <w:pPr>
                    <w:tabs>
                      <w:tab w:val="left" w:pos="924"/>
                    </w:tabs>
                    <w:adjustRightInd w:val="0"/>
                    <w:snapToGrid w:val="0"/>
                    <w:spacing w:before="0"/>
                    <w:rPr>
                      <w:rFonts w:hint="eastAsia"/>
                      <w:bCs/>
                    </w:rPr>
                  </w:pPr>
                  <w:r>
                    <w:rPr>
                      <w:rFonts w:hint="eastAsia"/>
                      <w:bCs/>
                    </w:rPr>
                    <w:t>供热工程规划：韦庄工业集中承载园目前未建设集中供热管网系统，园区内企事业单位采用自建锅炉房或利用工业余热等分散方式进行供热，其内部敷设独立供热管道。</w:t>
                  </w:r>
                </w:p>
              </w:tc>
              <w:tc>
                <w:tcPr>
                  <w:tcW w:w="1457" w:type="pct"/>
                  <w:vAlign w:val="center"/>
                </w:tcPr>
                <w:p/>
              </w:tc>
              <w:tc>
                <w:tcPr>
                  <w:tcW w:w="474" w:type="pct"/>
                  <w:vAlign w:val="center"/>
                </w:tcPr>
                <w:p/>
              </w:tc>
            </w:tr>
            <w:tr>
              <w:tblPrEx>
                <w:tblW w:w="4999" w:type="pct"/>
                <w:jc w:val="center"/>
                <w:tblInd w:w="56" w:type="dxa"/>
                <w:tblCellMar>
                  <w:top w:w="0" w:type="dxa"/>
                  <w:left w:w="51" w:type="dxa"/>
                  <w:bottom w:w="0" w:type="dxa"/>
                  <w:right w:w="51" w:type="dxa"/>
                </w:tblCellMar>
                <w:tblLook w:val="0000"/>
              </w:tblPrEx>
              <w:trPr>
                <w:trHeight w:val="454"/>
                <w:jc w:val="center"/>
              </w:trPr>
              <w:tc>
                <w:tcPr>
                  <w:tcW w:w="3069" w:type="pct"/>
                  <w:vAlign w:val="center"/>
                </w:tcPr>
                <w:p>
                  <w:pPr>
                    <w:widowControl/>
                    <w:rPr>
                      <w:rFonts w:hint="eastAsia"/>
                      <w:bCs/>
                    </w:rPr>
                  </w:pPr>
                  <w:r>
                    <w:rPr>
                      <w:rFonts w:hint="eastAsia"/>
                      <w:bCs/>
                    </w:rPr>
                    <w:t>环卫规划：</w:t>
                  </w:r>
                  <w:r>
                    <w:rPr>
                      <w:rFonts w:ascii="宋体" w:hAnsi="宋体" w:cs="宋体" w:hint="eastAsia"/>
                      <w:kern w:val="0"/>
                      <w:lang w:bidi="ar"/>
                    </w:rPr>
                    <w:t>远期工业集中承载园设置</w:t>
                  </w:r>
                  <w:r>
                    <w:rPr>
                      <w:kern w:val="0"/>
                      <w:lang w:bidi="ar"/>
                    </w:rPr>
                    <w:t>2</w:t>
                  </w:r>
                  <w:r>
                    <w:rPr>
                      <w:rFonts w:ascii="宋体" w:hAnsi="宋体" w:cs="宋体" w:hint="eastAsia"/>
                      <w:kern w:val="0"/>
                      <w:lang w:bidi="ar"/>
                    </w:rPr>
                    <w:t>处垃圾转运站，产城融合示范园设置</w:t>
                  </w:r>
                  <w:r>
                    <w:rPr>
                      <w:kern w:val="0"/>
                      <w:lang w:bidi="ar"/>
                    </w:rPr>
                    <w:t>1</w:t>
                  </w:r>
                  <w:r>
                    <w:rPr>
                      <w:rFonts w:ascii="宋体" w:hAnsi="宋体" w:cs="宋体" w:hint="eastAsia"/>
                      <w:kern w:val="0"/>
                      <w:lang w:bidi="ar"/>
                    </w:rPr>
                    <w:t>处垃圾转运站</w:t>
                  </w:r>
                </w:p>
              </w:tc>
              <w:tc>
                <w:tcPr>
                  <w:tcW w:w="1457" w:type="pct"/>
                  <w:vAlign w:val="center"/>
                </w:tcPr>
                <w:p>
                  <w:pPr>
                    <w:widowControl/>
                    <w:rPr>
                      <w:rFonts w:ascii="宋体" w:hAnsi="宋体" w:cs="宋体" w:hint="eastAsia"/>
                      <w:kern w:val="0"/>
                      <w:lang w:bidi="ar"/>
                    </w:rPr>
                  </w:pPr>
                  <w:r>
                    <w:rPr>
                      <w:rFonts w:ascii="宋体" w:hAnsi="宋体" w:cs="宋体" w:hint="eastAsia"/>
                      <w:kern w:val="0"/>
                      <w:lang w:bidi="ar"/>
                    </w:rPr>
                    <w:t>本项目生活垃圾集中收集后交由环卫部门处理</w:t>
                  </w:r>
                </w:p>
              </w:tc>
              <w:tc>
                <w:tcPr>
                  <w:tcW w:w="474" w:type="pct"/>
                  <w:vAlign w:val="center"/>
                </w:tcPr>
                <w:p>
                  <w:pPr>
                    <w:jc w:val="center"/>
                    <w:rPr>
                      <w:kern w:val="0"/>
                    </w:rPr>
                  </w:pPr>
                  <w:r>
                    <w:rPr>
                      <w:rFonts w:hint="eastAsia"/>
                      <w:kern w:val="0"/>
                    </w:rPr>
                    <w:t>符合</w:t>
                  </w:r>
                </w:p>
              </w:tc>
            </w:tr>
            <w:tr>
              <w:tblPrEx>
                <w:tblW w:w="4999" w:type="pct"/>
                <w:jc w:val="center"/>
                <w:tblInd w:w="56" w:type="dxa"/>
                <w:tblCellMar>
                  <w:top w:w="0" w:type="dxa"/>
                  <w:left w:w="51" w:type="dxa"/>
                  <w:bottom w:w="0" w:type="dxa"/>
                  <w:right w:w="51" w:type="dxa"/>
                </w:tblCellMar>
                <w:tblLook w:val="0000"/>
              </w:tblPrEx>
              <w:trPr>
                <w:trHeight w:val="454"/>
                <w:jc w:val="center"/>
              </w:trPr>
              <w:tc>
                <w:tcPr>
                  <w:tcW w:w="3069" w:type="pct"/>
                  <w:vAlign w:val="center"/>
                </w:tcPr>
                <w:p>
                  <w:pPr>
                    <w:widowControl/>
                    <w:rPr>
                      <w:rFonts w:hint="eastAsia"/>
                      <w:bCs/>
                    </w:rPr>
                  </w:pPr>
                  <w:r>
                    <w:rPr>
                      <w:rFonts w:hint="eastAsia"/>
                      <w:bCs/>
                    </w:rPr>
                    <w:t>审查意见对入园企业提出如下限制要求：根据经济技术开发区的规划和产业定位，对达不到进区企业要求的建设项目不支持进入。限制进入的主要包括：不符合陕西（澄城）经济技术开发区各产业区产业定位、污染排放较大的行业；废水中含有难降解的有机物、有毒有害、重金属等物质的项目；高物耗、高能耗和高水耗的项目；进驻项目预处理水质达不到污水处理厂接管要求的项目；工艺尾气中含有难处理的、有毒有害物质的项目；清洁生产水平低于二级的生产企业。禁止引进的项目包括采用落后的生产工艺或生产设备，不符合国家相关产业政策、达不到规模经济的项目。除禁止以外的项目，园区均可考虑进入，但必须严格按照国家的环保法律和规定做到执行环境影响评价和</w:t>
                  </w:r>
                  <w:r>
                    <w:rPr>
                      <w:rFonts w:hint="eastAsia"/>
                      <w:bCs/>
                    </w:rPr>
                    <w:t>“</w:t>
                  </w:r>
                  <w:r>
                    <w:rPr>
                      <w:rFonts w:hint="eastAsia"/>
                      <w:bCs/>
                    </w:rPr>
                    <w:t>三同时</w:t>
                  </w:r>
                  <w:r>
                    <w:rPr>
                      <w:rFonts w:hint="eastAsia"/>
                      <w:bCs/>
                    </w:rPr>
                    <w:t>”</w:t>
                  </w:r>
                  <w:r>
                    <w:rPr>
                      <w:rFonts w:hint="eastAsia"/>
                      <w:bCs/>
                    </w:rPr>
                    <w:t>制度</w:t>
                  </w:r>
                </w:p>
              </w:tc>
              <w:tc>
                <w:tcPr>
                  <w:tcW w:w="1457" w:type="pct"/>
                  <w:vAlign w:val="center"/>
                </w:tcPr>
                <w:p>
                  <w:pPr>
                    <w:widowControl/>
                    <w:rPr>
                      <w:rFonts w:ascii="宋体" w:hAnsi="宋体" w:cs="宋体" w:hint="eastAsia"/>
                      <w:kern w:val="0"/>
                      <w:lang w:bidi="ar"/>
                    </w:rPr>
                  </w:pPr>
                  <w:r>
                    <w:rPr>
                      <w:rFonts w:ascii="宋体" w:hAnsi="宋体" w:cs="宋体" w:hint="eastAsia"/>
                      <w:kern w:val="0"/>
                      <w:lang w:bidi="ar"/>
                    </w:rPr>
                    <w:t>本项目位于南部工业集中承载园，为水性涂料（水性环氧地坪漆）生产项目，不属于园区禁止和限制准入行业，且取得陕</w:t>
                  </w:r>
                  <w:r>
                    <w:rPr>
                      <w:kern w:val="0"/>
                      <w:lang w:bidi="ar"/>
                    </w:rPr>
                    <w:t>西（澄城）经济技术开发区管理委员会关于《澄城县年产3000吨水性涂料生产线建设项目申请入园的批复》（澄政经开发[2021]42号）</w:t>
                  </w:r>
                </w:p>
              </w:tc>
              <w:tc>
                <w:tcPr>
                  <w:tcW w:w="474" w:type="pct"/>
                  <w:vAlign w:val="center"/>
                </w:tcPr>
                <w:p>
                  <w:pPr>
                    <w:jc w:val="center"/>
                    <w:rPr>
                      <w:rFonts w:hint="eastAsia"/>
                      <w:kern w:val="0"/>
                    </w:rPr>
                  </w:pPr>
                  <w:r>
                    <w:rPr>
                      <w:rFonts w:hint="eastAsia"/>
                      <w:kern w:val="0"/>
                    </w:rPr>
                    <w:t>符合</w:t>
                  </w:r>
                </w:p>
              </w:tc>
            </w:tr>
          </w:tbl>
          <w:p>
            <w:pPr>
              <w:pStyle w:val="a20"/>
              <w:spacing w:before="120" w:beforeLines="50"/>
              <w:ind w:firstLine="480"/>
              <w:rPr>
                <w:rFonts w:hint="eastAsia"/>
              </w:rPr>
            </w:pPr>
            <w:r>
              <w:t>综上所述，本项目符合</w:t>
            </w:r>
            <w:r>
              <w:rPr>
                <w:rFonts w:hint="eastAsia"/>
              </w:rPr>
              <w:t>《陕西（澄城）经济技术开发区总体规划（2018-2035）》和</w:t>
            </w:r>
            <w:r>
              <w:t>《</w:t>
            </w:r>
            <w:r>
              <w:rPr>
                <w:rFonts w:hint="eastAsia"/>
              </w:rPr>
              <w:t>陕西（澄城）经济技术开发区总体规划</w:t>
            </w:r>
            <w:r>
              <w:t>环境影响报告书》</w:t>
            </w:r>
            <w:r>
              <w:rPr>
                <w:rFonts w:hint="eastAsia"/>
              </w:rPr>
              <w:t>及审查意见</w:t>
            </w:r>
            <w:r>
              <w:t>的要求。</w:t>
            </w:r>
          </w:p>
        </w:tc>
      </w:tr>
      <w:tr>
        <w:tblPrEx>
          <w:tblW w:w="8870" w:type="dxa"/>
          <w:jc w:val="center"/>
          <w:tblInd w:w="3" w:type="dxa"/>
          <w:tblCellMar>
            <w:top w:w="0" w:type="dxa"/>
            <w:left w:w="108" w:type="dxa"/>
            <w:bottom w:w="0" w:type="dxa"/>
            <w:right w:w="108" w:type="dxa"/>
          </w:tblCellMar>
          <w:tblLook w:val="0000"/>
        </w:tblPrEx>
        <w:trPr>
          <w:trHeight w:val="20"/>
          <w:jc w:val="center"/>
        </w:trPr>
        <w:tc>
          <w:tcPr>
            <w:tcW w:w="1998" w:type="dxa"/>
            <w:vAlign w:val="center"/>
          </w:tcPr>
          <w:p>
            <w:pPr>
              <w:autoSpaceDE w:val="0"/>
              <w:autoSpaceDN w:val="0"/>
              <w:adjustRightInd w:val="0"/>
              <w:snapToGrid w:val="0"/>
              <w:jc w:val="center"/>
              <w:rPr>
                <w:rFonts w:ascii="宋体" w:hAnsi="宋体" w:cs="宋体" w:hint="eastAsia"/>
                <w:kern w:val="0"/>
              </w:rPr>
            </w:pPr>
            <w:r>
              <w:rPr>
                <w:rFonts w:ascii="宋体" w:hAnsi="宋体" w:cs="宋体" w:hint="eastAsia"/>
                <w:kern w:val="0"/>
              </w:rPr>
              <w:t>其他符合性分析</w:t>
            </w:r>
          </w:p>
        </w:tc>
        <w:tc>
          <w:tcPr>
            <w:tcW w:w="6872" w:type="dxa"/>
            <w:vAlign w:val="center"/>
          </w:tcPr>
          <w:p>
            <w:pPr>
              <w:pStyle w:val="a20"/>
              <w:spacing w:before="120" w:beforeLines="50"/>
              <w:ind w:firstLine="0" w:firstLineChars="0"/>
            </w:pPr>
            <w:r>
              <w:t>1</w:t>
            </w:r>
            <w:r>
              <w:rPr>
                <w:rFonts w:hint="eastAsia"/>
              </w:rPr>
              <w:t>、产业政策符合性分析</w:t>
            </w:r>
          </w:p>
          <w:p>
            <w:pPr>
              <w:autoSpaceDE w:val="0"/>
              <w:autoSpaceDN w:val="0"/>
              <w:adjustRightInd w:val="0"/>
              <w:snapToGrid w:val="0"/>
              <w:spacing w:before="24" w:after="24" w:line="360" w:lineRule="auto"/>
              <w:ind w:firstLine="480" w:firstLineChars="200"/>
              <w:jc w:val="left"/>
              <w:rPr>
                <w:sz w:val="24"/>
              </w:rPr>
            </w:pPr>
            <w:r>
              <w:rPr>
                <w:sz w:val="24"/>
              </w:rPr>
              <w:t>根据国家发展和改革委员会</w:t>
            </w:r>
            <w:r>
              <w:rPr>
                <w:rFonts w:hint="eastAsia"/>
                <w:sz w:val="24"/>
              </w:rPr>
              <w:t>《产业结构调整目录》（2019年本）</w:t>
            </w:r>
            <w:r>
              <w:rPr>
                <w:sz w:val="24"/>
              </w:rPr>
              <w:t>，</w:t>
            </w:r>
            <w:r>
              <w:rPr>
                <w:rFonts w:hint="eastAsia"/>
                <w:sz w:val="24"/>
              </w:rPr>
              <w:t>本项目属于鼓励类，十一、石化化工（7、水性木器、工业、船舶涂料，高固体分、无溶剂、辐射固化、功能性外墙外保温涂料等环境友好、资源节约型涂料生产），</w:t>
            </w:r>
            <w:r>
              <w:rPr>
                <w:sz w:val="24"/>
              </w:rPr>
              <w:t>因此，本项目建设符合国家及地方的产业政策。</w:t>
            </w:r>
          </w:p>
          <w:p>
            <w:pPr>
              <w:pStyle w:val="a20"/>
              <w:ind w:firstLine="480"/>
              <w:rPr>
                <w:rFonts w:hint="eastAsia"/>
              </w:rPr>
            </w:pPr>
            <w:r>
              <w:t>项目已取得</w:t>
            </w:r>
            <w:r>
              <w:rPr>
                <w:rFonts w:hint="eastAsia"/>
              </w:rPr>
              <w:t>澄城县发展和改革局《</w:t>
            </w:r>
            <w:r>
              <w:t>陕西省企业投资项目备案确认书</w:t>
            </w:r>
            <w:r>
              <w:rPr>
                <w:rFonts w:hint="eastAsia"/>
              </w:rPr>
              <w:t>》（见附件2），且</w:t>
            </w:r>
            <w:r>
              <w:t>项目</w:t>
            </w:r>
            <w:r>
              <w:rPr>
                <w:lang w:val="zh-CN"/>
              </w:rPr>
              <w:t>不在《陕西省限制投资类</w:t>
            </w:r>
            <w:r>
              <w:rPr>
                <w:rFonts w:hint="eastAsia"/>
              </w:rPr>
              <w:t>产业</w:t>
            </w:r>
            <w:r>
              <w:rPr>
                <w:lang w:val="zh-CN"/>
              </w:rPr>
              <w:t>指导目录》（陕发改产业</w:t>
            </w:r>
            <w:r>
              <w:t>[</w:t>
            </w:r>
            <w:r>
              <w:rPr>
                <w:lang w:val="zh-CN"/>
              </w:rPr>
              <w:t>2007</w:t>
            </w:r>
            <w:r>
              <w:t>]</w:t>
            </w:r>
            <w:r>
              <w:rPr>
                <w:lang w:val="zh-CN"/>
              </w:rPr>
              <w:t>97号）之列。</w:t>
            </w:r>
            <w:r>
              <w:t>符合陕西省现行的有关产业政策</w:t>
            </w:r>
            <w:r>
              <w:rPr>
                <w:rFonts w:hint="eastAsia"/>
              </w:rPr>
              <w:t>。</w:t>
            </w:r>
          </w:p>
          <w:p>
            <w:pPr>
              <w:pStyle w:val="a20"/>
              <w:ind w:firstLine="480"/>
              <w:rPr>
                <w:szCs w:val="24"/>
              </w:rPr>
            </w:pPr>
            <w:r>
              <w:t>2</w:t>
            </w:r>
            <w:r>
              <w:rPr>
                <w:rFonts w:hint="eastAsia"/>
              </w:rPr>
              <w:t>、</w:t>
            </w:r>
            <w:r>
              <w:rPr>
                <w:rFonts w:ascii="宋体" w:hAnsi="宋体" w:hint="eastAsia"/>
              </w:rPr>
              <w:t>“</w:t>
            </w:r>
            <w:r>
              <w:rPr>
                <w:rFonts w:ascii="宋体" w:hAnsi="宋体" w:hint="eastAsia"/>
              </w:rPr>
              <w:t>三</w:t>
            </w:r>
            <w:r>
              <w:rPr>
                <w:rFonts w:ascii="宋体" w:hAnsi="宋体"/>
              </w:rPr>
              <w:t>线一单</w:t>
            </w:r>
            <w:r>
              <w:t>”</w:t>
            </w:r>
            <w:r>
              <w:rPr>
                <w:rFonts w:ascii="宋体" w:hAnsi="宋体"/>
              </w:rPr>
              <w:t>符合性分析</w:t>
            </w:r>
          </w:p>
          <w:p>
            <w:pPr>
              <w:pStyle w:val="a20"/>
              <w:spacing w:after="0"/>
              <w:ind w:firstLine="480"/>
            </w:pPr>
            <w:r>
              <w:rPr>
                <w:rFonts w:hint="eastAsia"/>
              </w:rPr>
              <w:t>根据《陕西省人民政府关于加快实施</w:t>
            </w:r>
            <w:r>
              <w:rPr>
                <w:rFonts w:hint="eastAsia"/>
              </w:rPr>
              <w:t>“</w:t>
            </w:r>
            <w:r>
              <w:rPr>
                <w:rFonts w:hint="eastAsia"/>
              </w:rPr>
              <w:t>三线一单</w:t>
            </w:r>
            <w:r>
              <w:rPr>
                <w:rFonts w:hint="eastAsia"/>
              </w:rPr>
              <w:t>”</w:t>
            </w:r>
          </w:p>
        </w:tc>
      </w:tr>
    </w:tbl>
    <w:p>
      <w:pPr>
        <w:sectPr>
          <w:footerReference w:type="even" r:id="rId12"/>
          <w:footerReference w:type="default" r:id="rId13"/>
          <w:type w:val="nextPage"/>
          <w:pgSz w:w="11906" w:h="16838"/>
          <w:pgMar w:top="1701" w:right="1531" w:bottom="1701" w:left="1531" w:header="851" w:footer="1077" w:gutter="0"/>
          <w:pgNumType w:start="4"/>
          <w:cols w:space="708"/>
          <w:titlePg w:val="0"/>
          <w:docGrid w:linePitch="312"/>
        </w:sectPr>
      </w:pPr>
    </w:p>
    <w:tbl>
      <w:tblPr>
        <w:tblStyle w:val="TableNormal"/>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998"/>
        <w:gridCol w:w="6872"/>
      </w:tblGrid>
      <w:tr>
        <w:tblPrEx>
          <w:tblW w:w="8870" w:type="dxa"/>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0"/>
          <w:jc w:val="center"/>
        </w:trPr>
        <w:tc>
          <w:tcPr>
            <w:tcW w:w="1998" w:type="dxa"/>
            <w:vAlign w:val="center"/>
          </w:tcPr>
          <w:p/>
        </w:tc>
        <w:tc>
          <w:tcPr>
            <w:tcW w:w="6872" w:type="dxa"/>
            <w:vAlign w:val="center"/>
          </w:tcPr>
          <w:p>
            <w:pPr>
              <w:pStyle w:val="a20"/>
              <w:spacing w:before="0"/>
              <w:ind w:firstLine="480"/>
            </w:pPr>
            <w:r>
              <w:rPr>
                <w:rFonts w:hint="eastAsia"/>
              </w:rPr>
              <w:t>生态环境分区管控的意见》（陕政发[2020]11号）及《渭南市</w:t>
            </w:r>
            <w:r>
              <w:rPr>
                <w:rFonts w:hint="eastAsia"/>
              </w:rPr>
              <w:t>“</w:t>
            </w:r>
            <w:r>
              <w:rPr>
                <w:rFonts w:hint="eastAsia"/>
              </w:rPr>
              <w:t>三线一单</w:t>
            </w:r>
            <w:r>
              <w:rPr>
                <w:rFonts w:hint="eastAsia"/>
              </w:rPr>
              <w:t>”</w:t>
            </w:r>
            <w:r>
              <w:rPr>
                <w:rFonts w:hint="eastAsia"/>
              </w:rPr>
              <w:t>生态环境分区管控方案》（渭政发[2021]35号），</w:t>
            </w:r>
            <w:r>
              <w:t>本项目与“三线一单”符合性分析见</w:t>
            </w:r>
            <w:r>
              <w:rPr>
                <w:rFonts w:hint="eastAsia"/>
              </w:rPr>
              <w:t>下表</w:t>
            </w:r>
            <w:r>
              <w:t>。</w:t>
            </w:r>
          </w:p>
          <w:p>
            <w:pPr>
              <w:pStyle w:val="0"/>
            </w:pPr>
            <w:r>
              <w:rPr>
                <w:rFonts w:hint="eastAsia"/>
              </w:rPr>
              <w:t>表</w:t>
            </w:r>
            <w:r>
              <w:t>1-3  本项目</w:t>
            </w:r>
            <w:r>
              <w:rPr>
                <w:rFonts w:hint="eastAsia"/>
              </w:rPr>
              <w:t>与</w:t>
            </w:r>
            <w:r>
              <w:t>“</w:t>
            </w:r>
            <w:r>
              <w:rPr>
                <w:rFonts w:hint="eastAsia"/>
              </w:rPr>
              <w:t>三线一单</w:t>
            </w:r>
            <w:r>
              <w:t>”</w:t>
            </w:r>
            <w:r>
              <w:rPr>
                <w:rFonts w:hint="eastAsia"/>
              </w:rPr>
              <w:t>符合性分析表</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50"/>
              <w:gridCol w:w="4392"/>
              <w:gridCol w:w="804"/>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1091" w:type="pct"/>
                  <w:tcBorders>
                    <w:top w:val="single" w:sz="4" w:space="0" w:color="auto"/>
                    <w:left w:val="single" w:sz="4" w:space="0" w:color="auto"/>
                    <w:bottom w:val="single" w:sz="4" w:space="0" w:color="auto"/>
                    <w:right w:val="single" w:sz="4" w:space="0" w:color="auto"/>
                  </w:tcBorders>
                  <w:vAlign w:val="center"/>
                </w:tcPr>
                <w:p>
                  <w:pPr>
                    <w:pStyle w:val="Tab0"/>
                    <w:spacing w:before="24" w:beforeLines="10" w:after="24" w:afterLines="10"/>
                    <w:ind w:left="-105" w:right="-105" w:leftChars="-50" w:rightChars="-50"/>
                    <w:rPr>
                      <w:rFonts w:ascii="宋体" w:hAnsi="宋体" w:hint="eastAsia"/>
                      <w:sz w:val="21"/>
                      <w:lang w:val="en-US" w:eastAsia="zh-CN"/>
                    </w:rPr>
                  </w:pPr>
                  <w:r>
                    <w:rPr>
                      <w:rFonts w:ascii="宋体" w:hAnsi="宋体" w:hint="eastAsia"/>
                      <w:sz w:val="21"/>
                      <w:lang w:val="en-US" w:eastAsia="zh-CN"/>
                    </w:rPr>
                    <w:t>项目</w:t>
                  </w:r>
                </w:p>
              </w:tc>
              <w:tc>
                <w:tcPr>
                  <w:tcW w:w="3304" w:type="pct"/>
                  <w:tcBorders>
                    <w:top w:val="single" w:sz="4" w:space="0" w:color="auto"/>
                    <w:left w:val="nil"/>
                    <w:bottom w:val="single" w:sz="4" w:space="0" w:color="auto"/>
                    <w:right w:val="single" w:sz="4" w:space="0" w:color="auto"/>
                  </w:tcBorders>
                  <w:vAlign w:val="center"/>
                </w:tcPr>
                <w:p>
                  <w:pPr>
                    <w:pStyle w:val="Tab0"/>
                    <w:spacing w:before="24" w:beforeLines="10" w:after="24" w:afterLines="10"/>
                    <w:ind w:left="-105" w:right="-105" w:leftChars="-50" w:rightChars="-50"/>
                    <w:rPr>
                      <w:sz w:val="21"/>
                      <w:lang w:val="en-US" w:eastAsia="zh-CN"/>
                    </w:rPr>
                  </w:pPr>
                  <w:r>
                    <w:rPr>
                      <w:rFonts w:ascii="宋体" w:hAnsi="宋体" w:hint="eastAsia"/>
                      <w:sz w:val="21"/>
                      <w:lang w:val="en-US" w:eastAsia="zh-CN"/>
                    </w:rPr>
                    <w:t>本项目情况</w:t>
                  </w:r>
                </w:p>
              </w:tc>
              <w:tc>
                <w:tcPr>
                  <w:tcW w:w="605" w:type="pct"/>
                  <w:tcBorders>
                    <w:top w:val="single" w:sz="4" w:space="0" w:color="auto"/>
                    <w:left w:val="nil"/>
                    <w:bottom w:val="single" w:sz="4" w:space="0" w:color="auto"/>
                    <w:right w:val="single" w:sz="4" w:space="0" w:color="auto"/>
                  </w:tcBorders>
                  <w:vAlign w:val="center"/>
                </w:tcPr>
                <w:p>
                  <w:pPr>
                    <w:pStyle w:val="Tab0"/>
                    <w:spacing w:before="24" w:beforeLines="10" w:after="24" w:afterLines="10"/>
                    <w:ind w:left="-210" w:right="-210" w:leftChars="-100" w:rightChars="-100"/>
                    <w:rPr>
                      <w:sz w:val="21"/>
                      <w:lang w:val="en-US" w:eastAsia="zh-CN"/>
                    </w:rPr>
                  </w:pPr>
                  <w:r>
                    <w:rPr>
                      <w:sz w:val="21"/>
                      <w:lang w:val="en-US" w:eastAsia="zh-CN"/>
                    </w:rPr>
                    <w:t>符合性</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1091" w:type="pct"/>
                  <w:tcBorders>
                    <w:top w:val="single" w:sz="4" w:space="0" w:color="auto"/>
                    <w:left w:val="single" w:sz="4" w:space="0" w:color="auto"/>
                    <w:bottom w:val="single" w:sz="4" w:space="0" w:color="auto"/>
                    <w:right w:val="single" w:sz="4" w:space="0" w:color="auto"/>
                  </w:tcBorders>
                  <w:vAlign w:val="center"/>
                </w:tcPr>
                <w:p>
                  <w:pPr>
                    <w:pStyle w:val="Tab0"/>
                    <w:spacing w:before="24" w:beforeLines="10" w:after="24" w:afterLines="10"/>
                    <w:ind w:left="-105" w:right="-105" w:leftChars="-50" w:rightChars="-50"/>
                    <w:rPr>
                      <w:rFonts w:ascii="宋体" w:hAnsi="宋体"/>
                      <w:sz w:val="21"/>
                      <w:lang w:val="en-US" w:eastAsia="zh-CN"/>
                    </w:rPr>
                  </w:pPr>
                  <w:r>
                    <w:rPr>
                      <w:rFonts w:ascii="宋体" w:hAnsi="宋体" w:hint="eastAsia"/>
                      <w:sz w:val="21"/>
                      <w:lang w:val="en-US" w:eastAsia="zh-CN"/>
                    </w:rPr>
                    <w:t>生态保护红线</w:t>
                  </w:r>
                </w:p>
              </w:tc>
              <w:tc>
                <w:tcPr>
                  <w:tcW w:w="3304" w:type="pct"/>
                  <w:tcBorders>
                    <w:top w:val="single" w:sz="4" w:space="0" w:color="auto"/>
                    <w:left w:val="nil"/>
                    <w:bottom w:val="single" w:sz="4" w:space="0" w:color="auto"/>
                    <w:right w:val="single" w:sz="4" w:space="0" w:color="auto"/>
                  </w:tcBorders>
                  <w:vAlign w:val="center"/>
                </w:tcPr>
                <w:p>
                  <w:r>
                    <w:t>本项目位于陕西省澄城县经济技术开发区伟业大道南侧，项目位于重点管控单元。本项目建设不涉及生态保护红线、自然保护区、饮用水源保护区等生态保护目标，与陕西省生态保护区域规划相符。</w:t>
                  </w:r>
                </w:p>
              </w:tc>
              <w:tc>
                <w:tcPr>
                  <w:tcW w:w="605" w:type="pct"/>
                  <w:tcBorders>
                    <w:top w:val="single" w:sz="4" w:space="0" w:color="auto"/>
                    <w:left w:val="nil"/>
                    <w:bottom w:val="single" w:sz="4" w:space="0" w:color="auto"/>
                    <w:right w:val="single" w:sz="4" w:space="0" w:color="auto"/>
                  </w:tcBorders>
                  <w:vAlign w:val="center"/>
                </w:tcPr>
                <w:p>
                  <w:pPr>
                    <w:pStyle w:val="Tab0"/>
                    <w:spacing w:before="24" w:beforeLines="10" w:after="24" w:afterLines="10"/>
                    <w:ind w:left="-105" w:right="-105" w:leftChars="-50" w:rightChars="-50"/>
                    <w:rPr>
                      <w:rFonts w:hint="eastAsia"/>
                      <w:sz w:val="21"/>
                      <w:lang w:val="en-US" w:eastAsia="zh-CN"/>
                    </w:rPr>
                  </w:pPr>
                  <w:r>
                    <w:rPr>
                      <w:sz w:val="21"/>
                      <w:lang w:val="en-US" w:eastAsia="zh-CN"/>
                    </w:rPr>
                    <w:t>符合</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1091" w:type="pct"/>
                  <w:tcBorders>
                    <w:top w:val="single" w:sz="4" w:space="0" w:color="auto"/>
                    <w:left w:val="single" w:sz="4" w:space="0" w:color="auto"/>
                    <w:bottom w:val="single" w:sz="4" w:space="0" w:color="auto"/>
                    <w:right w:val="single" w:sz="4" w:space="0" w:color="auto"/>
                  </w:tcBorders>
                  <w:vAlign w:val="center"/>
                </w:tcPr>
                <w:p>
                  <w:pPr>
                    <w:pStyle w:val="Tab0"/>
                    <w:spacing w:before="24" w:beforeLines="10" w:after="24" w:afterLines="10"/>
                    <w:ind w:left="-105" w:right="-105" w:leftChars="-50" w:rightChars="-50"/>
                    <w:rPr>
                      <w:rFonts w:ascii="宋体" w:hAnsi="宋体"/>
                      <w:sz w:val="21"/>
                      <w:lang w:val="en-US" w:eastAsia="zh-CN"/>
                    </w:rPr>
                  </w:pPr>
                  <w:r>
                    <w:rPr>
                      <w:rFonts w:ascii="宋体" w:hAnsi="宋体" w:hint="eastAsia"/>
                      <w:sz w:val="21"/>
                      <w:lang w:val="en-US" w:eastAsia="zh-CN"/>
                    </w:rPr>
                    <w:t>环境质量底线</w:t>
                  </w:r>
                </w:p>
              </w:tc>
              <w:tc>
                <w:tcPr>
                  <w:tcW w:w="3304" w:type="pct"/>
                  <w:tcBorders>
                    <w:top w:val="single" w:sz="4" w:space="0" w:color="auto"/>
                    <w:left w:val="nil"/>
                    <w:bottom w:val="single" w:sz="4" w:space="0" w:color="auto"/>
                    <w:right w:val="single" w:sz="4" w:space="0" w:color="auto"/>
                  </w:tcBorders>
                  <w:vAlign w:val="center"/>
                </w:tcPr>
                <w:p>
                  <w:r>
                    <w:t>本项目运营期采取本次环评提出的治理措施后，废气、废水、噪声均可实现达标排放，固体废物均得到合理的处理和处置，建设项目未触及环境质量底线要求。</w:t>
                  </w:r>
                </w:p>
              </w:tc>
              <w:tc>
                <w:tcPr>
                  <w:tcW w:w="605" w:type="pct"/>
                  <w:tcBorders>
                    <w:top w:val="single" w:sz="4" w:space="0" w:color="auto"/>
                    <w:left w:val="nil"/>
                    <w:bottom w:val="single" w:sz="4" w:space="0" w:color="auto"/>
                    <w:right w:val="single" w:sz="4" w:space="0" w:color="auto"/>
                  </w:tcBorders>
                  <w:vAlign w:val="center"/>
                </w:tcPr>
                <w:p>
                  <w:pPr>
                    <w:pStyle w:val="Tab0"/>
                    <w:spacing w:before="24" w:beforeLines="10" w:after="24" w:afterLines="10"/>
                    <w:ind w:left="-105" w:right="-105" w:leftChars="-50" w:rightChars="-50"/>
                    <w:rPr>
                      <w:sz w:val="21"/>
                      <w:lang w:val="en-US" w:eastAsia="zh-CN"/>
                    </w:rPr>
                  </w:pPr>
                  <w:r>
                    <w:rPr>
                      <w:sz w:val="21"/>
                      <w:lang w:val="en-US" w:eastAsia="zh-CN"/>
                    </w:rPr>
                    <w:t>符合</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1091" w:type="pct"/>
                  <w:tcBorders>
                    <w:top w:val="single" w:sz="4" w:space="0" w:color="auto"/>
                    <w:left w:val="single" w:sz="4" w:space="0" w:color="auto"/>
                    <w:bottom w:val="single" w:sz="4" w:space="0" w:color="auto"/>
                    <w:right w:val="single" w:sz="4" w:space="0" w:color="auto"/>
                  </w:tcBorders>
                  <w:vAlign w:val="center"/>
                </w:tcPr>
                <w:p>
                  <w:pPr>
                    <w:pStyle w:val="Tab0"/>
                    <w:spacing w:before="24" w:beforeLines="10" w:after="24" w:afterLines="10"/>
                    <w:ind w:left="-105" w:right="-105" w:leftChars="-50" w:rightChars="-50"/>
                    <w:rPr>
                      <w:rFonts w:ascii="宋体" w:hAnsi="宋体"/>
                      <w:sz w:val="21"/>
                      <w:lang w:val="en-US" w:eastAsia="zh-CN"/>
                    </w:rPr>
                  </w:pPr>
                  <w:r>
                    <w:rPr>
                      <w:rFonts w:ascii="宋体" w:hAnsi="宋体" w:hint="eastAsia"/>
                      <w:sz w:val="21"/>
                      <w:lang w:val="en-US" w:eastAsia="zh-CN"/>
                    </w:rPr>
                    <w:t>资源利用上线</w:t>
                  </w:r>
                </w:p>
              </w:tc>
              <w:tc>
                <w:tcPr>
                  <w:tcW w:w="3304" w:type="pct"/>
                  <w:tcBorders>
                    <w:top w:val="single" w:sz="4" w:space="0" w:color="auto"/>
                    <w:left w:val="nil"/>
                    <w:bottom w:val="single" w:sz="4" w:space="0" w:color="auto"/>
                    <w:right w:val="single" w:sz="4" w:space="0" w:color="auto"/>
                  </w:tcBorders>
                  <w:vAlign w:val="center"/>
                </w:tcPr>
                <w:p>
                  <w:r>
                    <w:t>本项目新鲜水依托市政管网，电能主要依托当地电网供给，项目不属于高耗水、耗电企业。因此本项目满足资源利用上线的要求。</w:t>
                  </w:r>
                </w:p>
              </w:tc>
              <w:tc>
                <w:tcPr>
                  <w:tcW w:w="605" w:type="pct"/>
                  <w:tcBorders>
                    <w:top w:val="single" w:sz="4" w:space="0" w:color="auto"/>
                    <w:left w:val="nil"/>
                    <w:bottom w:val="single" w:sz="4" w:space="0" w:color="auto"/>
                    <w:right w:val="single" w:sz="4" w:space="0" w:color="auto"/>
                  </w:tcBorders>
                  <w:vAlign w:val="center"/>
                </w:tcPr>
                <w:p>
                  <w:pPr>
                    <w:pStyle w:val="Tab0"/>
                    <w:spacing w:before="24" w:beforeLines="10" w:after="24" w:afterLines="10"/>
                    <w:ind w:left="-105" w:right="-105" w:leftChars="-50" w:rightChars="-50"/>
                    <w:rPr>
                      <w:rFonts w:hint="eastAsia"/>
                      <w:sz w:val="21"/>
                      <w:lang w:val="en-US" w:eastAsia="zh-CN"/>
                    </w:rPr>
                  </w:pPr>
                  <w:r>
                    <w:rPr>
                      <w:sz w:val="21"/>
                      <w:lang w:val="en-US" w:eastAsia="zh-CN"/>
                    </w:rPr>
                    <w:t>符合</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1091" w:type="pct"/>
                  <w:tcBorders>
                    <w:top w:val="single" w:sz="4" w:space="0" w:color="auto"/>
                    <w:left w:val="single" w:sz="4" w:space="0" w:color="auto"/>
                    <w:bottom w:val="single" w:sz="4" w:space="0" w:color="auto"/>
                    <w:right w:val="single" w:sz="4" w:space="0" w:color="auto"/>
                  </w:tcBorders>
                  <w:vAlign w:val="center"/>
                </w:tcPr>
                <w:p>
                  <w:pPr>
                    <w:pStyle w:val="Tab0"/>
                    <w:spacing w:before="24" w:beforeLines="10" w:after="24" w:afterLines="10"/>
                    <w:ind w:left="-105" w:right="-105" w:leftChars="-50" w:rightChars="-50"/>
                    <w:rPr>
                      <w:rFonts w:ascii="宋体" w:hAnsi="宋体"/>
                      <w:sz w:val="21"/>
                      <w:lang w:val="en-US" w:eastAsia="zh-CN"/>
                    </w:rPr>
                  </w:pPr>
                  <w:r>
                    <w:rPr>
                      <w:rFonts w:ascii="宋体" w:hAnsi="宋体" w:hint="eastAsia"/>
                      <w:sz w:val="21"/>
                      <w:lang w:val="en-US" w:eastAsia="zh-CN"/>
                    </w:rPr>
                    <w:t>生态环境准入负面清单</w:t>
                  </w:r>
                </w:p>
              </w:tc>
              <w:tc>
                <w:tcPr>
                  <w:tcW w:w="3304" w:type="pct"/>
                  <w:tcBorders>
                    <w:top w:val="single" w:sz="4" w:space="0" w:color="auto"/>
                    <w:left w:val="nil"/>
                    <w:bottom w:val="single" w:sz="4" w:space="0" w:color="auto"/>
                    <w:right w:val="single" w:sz="4" w:space="0" w:color="auto"/>
                  </w:tcBorders>
                  <w:vAlign w:val="center"/>
                </w:tcPr>
                <w:p>
                  <w:r>
                    <w:t>项目不属于《市场准入负面清单（2020年版）》中的禁止行业，本项目不在陕发改规划[2018]213号发《陕西省国家重点生态功能区产业准入负面清单(试行)》之内。</w:t>
                  </w:r>
                </w:p>
              </w:tc>
              <w:tc>
                <w:tcPr>
                  <w:tcW w:w="605" w:type="pct"/>
                  <w:tcBorders>
                    <w:top w:val="single" w:sz="4" w:space="0" w:color="auto"/>
                    <w:left w:val="nil"/>
                    <w:bottom w:val="single" w:sz="4" w:space="0" w:color="auto"/>
                    <w:right w:val="single" w:sz="4" w:space="0" w:color="auto"/>
                  </w:tcBorders>
                  <w:vAlign w:val="center"/>
                </w:tcPr>
                <w:p>
                  <w:pPr>
                    <w:pStyle w:val="Tab0"/>
                    <w:spacing w:before="24" w:beforeLines="10" w:after="24" w:afterLines="10"/>
                    <w:ind w:left="-105" w:right="-105" w:leftChars="-50" w:rightChars="-50"/>
                    <w:rPr>
                      <w:rFonts w:ascii="宋体" w:hAnsi="宋体" w:hint="eastAsia"/>
                      <w:sz w:val="21"/>
                      <w:lang w:val="en-US" w:eastAsia="zh-CN"/>
                    </w:rPr>
                  </w:pPr>
                  <w:r>
                    <w:rPr>
                      <w:sz w:val="21"/>
                      <w:lang w:val="en-US" w:eastAsia="zh-CN"/>
                    </w:rPr>
                    <w:t>符合</w:t>
                  </w:r>
                </w:p>
              </w:tc>
            </w:tr>
          </w:tbl>
          <w:p>
            <w:pPr>
              <w:pStyle w:val="a22"/>
              <w:tabs>
                <w:tab w:val="left" w:pos="540"/>
              </w:tabs>
              <w:spacing w:before="168" w:beforeLines="70"/>
              <w:ind w:firstLine="0" w:firstLineChars="0"/>
              <w:rPr>
                <w:szCs w:val="20"/>
                <w:lang w:val="en-US" w:eastAsia="zh-CN"/>
              </w:rPr>
            </w:pPr>
            <w:r>
              <w:rPr>
                <w:szCs w:val="20"/>
                <w:lang w:val="en-US" w:eastAsia="zh-CN"/>
              </w:rPr>
              <w:t>3</w:t>
            </w:r>
            <w:r>
              <w:rPr>
                <w:rFonts w:hint="eastAsia"/>
                <w:szCs w:val="20"/>
                <w:lang w:val="en-US" w:eastAsia="zh-CN"/>
              </w:rPr>
              <w:t>、</w:t>
            </w:r>
            <w:r>
              <w:rPr>
                <w:rFonts w:hint="eastAsia"/>
                <w:lang w:val="en-US" w:eastAsia="zh-CN"/>
              </w:rPr>
              <w:t>与相关规划及环保管理政策的符合性分析</w:t>
            </w:r>
          </w:p>
          <w:p>
            <w:pPr>
              <w:pStyle w:val="a22"/>
              <w:tabs>
                <w:tab w:val="left" w:pos="540"/>
              </w:tabs>
              <w:ind w:firstLine="480"/>
              <w:rPr>
                <w:rFonts w:hint="eastAsia"/>
                <w:szCs w:val="20"/>
                <w:lang w:val="en-US" w:eastAsia="zh-CN"/>
              </w:rPr>
            </w:pPr>
            <w:r>
              <w:rPr>
                <w:szCs w:val="20"/>
                <w:lang w:val="en-US" w:eastAsia="zh-CN"/>
              </w:rPr>
              <w:t>本项目</w:t>
            </w:r>
            <w:r>
              <w:rPr>
                <w:rFonts w:hint="eastAsia"/>
                <w:lang w:val="en-US" w:eastAsia="zh-CN"/>
              </w:rPr>
              <w:t>与相关规划及环保管理政策的符合性分析</w:t>
            </w:r>
            <w:r>
              <w:rPr>
                <w:szCs w:val="20"/>
                <w:lang w:val="en-US" w:eastAsia="zh-CN"/>
              </w:rPr>
              <w:t>见</w:t>
            </w:r>
            <w:r>
              <w:rPr>
                <w:rFonts w:hint="eastAsia"/>
                <w:szCs w:val="20"/>
                <w:lang w:val="en-US" w:eastAsia="zh-CN"/>
              </w:rPr>
              <w:t>下</w:t>
            </w:r>
            <w:r>
              <w:rPr>
                <w:szCs w:val="20"/>
                <w:lang w:val="en-US" w:eastAsia="zh-CN"/>
              </w:rPr>
              <w:t>表</w:t>
            </w:r>
            <w:r>
              <w:rPr>
                <w:rFonts w:hint="eastAsia"/>
                <w:szCs w:val="20"/>
                <w:lang w:val="en-US" w:eastAsia="zh-CN"/>
              </w:rPr>
              <w:t>。</w:t>
            </w:r>
          </w:p>
          <w:p>
            <w:pPr>
              <w:pStyle w:val="0"/>
            </w:pPr>
            <w:r>
              <w:t xml:space="preserve">表1-4  </w:t>
            </w:r>
            <w:r>
              <w:rPr>
                <w:rFonts w:hint="eastAsia"/>
              </w:rPr>
              <w:t>相关规划及环保管理政策的符合性分析一览表</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4"/>
              <w:gridCol w:w="3204"/>
              <w:gridCol w:w="1610"/>
              <w:gridCol w:w="658"/>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0"/>
                <w:jc w:val="center"/>
              </w:trPr>
              <w:tc>
                <w:tcPr>
                  <w:tcW w:w="883" w:type="pct"/>
                  <w:vAlign w:val="center"/>
                </w:tcPr>
                <w:p>
                  <w:pPr>
                    <w:pStyle w:val="Tab0"/>
                    <w:ind w:left="-105" w:right="-105" w:leftChars="-50" w:rightChars="-50"/>
                    <w:rPr>
                      <w:color w:val="auto"/>
                      <w:sz w:val="21"/>
                      <w:lang w:val="en-US" w:eastAsia="zh-CN"/>
                    </w:rPr>
                  </w:pPr>
                  <w:r>
                    <w:rPr>
                      <w:color w:val="auto"/>
                      <w:sz w:val="21"/>
                      <w:lang w:val="en-US" w:eastAsia="zh-CN"/>
                    </w:rPr>
                    <w:t>相关环保</w:t>
                  </w:r>
                </w:p>
                <w:p>
                  <w:pPr>
                    <w:pStyle w:val="Tab0"/>
                    <w:ind w:left="-105" w:right="-105" w:leftChars="-50" w:rightChars="-50"/>
                    <w:rPr>
                      <w:color w:val="auto"/>
                      <w:sz w:val="21"/>
                      <w:lang w:val="en-US" w:eastAsia="zh-CN"/>
                    </w:rPr>
                  </w:pPr>
                  <w:r>
                    <w:rPr>
                      <w:color w:val="auto"/>
                      <w:sz w:val="21"/>
                      <w:lang w:val="en-US" w:eastAsia="zh-CN"/>
                    </w:rPr>
                    <w:t>管理政策</w:t>
                  </w:r>
                </w:p>
              </w:tc>
              <w:tc>
                <w:tcPr>
                  <w:tcW w:w="2410" w:type="pct"/>
                  <w:vAlign w:val="center"/>
                </w:tcPr>
                <w:p>
                  <w:pPr>
                    <w:pStyle w:val="Tab0"/>
                    <w:ind w:left="-105" w:right="-105" w:leftChars="-50" w:rightChars="-50"/>
                    <w:rPr>
                      <w:color w:val="auto"/>
                      <w:sz w:val="21"/>
                      <w:lang w:val="en-US" w:eastAsia="zh-CN"/>
                    </w:rPr>
                  </w:pPr>
                  <w:r>
                    <w:rPr>
                      <w:color w:val="auto"/>
                      <w:sz w:val="21"/>
                      <w:lang w:val="en-US" w:eastAsia="zh-CN"/>
                    </w:rPr>
                    <w:t>相关要求</w:t>
                  </w:r>
                </w:p>
              </w:tc>
              <w:tc>
                <w:tcPr>
                  <w:tcW w:w="1211" w:type="pct"/>
                  <w:vAlign w:val="center"/>
                </w:tcPr>
                <w:p>
                  <w:pPr>
                    <w:pStyle w:val="Tab0"/>
                    <w:spacing w:before="48" w:beforeLines="20" w:after="48" w:afterLines="20"/>
                    <w:ind w:left="-105" w:right="-105" w:leftChars="-50" w:rightChars="-50"/>
                    <w:rPr>
                      <w:color w:val="auto"/>
                      <w:sz w:val="21"/>
                      <w:lang w:val="en-US" w:eastAsia="zh-CN"/>
                    </w:rPr>
                  </w:pPr>
                  <w:r>
                    <w:rPr>
                      <w:color w:val="auto"/>
                      <w:sz w:val="21"/>
                      <w:lang w:val="en-US" w:eastAsia="zh-CN"/>
                    </w:rPr>
                    <w:t>本项目情况</w:t>
                  </w:r>
                </w:p>
              </w:tc>
              <w:tc>
                <w:tcPr>
                  <w:tcW w:w="495" w:type="pct"/>
                  <w:vAlign w:val="center"/>
                </w:tcPr>
                <w:p>
                  <w:pPr>
                    <w:pStyle w:val="Tab0"/>
                    <w:spacing w:before="48" w:beforeLines="20" w:after="48" w:afterLines="20"/>
                    <w:ind w:left="-105" w:right="-105" w:leftChars="-50" w:rightChars="-50"/>
                    <w:rPr>
                      <w:color w:val="auto"/>
                      <w:sz w:val="21"/>
                      <w:lang w:val="en-US" w:eastAsia="zh-CN"/>
                    </w:rPr>
                  </w:pPr>
                  <w:r>
                    <w:rPr>
                      <w:color w:val="auto"/>
                      <w:sz w:val="21"/>
                      <w:lang w:val="en-US" w:eastAsia="zh-CN"/>
                    </w:rPr>
                    <w:t>符合性</w:t>
                  </w:r>
                </w:p>
              </w:tc>
            </w:tr>
            <w:tr>
              <w:tblPrEx>
                <w:tblW w:w="5000" w:type="pct"/>
                <w:jc w:val="center"/>
                <w:tblInd w:w="113" w:type="dxa"/>
                <w:tblCellMar>
                  <w:top w:w="0" w:type="dxa"/>
                  <w:left w:w="108" w:type="dxa"/>
                  <w:bottom w:w="0" w:type="dxa"/>
                  <w:right w:w="108" w:type="dxa"/>
                </w:tblCellMar>
                <w:tblLook w:val="0000"/>
              </w:tblPrEx>
              <w:trPr>
                <w:trHeight w:val="20"/>
                <w:jc w:val="center"/>
              </w:trPr>
              <w:tc>
                <w:tcPr>
                  <w:tcW w:w="883" w:type="pct"/>
                  <w:vMerge w:val="restart"/>
                  <w:vAlign w:val="center"/>
                </w:tcPr>
                <w:p>
                  <w:pPr>
                    <w:pStyle w:val="Tab0"/>
                    <w:ind w:left="-105" w:right="-105" w:leftChars="-50" w:rightChars="-50"/>
                    <w:jc w:val="both"/>
                    <w:rPr>
                      <w:color w:val="auto"/>
                      <w:sz w:val="21"/>
                      <w:lang w:val="en-US" w:eastAsia="zh-CN"/>
                    </w:rPr>
                  </w:pPr>
                  <w:r>
                    <w:rPr>
                      <w:rFonts w:ascii="宋体" w:hAnsi="宋体"/>
                      <w:color w:val="auto"/>
                      <w:sz w:val="21"/>
                      <w:lang w:val="en-US" w:eastAsia="zh-CN"/>
                    </w:rPr>
                    <w:t>“</w:t>
                  </w:r>
                  <w:r>
                    <w:rPr>
                      <w:rFonts w:ascii="宋体" w:hAnsi="宋体" w:hint="eastAsia"/>
                      <w:color w:val="auto"/>
                      <w:sz w:val="21"/>
                      <w:lang w:val="en-US" w:eastAsia="zh-CN"/>
                    </w:rPr>
                    <w:t>陕西省十四五</w:t>
                  </w:r>
                  <w:r>
                    <w:rPr>
                      <w:rFonts w:ascii="宋体" w:hAnsi="宋体"/>
                      <w:color w:val="auto"/>
                      <w:sz w:val="21"/>
                      <w:lang w:val="en-US" w:eastAsia="zh-CN"/>
                    </w:rPr>
                    <w:t>”</w:t>
                  </w:r>
                  <w:r>
                    <w:rPr>
                      <w:rFonts w:ascii="宋体" w:hAnsi="宋体" w:hint="eastAsia"/>
                      <w:color w:val="auto"/>
                      <w:sz w:val="21"/>
                      <w:lang w:val="en-US" w:eastAsia="zh-CN"/>
                    </w:rPr>
                    <w:t>生态环境保护规划</w:t>
                  </w:r>
                </w:p>
              </w:tc>
              <w:tc>
                <w:tcPr>
                  <w:tcW w:w="2410" w:type="pct"/>
                  <w:vAlign w:val="center"/>
                </w:tcPr>
                <w:p>
                  <w:pPr>
                    <w:adjustRightInd w:val="0"/>
                    <w:snapToGrid w:val="0"/>
                    <w:ind w:left="-63" w:right="-63" w:leftChars="-30" w:rightChars="-30"/>
                    <w:rPr>
                      <w:rFonts w:hint="eastAsia"/>
                      <w:color w:val="auto"/>
                    </w:rPr>
                  </w:pPr>
                  <w:r>
                    <w:rPr>
                      <w:rFonts w:hint="eastAsia"/>
                      <w:color w:val="auto"/>
                    </w:rPr>
                    <w:t>推进重点行业挥发性有机物综合整治。建立石化、化工、工业涂装、包装印刷、家具、电子制造、工程机械制造等重点行业源头、过程和末端全过程控制体系，实施挥发性有机物总量控制。</w:t>
                  </w:r>
                </w:p>
              </w:tc>
              <w:tc>
                <w:tcPr>
                  <w:tcW w:w="1211" w:type="pct"/>
                  <w:vMerge w:val="restart"/>
                  <w:vAlign w:val="center"/>
                </w:tcPr>
                <w:p>
                  <w:pPr>
                    <w:pStyle w:val="Tab0"/>
                    <w:spacing w:before="48" w:beforeLines="20" w:after="48" w:afterLines="20"/>
                    <w:ind w:left="-105" w:right="-105" w:leftChars="-50" w:rightChars="-50"/>
                    <w:jc w:val="both"/>
                    <w:rPr>
                      <w:color w:val="auto"/>
                      <w:sz w:val="21"/>
                      <w:lang w:val="en-US" w:eastAsia="zh-CN"/>
                    </w:rPr>
                  </w:pPr>
                  <w:r>
                    <w:rPr>
                      <w:rFonts w:hint="eastAsia"/>
                      <w:color w:val="auto"/>
                      <w:sz w:val="21"/>
                      <w:lang w:val="en-US" w:eastAsia="zh-CN"/>
                    </w:rPr>
                    <w:t>本项目</w:t>
                  </w:r>
                  <w:r>
                    <w:rPr>
                      <w:color w:val="auto"/>
                      <w:lang w:val="en-US" w:eastAsia="zh-CN"/>
                    </w:rPr>
                    <w:t>为涂料制造行业（水性环氧地坪漆），均使用低VOCs含量、低反应活性的原辅材料。项目产生的挥发性有机物采用活性炭吸附装置进行处理达标排放。</w:t>
                  </w:r>
                </w:p>
              </w:tc>
              <w:tc>
                <w:tcPr>
                  <w:tcW w:w="495" w:type="pct"/>
                  <w:vMerge w:val="restart"/>
                  <w:vAlign w:val="center"/>
                </w:tcPr>
                <w:p>
                  <w:pPr>
                    <w:pStyle w:val="Tab0"/>
                    <w:spacing w:before="48" w:beforeLines="20" w:after="48" w:afterLines="20"/>
                    <w:ind w:left="-105" w:right="-105" w:leftChars="-50" w:rightChars="-50"/>
                    <w:rPr>
                      <w:color w:val="auto"/>
                      <w:sz w:val="21"/>
                      <w:lang w:val="en-US" w:eastAsia="zh-CN"/>
                    </w:rPr>
                  </w:pPr>
                  <w:r>
                    <w:rPr>
                      <w:rFonts w:hint="eastAsia"/>
                      <w:color w:val="auto"/>
                      <w:sz w:val="21"/>
                      <w:lang w:val="en-US" w:eastAsia="zh-CN"/>
                    </w:rPr>
                    <w:t>符合</w:t>
                  </w:r>
                </w:p>
              </w:tc>
            </w:tr>
            <w:tr>
              <w:tblPrEx>
                <w:tblW w:w="5000" w:type="pct"/>
                <w:jc w:val="center"/>
                <w:tblInd w:w="113" w:type="dxa"/>
                <w:tblCellMar>
                  <w:top w:w="0" w:type="dxa"/>
                  <w:left w:w="108" w:type="dxa"/>
                  <w:bottom w:w="0" w:type="dxa"/>
                  <w:right w:w="108" w:type="dxa"/>
                </w:tblCellMar>
                <w:tblLook w:val="0000"/>
              </w:tblPrEx>
              <w:trPr>
                <w:trHeight w:val="20"/>
                <w:jc w:val="center"/>
              </w:trPr>
              <w:tc>
                <w:tcPr>
                  <w:tcW w:w="883" w:type="pct"/>
                  <w:vMerge/>
                  <w:vAlign w:val="center"/>
                </w:tcPr>
                <w:p>
                  <w:pPr>
                    <w:pStyle w:val="Tab0"/>
                    <w:ind w:left="-105" w:right="-105" w:leftChars="-50" w:rightChars="-50"/>
                    <w:jc w:val="both"/>
                    <w:rPr>
                      <w:rFonts w:ascii="宋体" w:hAnsi="宋体"/>
                      <w:color w:val="auto"/>
                      <w:sz w:val="21"/>
                      <w:lang w:val="en-US" w:eastAsia="zh-CN"/>
                    </w:rPr>
                  </w:pPr>
                </w:p>
              </w:tc>
              <w:tc>
                <w:tcPr>
                  <w:tcW w:w="2410" w:type="pct"/>
                  <w:vAlign w:val="center"/>
                </w:tcPr>
                <w:p>
                  <w:pPr>
                    <w:adjustRightInd w:val="0"/>
                    <w:snapToGrid w:val="0"/>
                    <w:ind w:left="-63" w:right="-63" w:leftChars="-30" w:rightChars="-30"/>
                    <w:rPr>
                      <w:rFonts w:hint="eastAsia"/>
                      <w:color w:val="auto"/>
                    </w:rPr>
                  </w:pPr>
                  <w:r>
                    <w:rPr>
                      <w:rFonts w:hint="eastAsia"/>
                      <w:color w:val="auto"/>
                    </w:rPr>
                    <w:t>全面落实《挥发性有机物无组织排放控制标准</w:t>
                  </w:r>
                  <w:r>
                    <w:rPr>
                      <w:color w:val="auto"/>
                    </w:rPr>
                    <w:t>(GB37822-2019)</w:t>
                  </w:r>
                  <w:r>
                    <w:rPr>
                      <w:rFonts w:hint="eastAsia"/>
                      <w:color w:val="auto"/>
                    </w:rPr>
                    <w:t>》要求，持续开展无组织排放排查整治工作，加强含挥发性有机物物料全方位、全链条、全环节密闭管理。</w:t>
                  </w:r>
                </w:p>
              </w:tc>
              <w:tc>
                <w:tcPr>
                  <w:tcW w:w="1211" w:type="pct"/>
                  <w:vMerge/>
                  <w:vAlign w:val="center"/>
                </w:tcPr>
                <w:p>
                  <w:pPr>
                    <w:pStyle w:val="Tab0"/>
                    <w:spacing w:before="48" w:beforeLines="20" w:after="48" w:afterLines="20"/>
                    <w:ind w:left="-105" w:right="-105" w:leftChars="-50" w:rightChars="-50"/>
                    <w:jc w:val="both"/>
                    <w:rPr>
                      <w:rFonts w:hint="eastAsia"/>
                      <w:color w:val="auto"/>
                      <w:sz w:val="21"/>
                      <w:lang w:val="en-US" w:eastAsia="zh-CN"/>
                    </w:rPr>
                  </w:pPr>
                </w:p>
              </w:tc>
              <w:tc>
                <w:tcPr>
                  <w:tcW w:w="495" w:type="pct"/>
                  <w:vMerge/>
                  <w:vAlign w:val="center"/>
                </w:tcPr>
                <w:p>
                  <w:pPr>
                    <w:pStyle w:val="Tab0"/>
                    <w:spacing w:before="48" w:beforeLines="20" w:after="48" w:afterLines="20"/>
                    <w:ind w:left="-105" w:right="-105" w:leftChars="-50" w:rightChars="-50"/>
                    <w:rPr>
                      <w:rFonts w:hint="eastAsia"/>
                      <w:color w:val="auto"/>
                      <w:sz w:val="21"/>
                      <w:lang w:val="en-US" w:eastAsia="zh-CN"/>
                    </w:rPr>
                  </w:pPr>
                </w:p>
              </w:tc>
            </w:tr>
            <w:tr>
              <w:tblPrEx>
                <w:tblW w:w="5000" w:type="pct"/>
                <w:jc w:val="center"/>
                <w:tblInd w:w="113" w:type="dxa"/>
                <w:tblCellMar>
                  <w:top w:w="0" w:type="dxa"/>
                  <w:left w:w="108" w:type="dxa"/>
                  <w:bottom w:w="0" w:type="dxa"/>
                  <w:right w:w="108" w:type="dxa"/>
                </w:tblCellMar>
                <w:tblLook w:val="0000"/>
              </w:tblPrEx>
              <w:trPr>
                <w:trHeight w:val="20"/>
                <w:jc w:val="center"/>
              </w:trPr>
              <w:tc>
                <w:tcPr>
                  <w:tcW w:w="883" w:type="pct"/>
                  <w:vMerge/>
                  <w:vAlign w:val="center"/>
                </w:tcPr>
                <w:p>
                  <w:pPr>
                    <w:pStyle w:val="Tab0"/>
                    <w:ind w:left="-105" w:right="-105" w:leftChars="-50" w:rightChars="-50"/>
                    <w:jc w:val="both"/>
                    <w:rPr>
                      <w:rFonts w:ascii="宋体" w:hAnsi="宋体"/>
                      <w:color w:val="auto"/>
                      <w:sz w:val="21"/>
                      <w:lang w:val="en-US" w:eastAsia="zh-CN"/>
                    </w:rPr>
                  </w:pPr>
                </w:p>
              </w:tc>
              <w:tc>
                <w:tcPr>
                  <w:tcW w:w="2410" w:type="pct"/>
                  <w:vAlign w:val="center"/>
                </w:tcPr>
                <w:p>
                  <w:pPr>
                    <w:adjustRightInd w:val="0"/>
                    <w:snapToGrid w:val="0"/>
                    <w:spacing w:after="0"/>
                    <w:ind w:left="-63" w:right="-63" w:leftChars="-30" w:rightChars="-30"/>
                    <w:rPr>
                      <w:rFonts w:hint="eastAsia"/>
                      <w:color w:val="auto"/>
                    </w:rPr>
                  </w:pPr>
                </w:p>
              </w:tc>
              <w:tc>
                <w:tcPr>
                  <w:tcW w:w="1211" w:type="pct"/>
                  <w:vAlign w:val="center"/>
                </w:tcPr>
                <w:p>
                  <w:pPr>
                    <w:pStyle w:val="Tab0"/>
                    <w:spacing w:before="48" w:beforeLines="20" w:after="48" w:afterLines="20"/>
                    <w:ind w:left="-105" w:right="-105" w:leftChars="-50" w:rightChars="-50"/>
                    <w:jc w:val="both"/>
                    <w:rPr>
                      <w:color w:val="auto"/>
                      <w:sz w:val="21"/>
                      <w:lang w:val="en-US" w:eastAsia="zh-CN"/>
                    </w:rPr>
                  </w:pPr>
                  <w:r>
                    <w:rPr>
                      <w:color w:val="auto"/>
                      <w:lang w:val="en-US" w:eastAsia="zh-CN"/>
                    </w:rPr>
                    <w:t>本项目针对产生的挥发性有机物，采用了活性炭吸附对有机废气集中收集处理，尾气经15m高排气筒排放。</w:t>
                  </w:r>
                </w:p>
              </w:tc>
              <w:tc>
                <w:tcPr>
                  <w:tcW w:w="495" w:type="pct"/>
                  <w:vAlign w:val="center"/>
                </w:tcPr>
                <w:p>
                  <w:pPr>
                    <w:pStyle w:val="Tab0"/>
                    <w:spacing w:before="48" w:beforeLines="20" w:after="48" w:afterLines="20"/>
                    <w:ind w:left="-105" w:right="-105" w:leftChars="-50" w:rightChars="-50"/>
                    <w:rPr>
                      <w:color w:val="auto"/>
                      <w:sz w:val="21"/>
                      <w:lang w:val="en-US" w:eastAsia="zh-CN"/>
                    </w:rPr>
                  </w:pPr>
                  <w:r>
                    <w:rPr>
                      <w:rFonts w:hint="eastAsia"/>
                      <w:color w:val="auto"/>
                      <w:sz w:val="21"/>
                      <w:lang w:val="en-US" w:eastAsia="zh-CN"/>
                    </w:rPr>
                    <w:t>符合</w:t>
                  </w:r>
                </w:p>
              </w:tc>
            </w:tr>
          </w:tbl>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https://d.book118.com/235033032312011124</w:t>
        </w:r>
      </w:hyperlink>
    </w:p>
    <w:p/>
    <w:sectPr>
      <w:footerReference w:type="even" r:id="rId15"/>
      <w:footerReference w:type="default" r:id="rId16"/>
      <w:type w:val="nextPage"/>
      <w:pgSz w:w="11906" w:h="16838"/>
      <w:pgMar w:top="1701" w:right="1531" w:bottom="1701" w:left="1531" w:header="851" w:footer="1077" w:gutter="0"/>
      <w:pgNumType w:start="5"/>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1" w:usb1="080E0000" w:usb2="00000000" w:usb3="00000000" w:csb0="00040000" w:csb1="00000000"/>
  </w:font>
  <w:font w:name="方正小标宋_GBK">
    <w:altName w:val="微软雅黑"/>
    <w:panose1 w:val="00000000000000000000"/>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MS Mincho">
    <w:altName w:val="MS UI Gothic"/>
    <w:panose1 w:val="02020609040205080304"/>
    <w:charset w:val="80"/>
    <w:family w:val="modern"/>
    <w:pitch w:val="default"/>
    <w:sig w:usb0="E00002FF" w:usb1="6AC7FDFB" w:usb2="00000012" w:usb3="00000000" w:csb0="4002009F" w:csb1="DFD70000"/>
  </w:font>
  <w:font w:name="Wingdings 2">
    <w:altName w:val="Wingdings"/>
    <w:panose1 w:val="05020102010507070707"/>
    <w:charset w:val="02"/>
    <w:family w:val="roman"/>
    <w:pitch w:val="default"/>
    <w:sig w:usb0="00000000" w:usb1="00000000" w:usb2="00000000" w:usb3="00000000" w:csb0="80000000" w:csb1="00000000"/>
  </w:font>
  <w:font w:name="TimesNewRomanPSMT">
    <w:altName w:val="Times New Roman"/>
    <w:panose1 w:val="00000000000000000000"/>
    <w:charset w:val="00"/>
    <w:family w:val="roman"/>
    <w:pitch w:val="default"/>
    <w:sig w:usb0="00000000" w:usb1="00000000" w:usb2="00000000" w:usb3="00000000" w:csb0="00040001" w:csb1="00000000"/>
  </w:font>
  <w:font w:name="imes New Roman">
    <w:altName w:val="Cambria"/>
    <w:panose1 w:val="00000000000000000000"/>
    <w:charset w:val="00"/>
    <w:family w:val="roman"/>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1</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2</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4</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5</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5</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5EB3D5"/>
    <w:multiLevelType w:val="singleLevel"/>
    <w:tmpl w:val="315EB3D5"/>
    <w:lvl w:ilvl="0">
      <w:start w:val="1"/>
      <w:numFmt w:val="bullet"/>
      <w:lvlText w:val=""/>
      <w:lvlJc w:val="left"/>
      <w:pPr>
        <w:tabs>
          <w:tab w:val="num" w:pos="2040"/>
        </w:tabs>
        <w:ind w:left="2040" w:hanging="360"/>
      </w:pPr>
      <w:rPr>
        <w:rFonts w:ascii="Wingdings" w:hAnsi="Wingdings" w:hint="default"/>
      </w:rPr>
    </w:lvl>
  </w:abstractNum>
  <w:abstractNum w:abstractNumId="1">
    <w:nsid w:val="58E44C94"/>
    <w:multiLevelType w:val="singleLevel"/>
    <w:tmpl w:val="58E44C94"/>
    <w:lvl w:ilvl="0">
      <w:start w:val="1"/>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stylePaneFormatFilter w:val="3F01"/>
  <w:documentProtection w:edit="trackedChanges" w:enforcement="0"/>
  <w:defaultTabStop w:val="420"/>
  <w:doNotHyphenateCaps/>
  <w:drawingGridVerticalSpacing w:val="156"/>
  <w:noPunctuationKerning/>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73D"/>
    <w:rsid w:val="00001DDE"/>
    <w:rsid w:val="00002FF8"/>
    <w:rsid w:val="000057F1"/>
    <w:rsid w:val="000060B3"/>
    <w:rsid w:val="000111A4"/>
    <w:rsid w:val="000112E7"/>
    <w:rsid w:val="00012DED"/>
    <w:rsid w:val="00012E0B"/>
    <w:rsid w:val="000162B6"/>
    <w:rsid w:val="000251A6"/>
    <w:rsid w:val="0002530E"/>
    <w:rsid w:val="000307D8"/>
    <w:rsid w:val="00030AF5"/>
    <w:rsid w:val="00032920"/>
    <w:rsid w:val="00033F3B"/>
    <w:rsid w:val="0003734C"/>
    <w:rsid w:val="00041047"/>
    <w:rsid w:val="0004122E"/>
    <w:rsid w:val="0004340E"/>
    <w:rsid w:val="0004364B"/>
    <w:rsid w:val="00047047"/>
    <w:rsid w:val="00050423"/>
    <w:rsid w:val="000506C2"/>
    <w:rsid w:val="000510B3"/>
    <w:rsid w:val="0005131B"/>
    <w:rsid w:val="00052657"/>
    <w:rsid w:val="00052765"/>
    <w:rsid w:val="000543E0"/>
    <w:rsid w:val="000548FC"/>
    <w:rsid w:val="00055FEC"/>
    <w:rsid w:val="00056355"/>
    <w:rsid w:val="00057F04"/>
    <w:rsid w:val="00060256"/>
    <w:rsid w:val="00061623"/>
    <w:rsid w:val="00061B1F"/>
    <w:rsid w:val="000708A2"/>
    <w:rsid w:val="000733C4"/>
    <w:rsid w:val="0007381D"/>
    <w:rsid w:val="00074783"/>
    <w:rsid w:val="00075486"/>
    <w:rsid w:val="000800E1"/>
    <w:rsid w:val="0008070B"/>
    <w:rsid w:val="000810AC"/>
    <w:rsid w:val="00081A02"/>
    <w:rsid w:val="00082231"/>
    <w:rsid w:val="0008236C"/>
    <w:rsid w:val="00083DD8"/>
    <w:rsid w:val="00083E13"/>
    <w:rsid w:val="000864DE"/>
    <w:rsid w:val="00090E8E"/>
    <w:rsid w:val="00091A9F"/>
    <w:rsid w:val="00091BE0"/>
    <w:rsid w:val="00092D38"/>
    <w:rsid w:val="0009377B"/>
    <w:rsid w:val="00094268"/>
    <w:rsid w:val="00096B6A"/>
    <w:rsid w:val="0009720C"/>
    <w:rsid w:val="00097774"/>
    <w:rsid w:val="000A20C9"/>
    <w:rsid w:val="000A2B03"/>
    <w:rsid w:val="000A318A"/>
    <w:rsid w:val="000A442D"/>
    <w:rsid w:val="000A5852"/>
    <w:rsid w:val="000A7E6F"/>
    <w:rsid w:val="000B058F"/>
    <w:rsid w:val="000B0E1A"/>
    <w:rsid w:val="000B33BA"/>
    <w:rsid w:val="000B4467"/>
    <w:rsid w:val="000B44B3"/>
    <w:rsid w:val="000B468D"/>
    <w:rsid w:val="000B4DB9"/>
    <w:rsid w:val="000C09AC"/>
    <w:rsid w:val="000C1731"/>
    <w:rsid w:val="000C39F5"/>
    <w:rsid w:val="000C531E"/>
    <w:rsid w:val="000C5E27"/>
    <w:rsid w:val="000C767F"/>
    <w:rsid w:val="000C79E3"/>
    <w:rsid w:val="000D0775"/>
    <w:rsid w:val="000D40C5"/>
    <w:rsid w:val="000D5A44"/>
    <w:rsid w:val="000D7DAC"/>
    <w:rsid w:val="000E1491"/>
    <w:rsid w:val="000E1518"/>
    <w:rsid w:val="000E34A7"/>
    <w:rsid w:val="000E351E"/>
    <w:rsid w:val="000E3ED2"/>
    <w:rsid w:val="000E58E5"/>
    <w:rsid w:val="000E6E92"/>
    <w:rsid w:val="000F21BE"/>
    <w:rsid w:val="000F2432"/>
    <w:rsid w:val="000F4A71"/>
    <w:rsid w:val="000F59EE"/>
    <w:rsid w:val="00100E62"/>
    <w:rsid w:val="00102A33"/>
    <w:rsid w:val="00102EF5"/>
    <w:rsid w:val="00104D3F"/>
    <w:rsid w:val="001050D5"/>
    <w:rsid w:val="0010592A"/>
    <w:rsid w:val="00115350"/>
    <w:rsid w:val="00117E0F"/>
    <w:rsid w:val="00120994"/>
    <w:rsid w:val="00121723"/>
    <w:rsid w:val="001235C9"/>
    <w:rsid w:val="00124E8F"/>
    <w:rsid w:val="00127986"/>
    <w:rsid w:val="00131E78"/>
    <w:rsid w:val="00131F42"/>
    <w:rsid w:val="001325BB"/>
    <w:rsid w:val="00133114"/>
    <w:rsid w:val="00133DD2"/>
    <w:rsid w:val="001344A0"/>
    <w:rsid w:val="00134D6D"/>
    <w:rsid w:val="001357F1"/>
    <w:rsid w:val="001374A7"/>
    <w:rsid w:val="00140FA8"/>
    <w:rsid w:val="00142BA1"/>
    <w:rsid w:val="00142FEB"/>
    <w:rsid w:val="00143A2D"/>
    <w:rsid w:val="00144472"/>
    <w:rsid w:val="001448D5"/>
    <w:rsid w:val="001454DD"/>
    <w:rsid w:val="00145A41"/>
    <w:rsid w:val="00147CEE"/>
    <w:rsid w:val="001500AA"/>
    <w:rsid w:val="00150AC4"/>
    <w:rsid w:val="00151675"/>
    <w:rsid w:val="0015535B"/>
    <w:rsid w:val="00157435"/>
    <w:rsid w:val="00160036"/>
    <w:rsid w:val="001604BC"/>
    <w:rsid w:val="001624D7"/>
    <w:rsid w:val="001652CB"/>
    <w:rsid w:val="00165951"/>
    <w:rsid w:val="00170566"/>
    <w:rsid w:val="00170A38"/>
    <w:rsid w:val="00172B75"/>
    <w:rsid w:val="001730A9"/>
    <w:rsid w:val="0017504D"/>
    <w:rsid w:val="0017671A"/>
    <w:rsid w:val="00176723"/>
    <w:rsid w:val="00177422"/>
    <w:rsid w:val="00177648"/>
    <w:rsid w:val="00177C34"/>
    <w:rsid w:val="00180937"/>
    <w:rsid w:val="00181192"/>
    <w:rsid w:val="00184590"/>
    <w:rsid w:val="00184A13"/>
    <w:rsid w:val="00185224"/>
    <w:rsid w:val="00185E69"/>
    <w:rsid w:val="001866D2"/>
    <w:rsid w:val="001870D1"/>
    <w:rsid w:val="0018781E"/>
    <w:rsid w:val="00187BE8"/>
    <w:rsid w:val="0019262D"/>
    <w:rsid w:val="001931B8"/>
    <w:rsid w:val="00193BDE"/>
    <w:rsid w:val="00196D3D"/>
    <w:rsid w:val="001A1124"/>
    <w:rsid w:val="001A1B35"/>
    <w:rsid w:val="001A353D"/>
    <w:rsid w:val="001A47F8"/>
    <w:rsid w:val="001A48A2"/>
    <w:rsid w:val="001A6F61"/>
    <w:rsid w:val="001B1853"/>
    <w:rsid w:val="001B1DF7"/>
    <w:rsid w:val="001B35E4"/>
    <w:rsid w:val="001B4B8F"/>
    <w:rsid w:val="001B5498"/>
    <w:rsid w:val="001B7288"/>
    <w:rsid w:val="001B72B8"/>
    <w:rsid w:val="001C2A1D"/>
    <w:rsid w:val="001C46DC"/>
    <w:rsid w:val="001C5817"/>
    <w:rsid w:val="001C5D87"/>
    <w:rsid w:val="001C69B3"/>
    <w:rsid w:val="001C7880"/>
    <w:rsid w:val="001D19B6"/>
    <w:rsid w:val="001D26D7"/>
    <w:rsid w:val="001D26FD"/>
    <w:rsid w:val="001D4CD1"/>
    <w:rsid w:val="001D5595"/>
    <w:rsid w:val="001D5EA8"/>
    <w:rsid w:val="001D6B07"/>
    <w:rsid w:val="001D7874"/>
    <w:rsid w:val="001D7881"/>
    <w:rsid w:val="001D7F22"/>
    <w:rsid w:val="001E2DCF"/>
    <w:rsid w:val="001E3AC8"/>
    <w:rsid w:val="001E58CF"/>
    <w:rsid w:val="001F0F17"/>
    <w:rsid w:val="001F3347"/>
    <w:rsid w:val="001F4FB1"/>
    <w:rsid w:val="001F69E4"/>
    <w:rsid w:val="001F6A09"/>
    <w:rsid w:val="001F6E48"/>
    <w:rsid w:val="0020054C"/>
    <w:rsid w:val="00200A3B"/>
    <w:rsid w:val="00204CD9"/>
    <w:rsid w:val="002125B4"/>
    <w:rsid w:val="002137FE"/>
    <w:rsid w:val="002155B8"/>
    <w:rsid w:val="00217E4B"/>
    <w:rsid w:val="00220841"/>
    <w:rsid w:val="002223E7"/>
    <w:rsid w:val="002229E0"/>
    <w:rsid w:val="00224839"/>
    <w:rsid w:val="002249B2"/>
    <w:rsid w:val="002264A0"/>
    <w:rsid w:val="00226574"/>
    <w:rsid w:val="002278EC"/>
    <w:rsid w:val="0023096B"/>
    <w:rsid w:val="00231A91"/>
    <w:rsid w:val="00232124"/>
    <w:rsid w:val="002323AD"/>
    <w:rsid w:val="0023280E"/>
    <w:rsid w:val="00232B47"/>
    <w:rsid w:val="00232F05"/>
    <w:rsid w:val="00234594"/>
    <w:rsid w:val="002355DE"/>
    <w:rsid w:val="00237050"/>
    <w:rsid w:val="002377D1"/>
    <w:rsid w:val="00237E5C"/>
    <w:rsid w:val="00240C0F"/>
    <w:rsid w:val="0024382B"/>
    <w:rsid w:val="00243FDB"/>
    <w:rsid w:val="0024723D"/>
    <w:rsid w:val="00247B83"/>
    <w:rsid w:val="002505FC"/>
    <w:rsid w:val="002506BC"/>
    <w:rsid w:val="0025102F"/>
    <w:rsid w:val="00252E54"/>
    <w:rsid w:val="00253695"/>
    <w:rsid w:val="00253BFD"/>
    <w:rsid w:val="00253FB1"/>
    <w:rsid w:val="00254345"/>
    <w:rsid w:val="0025486B"/>
    <w:rsid w:val="002569B5"/>
    <w:rsid w:val="00257D29"/>
    <w:rsid w:val="002608E8"/>
    <w:rsid w:val="00260E3F"/>
    <w:rsid w:val="0026107F"/>
    <w:rsid w:val="0026123D"/>
    <w:rsid w:val="00262A9D"/>
    <w:rsid w:val="00262D04"/>
    <w:rsid w:val="00264557"/>
    <w:rsid w:val="002673F8"/>
    <w:rsid w:val="0026794C"/>
    <w:rsid w:val="002731D3"/>
    <w:rsid w:val="002754CF"/>
    <w:rsid w:val="00277AA5"/>
    <w:rsid w:val="002805AB"/>
    <w:rsid w:val="0028152F"/>
    <w:rsid w:val="002826FD"/>
    <w:rsid w:val="00283BAC"/>
    <w:rsid w:val="00284204"/>
    <w:rsid w:val="002848CA"/>
    <w:rsid w:val="00284D1E"/>
    <w:rsid w:val="00286007"/>
    <w:rsid w:val="002871C0"/>
    <w:rsid w:val="002912B2"/>
    <w:rsid w:val="00291773"/>
    <w:rsid w:val="00291B14"/>
    <w:rsid w:val="00292BD0"/>
    <w:rsid w:val="00292C1E"/>
    <w:rsid w:val="00294DED"/>
    <w:rsid w:val="002A0A7B"/>
    <w:rsid w:val="002A168C"/>
    <w:rsid w:val="002A3804"/>
    <w:rsid w:val="002A3DC7"/>
    <w:rsid w:val="002B145A"/>
    <w:rsid w:val="002B36D7"/>
    <w:rsid w:val="002B4226"/>
    <w:rsid w:val="002B49E2"/>
    <w:rsid w:val="002B7B00"/>
    <w:rsid w:val="002B7C44"/>
    <w:rsid w:val="002C17C0"/>
    <w:rsid w:val="002C21B0"/>
    <w:rsid w:val="002C2B17"/>
    <w:rsid w:val="002D25DD"/>
    <w:rsid w:val="002D3D7F"/>
    <w:rsid w:val="002D3DD0"/>
    <w:rsid w:val="002D4146"/>
    <w:rsid w:val="002D585B"/>
    <w:rsid w:val="002D635A"/>
    <w:rsid w:val="002D6BD3"/>
    <w:rsid w:val="002E16D1"/>
    <w:rsid w:val="002E1F3A"/>
    <w:rsid w:val="002E298A"/>
    <w:rsid w:val="002E2A1C"/>
    <w:rsid w:val="002E3173"/>
    <w:rsid w:val="002E3278"/>
    <w:rsid w:val="002E3572"/>
    <w:rsid w:val="002E5E1E"/>
    <w:rsid w:val="002F164A"/>
    <w:rsid w:val="002F3335"/>
    <w:rsid w:val="002F3451"/>
    <w:rsid w:val="002F40F0"/>
    <w:rsid w:val="002F5EDF"/>
    <w:rsid w:val="002F749A"/>
    <w:rsid w:val="00300A92"/>
    <w:rsid w:val="003011BB"/>
    <w:rsid w:val="00301978"/>
    <w:rsid w:val="00302458"/>
    <w:rsid w:val="0030332C"/>
    <w:rsid w:val="003051C2"/>
    <w:rsid w:val="00306379"/>
    <w:rsid w:val="003073A9"/>
    <w:rsid w:val="00311239"/>
    <w:rsid w:val="00312296"/>
    <w:rsid w:val="00313228"/>
    <w:rsid w:val="00314749"/>
    <w:rsid w:val="00314F0E"/>
    <w:rsid w:val="00315ACD"/>
    <w:rsid w:val="003164E8"/>
    <w:rsid w:val="00316940"/>
    <w:rsid w:val="00321407"/>
    <w:rsid w:val="0032141E"/>
    <w:rsid w:val="00321D8E"/>
    <w:rsid w:val="00324032"/>
    <w:rsid w:val="00324E65"/>
    <w:rsid w:val="00325928"/>
    <w:rsid w:val="0032592D"/>
    <w:rsid w:val="00325B5C"/>
    <w:rsid w:val="0032613F"/>
    <w:rsid w:val="003305BF"/>
    <w:rsid w:val="00332863"/>
    <w:rsid w:val="00332D07"/>
    <w:rsid w:val="0033684D"/>
    <w:rsid w:val="0033685C"/>
    <w:rsid w:val="00337197"/>
    <w:rsid w:val="00337B42"/>
    <w:rsid w:val="0034037C"/>
    <w:rsid w:val="00341B42"/>
    <w:rsid w:val="003429F0"/>
    <w:rsid w:val="0034348F"/>
    <w:rsid w:val="00343637"/>
    <w:rsid w:val="003502B3"/>
    <w:rsid w:val="0035158B"/>
    <w:rsid w:val="00352083"/>
    <w:rsid w:val="003534F3"/>
    <w:rsid w:val="00353833"/>
    <w:rsid w:val="00354239"/>
    <w:rsid w:val="0035491E"/>
    <w:rsid w:val="003565FE"/>
    <w:rsid w:val="00356653"/>
    <w:rsid w:val="0035743F"/>
    <w:rsid w:val="00357AB6"/>
    <w:rsid w:val="00357BE2"/>
    <w:rsid w:val="0036101E"/>
    <w:rsid w:val="0036170C"/>
    <w:rsid w:val="00361C6B"/>
    <w:rsid w:val="00361DA6"/>
    <w:rsid w:val="00362E0E"/>
    <w:rsid w:val="003642BF"/>
    <w:rsid w:val="00365BA6"/>
    <w:rsid w:val="00366CF4"/>
    <w:rsid w:val="00366E0F"/>
    <w:rsid w:val="00367BCB"/>
    <w:rsid w:val="003700C8"/>
    <w:rsid w:val="00372639"/>
    <w:rsid w:val="003778E5"/>
    <w:rsid w:val="003802F3"/>
    <w:rsid w:val="00380AD2"/>
    <w:rsid w:val="00381A72"/>
    <w:rsid w:val="00383DEA"/>
    <w:rsid w:val="00384147"/>
    <w:rsid w:val="003843F2"/>
    <w:rsid w:val="00384676"/>
    <w:rsid w:val="00385ECC"/>
    <w:rsid w:val="00390857"/>
    <w:rsid w:val="00391920"/>
    <w:rsid w:val="003939DF"/>
    <w:rsid w:val="00394570"/>
    <w:rsid w:val="00394BAB"/>
    <w:rsid w:val="00395E29"/>
    <w:rsid w:val="003965F5"/>
    <w:rsid w:val="003A0B00"/>
    <w:rsid w:val="003A2C6A"/>
    <w:rsid w:val="003A4877"/>
    <w:rsid w:val="003A4BF3"/>
    <w:rsid w:val="003A707D"/>
    <w:rsid w:val="003B18D3"/>
    <w:rsid w:val="003B1B13"/>
    <w:rsid w:val="003B2C6C"/>
    <w:rsid w:val="003B3E93"/>
    <w:rsid w:val="003B4147"/>
    <w:rsid w:val="003B420D"/>
    <w:rsid w:val="003B46CC"/>
    <w:rsid w:val="003B4993"/>
    <w:rsid w:val="003B4F78"/>
    <w:rsid w:val="003B5299"/>
    <w:rsid w:val="003B5696"/>
    <w:rsid w:val="003B6245"/>
    <w:rsid w:val="003C20B0"/>
    <w:rsid w:val="003C45FE"/>
    <w:rsid w:val="003C5111"/>
    <w:rsid w:val="003C6C16"/>
    <w:rsid w:val="003D0873"/>
    <w:rsid w:val="003D58A7"/>
    <w:rsid w:val="003D794D"/>
    <w:rsid w:val="003E0AB8"/>
    <w:rsid w:val="003E174B"/>
    <w:rsid w:val="003E3058"/>
    <w:rsid w:val="003E3F46"/>
    <w:rsid w:val="003E4F7F"/>
    <w:rsid w:val="003E5048"/>
    <w:rsid w:val="003E6EEB"/>
    <w:rsid w:val="003E76A9"/>
    <w:rsid w:val="003F0809"/>
    <w:rsid w:val="003F0AD7"/>
    <w:rsid w:val="003F1B59"/>
    <w:rsid w:val="003F2660"/>
    <w:rsid w:val="003F2B8F"/>
    <w:rsid w:val="003F2CC0"/>
    <w:rsid w:val="003F2E3C"/>
    <w:rsid w:val="003F3A3D"/>
    <w:rsid w:val="003F3BE9"/>
    <w:rsid w:val="003F6A8C"/>
    <w:rsid w:val="003F6E7B"/>
    <w:rsid w:val="003F755C"/>
    <w:rsid w:val="003F78B6"/>
    <w:rsid w:val="004038CC"/>
    <w:rsid w:val="00406F01"/>
    <w:rsid w:val="00407945"/>
    <w:rsid w:val="004113E4"/>
    <w:rsid w:val="00411D9C"/>
    <w:rsid w:val="00413298"/>
    <w:rsid w:val="00413D15"/>
    <w:rsid w:val="00415A37"/>
    <w:rsid w:val="00415E32"/>
    <w:rsid w:val="00416D50"/>
    <w:rsid w:val="00416FD5"/>
    <w:rsid w:val="00417772"/>
    <w:rsid w:val="00420E6A"/>
    <w:rsid w:val="00421BE7"/>
    <w:rsid w:val="00422757"/>
    <w:rsid w:val="00422850"/>
    <w:rsid w:val="00425A9E"/>
    <w:rsid w:val="0042672A"/>
    <w:rsid w:val="00426D6B"/>
    <w:rsid w:val="00427CD4"/>
    <w:rsid w:val="00430FB7"/>
    <w:rsid w:val="00431E6C"/>
    <w:rsid w:val="00433CE7"/>
    <w:rsid w:val="0043792D"/>
    <w:rsid w:val="00441194"/>
    <w:rsid w:val="00442AAA"/>
    <w:rsid w:val="00442E1B"/>
    <w:rsid w:val="00443852"/>
    <w:rsid w:val="00443E71"/>
    <w:rsid w:val="00444C92"/>
    <w:rsid w:val="00446CC8"/>
    <w:rsid w:val="00452738"/>
    <w:rsid w:val="00452E5C"/>
    <w:rsid w:val="0045352F"/>
    <w:rsid w:val="00453836"/>
    <w:rsid w:val="0045532C"/>
    <w:rsid w:val="00456091"/>
    <w:rsid w:val="004567B0"/>
    <w:rsid w:val="00462B1F"/>
    <w:rsid w:val="00463E03"/>
    <w:rsid w:val="00466321"/>
    <w:rsid w:val="00467643"/>
    <w:rsid w:val="00470305"/>
    <w:rsid w:val="0047136A"/>
    <w:rsid w:val="0047172E"/>
    <w:rsid w:val="004802B0"/>
    <w:rsid w:val="00480734"/>
    <w:rsid w:val="00484709"/>
    <w:rsid w:val="00484B9B"/>
    <w:rsid w:val="004855F6"/>
    <w:rsid w:val="0048661E"/>
    <w:rsid w:val="004913A9"/>
    <w:rsid w:val="00492D23"/>
    <w:rsid w:val="0049310C"/>
    <w:rsid w:val="004937D0"/>
    <w:rsid w:val="00494670"/>
    <w:rsid w:val="00495291"/>
    <w:rsid w:val="00495DFA"/>
    <w:rsid w:val="004A019D"/>
    <w:rsid w:val="004A22B2"/>
    <w:rsid w:val="004A3823"/>
    <w:rsid w:val="004A5F9D"/>
    <w:rsid w:val="004A6F1B"/>
    <w:rsid w:val="004B0322"/>
    <w:rsid w:val="004B2C08"/>
    <w:rsid w:val="004B43E2"/>
    <w:rsid w:val="004B47C5"/>
    <w:rsid w:val="004B5684"/>
    <w:rsid w:val="004B7508"/>
    <w:rsid w:val="004C180E"/>
    <w:rsid w:val="004C24BB"/>
    <w:rsid w:val="004C2DEF"/>
    <w:rsid w:val="004C431E"/>
    <w:rsid w:val="004C562E"/>
    <w:rsid w:val="004C6E15"/>
    <w:rsid w:val="004D0F22"/>
    <w:rsid w:val="004D31D3"/>
    <w:rsid w:val="004D38FC"/>
    <w:rsid w:val="004E4DFB"/>
    <w:rsid w:val="004E6946"/>
    <w:rsid w:val="004E6CA2"/>
    <w:rsid w:val="004E7CF5"/>
    <w:rsid w:val="004F0D0E"/>
    <w:rsid w:val="004F1571"/>
    <w:rsid w:val="004F1AD8"/>
    <w:rsid w:val="005039CB"/>
    <w:rsid w:val="00503F3B"/>
    <w:rsid w:val="00504546"/>
    <w:rsid w:val="0050503C"/>
    <w:rsid w:val="0050558F"/>
    <w:rsid w:val="00505B22"/>
    <w:rsid w:val="00506286"/>
    <w:rsid w:val="005065D1"/>
    <w:rsid w:val="00510813"/>
    <w:rsid w:val="00510B1D"/>
    <w:rsid w:val="00511990"/>
    <w:rsid w:val="0051199F"/>
    <w:rsid w:val="00511DE0"/>
    <w:rsid w:val="00514870"/>
    <w:rsid w:val="00514B9B"/>
    <w:rsid w:val="00515D78"/>
    <w:rsid w:val="00516B5F"/>
    <w:rsid w:val="00517CB0"/>
    <w:rsid w:val="00517F02"/>
    <w:rsid w:val="00523060"/>
    <w:rsid w:val="005236D8"/>
    <w:rsid w:val="00524303"/>
    <w:rsid w:val="005258A2"/>
    <w:rsid w:val="005309D8"/>
    <w:rsid w:val="00532072"/>
    <w:rsid w:val="005351A8"/>
    <w:rsid w:val="0053588E"/>
    <w:rsid w:val="005401AE"/>
    <w:rsid w:val="00540904"/>
    <w:rsid w:val="00542E07"/>
    <w:rsid w:val="00542F3D"/>
    <w:rsid w:val="00543775"/>
    <w:rsid w:val="00545424"/>
    <w:rsid w:val="00545A12"/>
    <w:rsid w:val="00547719"/>
    <w:rsid w:val="00547C44"/>
    <w:rsid w:val="00547D5D"/>
    <w:rsid w:val="005505F6"/>
    <w:rsid w:val="00550759"/>
    <w:rsid w:val="00553948"/>
    <w:rsid w:val="0055463C"/>
    <w:rsid w:val="00554A7B"/>
    <w:rsid w:val="00554FD4"/>
    <w:rsid w:val="0055572C"/>
    <w:rsid w:val="00555907"/>
    <w:rsid w:val="00555923"/>
    <w:rsid w:val="00556220"/>
    <w:rsid w:val="005579D6"/>
    <w:rsid w:val="00560BB0"/>
    <w:rsid w:val="0056106A"/>
    <w:rsid w:val="00561961"/>
    <w:rsid w:val="00562408"/>
    <w:rsid w:val="00562E20"/>
    <w:rsid w:val="00563D65"/>
    <w:rsid w:val="00564387"/>
    <w:rsid w:val="0057088B"/>
    <w:rsid w:val="005720AE"/>
    <w:rsid w:val="00572803"/>
    <w:rsid w:val="00573536"/>
    <w:rsid w:val="00575B41"/>
    <w:rsid w:val="00575BE7"/>
    <w:rsid w:val="005761AE"/>
    <w:rsid w:val="0058101D"/>
    <w:rsid w:val="00584932"/>
    <w:rsid w:val="00584AFA"/>
    <w:rsid w:val="00586961"/>
    <w:rsid w:val="005919EA"/>
    <w:rsid w:val="00591BA5"/>
    <w:rsid w:val="00591BB1"/>
    <w:rsid w:val="005946BF"/>
    <w:rsid w:val="00594D77"/>
    <w:rsid w:val="005956DA"/>
    <w:rsid w:val="005969E4"/>
    <w:rsid w:val="005A06B7"/>
    <w:rsid w:val="005A1759"/>
    <w:rsid w:val="005A27DC"/>
    <w:rsid w:val="005A59A3"/>
    <w:rsid w:val="005A68A7"/>
    <w:rsid w:val="005B0707"/>
    <w:rsid w:val="005B2919"/>
    <w:rsid w:val="005B2DB2"/>
    <w:rsid w:val="005B3682"/>
    <w:rsid w:val="005B3A8B"/>
    <w:rsid w:val="005B5490"/>
    <w:rsid w:val="005C0A30"/>
    <w:rsid w:val="005C3245"/>
    <w:rsid w:val="005C46E2"/>
    <w:rsid w:val="005C503A"/>
    <w:rsid w:val="005D0D58"/>
    <w:rsid w:val="005D1DB6"/>
    <w:rsid w:val="005D2A0B"/>
    <w:rsid w:val="005D32EF"/>
    <w:rsid w:val="005D36AB"/>
    <w:rsid w:val="005D6D84"/>
    <w:rsid w:val="005E1E35"/>
    <w:rsid w:val="005E30AA"/>
    <w:rsid w:val="005E5D7D"/>
    <w:rsid w:val="005F2674"/>
    <w:rsid w:val="005F35AC"/>
    <w:rsid w:val="005F3C11"/>
    <w:rsid w:val="005F3CFD"/>
    <w:rsid w:val="005F4197"/>
    <w:rsid w:val="005F5C5B"/>
    <w:rsid w:val="006027B0"/>
    <w:rsid w:val="00605666"/>
    <w:rsid w:val="00605C99"/>
    <w:rsid w:val="006068A5"/>
    <w:rsid w:val="006069F1"/>
    <w:rsid w:val="006103D8"/>
    <w:rsid w:val="00611187"/>
    <w:rsid w:val="00611CA0"/>
    <w:rsid w:val="00611FDB"/>
    <w:rsid w:val="00612893"/>
    <w:rsid w:val="00613C61"/>
    <w:rsid w:val="00617CC3"/>
    <w:rsid w:val="00617D83"/>
    <w:rsid w:val="006209CE"/>
    <w:rsid w:val="00621948"/>
    <w:rsid w:val="00621C23"/>
    <w:rsid w:val="00624050"/>
    <w:rsid w:val="0062716B"/>
    <w:rsid w:val="0062716D"/>
    <w:rsid w:val="00627E82"/>
    <w:rsid w:val="00627ED7"/>
    <w:rsid w:val="006377A6"/>
    <w:rsid w:val="00637A3D"/>
    <w:rsid w:val="006411EF"/>
    <w:rsid w:val="00641AE0"/>
    <w:rsid w:val="006466CC"/>
    <w:rsid w:val="00654EFD"/>
    <w:rsid w:val="00656C70"/>
    <w:rsid w:val="00660EB9"/>
    <w:rsid w:val="00662370"/>
    <w:rsid w:val="0066355E"/>
    <w:rsid w:val="00664A46"/>
    <w:rsid w:val="00665073"/>
    <w:rsid w:val="006650F5"/>
    <w:rsid w:val="00665384"/>
    <w:rsid w:val="0066662C"/>
    <w:rsid w:val="006669FD"/>
    <w:rsid w:val="0067061C"/>
    <w:rsid w:val="00670750"/>
    <w:rsid w:val="0067077F"/>
    <w:rsid w:val="0067243F"/>
    <w:rsid w:val="006746B8"/>
    <w:rsid w:val="006748B8"/>
    <w:rsid w:val="00674AF1"/>
    <w:rsid w:val="00675889"/>
    <w:rsid w:val="00676527"/>
    <w:rsid w:val="006775C3"/>
    <w:rsid w:val="00677A53"/>
    <w:rsid w:val="00680E4B"/>
    <w:rsid w:val="00686704"/>
    <w:rsid w:val="00690579"/>
    <w:rsid w:val="00690E9D"/>
    <w:rsid w:val="006915B4"/>
    <w:rsid w:val="0069238B"/>
    <w:rsid w:val="0069290A"/>
    <w:rsid w:val="006935AF"/>
    <w:rsid w:val="0069775A"/>
    <w:rsid w:val="00697813"/>
    <w:rsid w:val="00697FE6"/>
    <w:rsid w:val="006A144C"/>
    <w:rsid w:val="006A1A70"/>
    <w:rsid w:val="006A3EE8"/>
    <w:rsid w:val="006A605B"/>
    <w:rsid w:val="006A6724"/>
    <w:rsid w:val="006A72BF"/>
    <w:rsid w:val="006A77A0"/>
    <w:rsid w:val="006A7BD8"/>
    <w:rsid w:val="006B03F2"/>
    <w:rsid w:val="006B0616"/>
    <w:rsid w:val="006B0EFA"/>
    <w:rsid w:val="006B12B8"/>
    <w:rsid w:val="006B1697"/>
    <w:rsid w:val="006B37DC"/>
    <w:rsid w:val="006B3AFF"/>
    <w:rsid w:val="006B47AB"/>
    <w:rsid w:val="006B4F68"/>
    <w:rsid w:val="006B6A17"/>
    <w:rsid w:val="006C04E4"/>
    <w:rsid w:val="006C0592"/>
    <w:rsid w:val="006C0B28"/>
    <w:rsid w:val="006C272E"/>
    <w:rsid w:val="006C43E8"/>
    <w:rsid w:val="006C47C4"/>
    <w:rsid w:val="006C5479"/>
    <w:rsid w:val="006C60D3"/>
    <w:rsid w:val="006C7634"/>
    <w:rsid w:val="006C7E9F"/>
    <w:rsid w:val="006D1354"/>
    <w:rsid w:val="006D13B5"/>
    <w:rsid w:val="006D1E64"/>
    <w:rsid w:val="006D30BA"/>
    <w:rsid w:val="006D4818"/>
    <w:rsid w:val="006D57FB"/>
    <w:rsid w:val="006E0605"/>
    <w:rsid w:val="006E0764"/>
    <w:rsid w:val="006E10C4"/>
    <w:rsid w:val="006E12FF"/>
    <w:rsid w:val="006E2538"/>
    <w:rsid w:val="006E2B86"/>
    <w:rsid w:val="006E3157"/>
    <w:rsid w:val="006E5E63"/>
    <w:rsid w:val="006E607E"/>
    <w:rsid w:val="006F0BA0"/>
    <w:rsid w:val="006F2329"/>
    <w:rsid w:val="006F2632"/>
    <w:rsid w:val="006F634A"/>
    <w:rsid w:val="00701CE2"/>
    <w:rsid w:val="00702910"/>
    <w:rsid w:val="00704948"/>
    <w:rsid w:val="00706BD2"/>
    <w:rsid w:val="00706C5D"/>
    <w:rsid w:val="007077DE"/>
    <w:rsid w:val="0071140C"/>
    <w:rsid w:val="0071215C"/>
    <w:rsid w:val="007137DF"/>
    <w:rsid w:val="00714D50"/>
    <w:rsid w:val="007215DD"/>
    <w:rsid w:val="00724C4B"/>
    <w:rsid w:val="00731E8B"/>
    <w:rsid w:val="0073218D"/>
    <w:rsid w:val="00732922"/>
    <w:rsid w:val="00734A89"/>
    <w:rsid w:val="00737A11"/>
    <w:rsid w:val="00740606"/>
    <w:rsid w:val="0074062B"/>
    <w:rsid w:val="00740F51"/>
    <w:rsid w:val="00741FD2"/>
    <w:rsid w:val="007421C0"/>
    <w:rsid w:val="007450DA"/>
    <w:rsid w:val="00745158"/>
    <w:rsid w:val="007459AB"/>
    <w:rsid w:val="00746EF9"/>
    <w:rsid w:val="0074710F"/>
    <w:rsid w:val="00747CD7"/>
    <w:rsid w:val="00747DA7"/>
    <w:rsid w:val="0075162E"/>
    <w:rsid w:val="00753CF0"/>
    <w:rsid w:val="00754034"/>
    <w:rsid w:val="00755777"/>
    <w:rsid w:val="00755C71"/>
    <w:rsid w:val="007562D6"/>
    <w:rsid w:val="00756556"/>
    <w:rsid w:val="00760535"/>
    <w:rsid w:val="00760B77"/>
    <w:rsid w:val="007618C4"/>
    <w:rsid w:val="00761A7F"/>
    <w:rsid w:val="00761C38"/>
    <w:rsid w:val="00762CD9"/>
    <w:rsid w:val="00764574"/>
    <w:rsid w:val="00767473"/>
    <w:rsid w:val="00767980"/>
    <w:rsid w:val="007702CB"/>
    <w:rsid w:val="00770B19"/>
    <w:rsid w:val="00771D40"/>
    <w:rsid w:val="007720DE"/>
    <w:rsid w:val="00772662"/>
    <w:rsid w:val="0077463F"/>
    <w:rsid w:val="0078110E"/>
    <w:rsid w:val="00781833"/>
    <w:rsid w:val="007830BC"/>
    <w:rsid w:val="007836EA"/>
    <w:rsid w:val="007837B6"/>
    <w:rsid w:val="007841AD"/>
    <w:rsid w:val="00784CDA"/>
    <w:rsid w:val="00786D3F"/>
    <w:rsid w:val="00787BD2"/>
    <w:rsid w:val="007906C4"/>
    <w:rsid w:val="00791DC9"/>
    <w:rsid w:val="00794025"/>
    <w:rsid w:val="007940EA"/>
    <w:rsid w:val="007967E8"/>
    <w:rsid w:val="00797EB0"/>
    <w:rsid w:val="007A2170"/>
    <w:rsid w:val="007A22BF"/>
    <w:rsid w:val="007A3323"/>
    <w:rsid w:val="007A35AF"/>
    <w:rsid w:val="007A42E8"/>
    <w:rsid w:val="007A589F"/>
    <w:rsid w:val="007B097C"/>
    <w:rsid w:val="007B26A0"/>
    <w:rsid w:val="007B2860"/>
    <w:rsid w:val="007B2F36"/>
    <w:rsid w:val="007B45CC"/>
    <w:rsid w:val="007B72B8"/>
    <w:rsid w:val="007B74D6"/>
    <w:rsid w:val="007B7A58"/>
    <w:rsid w:val="007C1494"/>
    <w:rsid w:val="007C21B5"/>
    <w:rsid w:val="007C21C2"/>
    <w:rsid w:val="007C23B5"/>
    <w:rsid w:val="007C2490"/>
    <w:rsid w:val="007C2A05"/>
    <w:rsid w:val="007C3898"/>
    <w:rsid w:val="007C7EBC"/>
    <w:rsid w:val="007D1DA1"/>
    <w:rsid w:val="007D31AD"/>
    <w:rsid w:val="007E07FC"/>
    <w:rsid w:val="007E233E"/>
    <w:rsid w:val="007E3C88"/>
    <w:rsid w:val="007E4BD2"/>
    <w:rsid w:val="007E5671"/>
    <w:rsid w:val="007E5C79"/>
    <w:rsid w:val="007E5F7E"/>
    <w:rsid w:val="007F30B7"/>
    <w:rsid w:val="007F3ECB"/>
    <w:rsid w:val="007F4342"/>
    <w:rsid w:val="007F4B60"/>
    <w:rsid w:val="007F6A5D"/>
    <w:rsid w:val="00801393"/>
    <w:rsid w:val="00802F88"/>
    <w:rsid w:val="0080454D"/>
    <w:rsid w:val="0080628A"/>
    <w:rsid w:val="0080651C"/>
    <w:rsid w:val="00811CC4"/>
    <w:rsid w:val="008121A6"/>
    <w:rsid w:val="0081293E"/>
    <w:rsid w:val="008129A1"/>
    <w:rsid w:val="00812E4D"/>
    <w:rsid w:val="00814756"/>
    <w:rsid w:val="00815465"/>
    <w:rsid w:val="008158D6"/>
    <w:rsid w:val="00816093"/>
    <w:rsid w:val="0081788B"/>
    <w:rsid w:val="00817E9A"/>
    <w:rsid w:val="008209B5"/>
    <w:rsid w:val="0082239D"/>
    <w:rsid w:val="00823339"/>
    <w:rsid w:val="008254F1"/>
    <w:rsid w:val="00825DF5"/>
    <w:rsid w:val="00826717"/>
    <w:rsid w:val="00827B1C"/>
    <w:rsid w:val="008306BD"/>
    <w:rsid w:val="00830E4F"/>
    <w:rsid w:val="00831A80"/>
    <w:rsid w:val="00833743"/>
    <w:rsid w:val="008340A4"/>
    <w:rsid w:val="008357DA"/>
    <w:rsid w:val="008375E4"/>
    <w:rsid w:val="00840CC7"/>
    <w:rsid w:val="00842883"/>
    <w:rsid w:val="00845EA0"/>
    <w:rsid w:val="0084728E"/>
    <w:rsid w:val="00847449"/>
    <w:rsid w:val="00851252"/>
    <w:rsid w:val="008532E9"/>
    <w:rsid w:val="008561B9"/>
    <w:rsid w:val="00862F53"/>
    <w:rsid w:val="00866EC2"/>
    <w:rsid w:val="00866FCB"/>
    <w:rsid w:val="0087135F"/>
    <w:rsid w:val="0087177B"/>
    <w:rsid w:val="00871B2C"/>
    <w:rsid w:val="00871B90"/>
    <w:rsid w:val="00872514"/>
    <w:rsid w:val="00872D94"/>
    <w:rsid w:val="00873E70"/>
    <w:rsid w:val="0087445F"/>
    <w:rsid w:val="0087510E"/>
    <w:rsid w:val="0087718B"/>
    <w:rsid w:val="008775CE"/>
    <w:rsid w:val="00877D14"/>
    <w:rsid w:val="00880364"/>
    <w:rsid w:val="0088495A"/>
    <w:rsid w:val="00885DED"/>
    <w:rsid w:val="00886160"/>
    <w:rsid w:val="00890DCF"/>
    <w:rsid w:val="00891537"/>
    <w:rsid w:val="00891592"/>
    <w:rsid w:val="00891E9E"/>
    <w:rsid w:val="00893EAA"/>
    <w:rsid w:val="00895C1C"/>
    <w:rsid w:val="00896C68"/>
    <w:rsid w:val="0089790A"/>
    <w:rsid w:val="00897B71"/>
    <w:rsid w:val="008A2F2F"/>
    <w:rsid w:val="008A2F68"/>
    <w:rsid w:val="008A2F80"/>
    <w:rsid w:val="008A5B09"/>
    <w:rsid w:val="008A6F29"/>
    <w:rsid w:val="008A70B1"/>
    <w:rsid w:val="008B207E"/>
    <w:rsid w:val="008B41D6"/>
    <w:rsid w:val="008B4FA6"/>
    <w:rsid w:val="008B5282"/>
    <w:rsid w:val="008B7C17"/>
    <w:rsid w:val="008C0A00"/>
    <w:rsid w:val="008C1AD5"/>
    <w:rsid w:val="008C2016"/>
    <w:rsid w:val="008C2D01"/>
    <w:rsid w:val="008C40E6"/>
    <w:rsid w:val="008C5803"/>
    <w:rsid w:val="008C6B28"/>
    <w:rsid w:val="008C70BD"/>
    <w:rsid w:val="008D07FD"/>
    <w:rsid w:val="008D0F7A"/>
    <w:rsid w:val="008D2F01"/>
    <w:rsid w:val="008D4631"/>
    <w:rsid w:val="008D68E4"/>
    <w:rsid w:val="008E0506"/>
    <w:rsid w:val="008E0CFF"/>
    <w:rsid w:val="008E5D6B"/>
    <w:rsid w:val="008E76F0"/>
    <w:rsid w:val="008E7EA3"/>
    <w:rsid w:val="008F0850"/>
    <w:rsid w:val="008F15FE"/>
    <w:rsid w:val="008F18DA"/>
    <w:rsid w:val="008F2362"/>
    <w:rsid w:val="008F2D29"/>
    <w:rsid w:val="008F30FC"/>
    <w:rsid w:val="008F5187"/>
    <w:rsid w:val="008F52D4"/>
    <w:rsid w:val="008F5EB3"/>
    <w:rsid w:val="008F60D8"/>
    <w:rsid w:val="008F66E9"/>
    <w:rsid w:val="00900843"/>
    <w:rsid w:val="00900947"/>
    <w:rsid w:val="00901481"/>
    <w:rsid w:val="0090168B"/>
    <w:rsid w:val="00902727"/>
    <w:rsid w:val="0090312B"/>
    <w:rsid w:val="00905A2E"/>
    <w:rsid w:val="00910227"/>
    <w:rsid w:val="00912F18"/>
    <w:rsid w:val="0091736D"/>
    <w:rsid w:val="0092003D"/>
    <w:rsid w:val="00923596"/>
    <w:rsid w:val="00923AF0"/>
    <w:rsid w:val="0093037A"/>
    <w:rsid w:val="00931EC3"/>
    <w:rsid w:val="0093238C"/>
    <w:rsid w:val="00934517"/>
    <w:rsid w:val="0094154D"/>
    <w:rsid w:val="009467BB"/>
    <w:rsid w:val="00946F5B"/>
    <w:rsid w:val="0095155F"/>
    <w:rsid w:val="00954429"/>
    <w:rsid w:val="00954888"/>
    <w:rsid w:val="009561B9"/>
    <w:rsid w:val="009563CE"/>
    <w:rsid w:val="00957341"/>
    <w:rsid w:val="009602BA"/>
    <w:rsid w:val="009611A3"/>
    <w:rsid w:val="00961ABB"/>
    <w:rsid w:val="00965273"/>
    <w:rsid w:val="00966953"/>
    <w:rsid w:val="00976328"/>
    <w:rsid w:val="0097680D"/>
    <w:rsid w:val="00977622"/>
    <w:rsid w:val="00982438"/>
    <w:rsid w:val="00983A1A"/>
    <w:rsid w:val="0098404C"/>
    <w:rsid w:val="00985283"/>
    <w:rsid w:val="00990AE8"/>
    <w:rsid w:val="00990EAC"/>
    <w:rsid w:val="00993DD5"/>
    <w:rsid w:val="00995992"/>
    <w:rsid w:val="00996FF6"/>
    <w:rsid w:val="0099717B"/>
    <w:rsid w:val="0099747E"/>
    <w:rsid w:val="009A03E5"/>
    <w:rsid w:val="009A0F3B"/>
    <w:rsid w:val="009A13DE"/>
    <w:rsid w:val="009A1BB4"/>
    <w:rsid w:val="009A2628"/>
    <w:rsid w:val="009A3200"/>
    <w:rsid w:val="009A3731"/>
    <w:rsid w:val="009A5EE3"/>
    <w:rsid w:val="009A6A65"/>
    <w:rsid w:val="009B0897"/>
    <w:rsid w:val="009B3301"/>
    <w:rsid w:val="009B77D3"/>
    <w:rsid w:val="009B794C"/>
    <w:rsid w:val="009B7BD9"/>
    <w:rsid w:val="009B7D7E"/>
    <w:rsid w:val="009C20B0"/>
    <w:rsid w:val="009C3482"/>
    <w:rsid w:val="009C4978"/>
    <w:rsid w:val="009C4E0E"/>
    <w:rsid w:val="009C7DD5"/>
    <w:rsid w:val="009D0D5D"/>
    <w:rsid w:val="009D1E3E"/>
    <w:rsid w:val="009D31B9"/>
    <w:rsid w:val="009D3A03"/>
    <w:rsid w:val="009D472F"/>
    <w:rsid w:val="009D4DEF"/>
    <w:rsid w:val="009D5E47"/>
    <w:rsid w:val="009D5F8D"/>
    <w:rsid w:val="009E227D"/>
    <w:rsid w:val="009E27E9"/>
    <w:rsid w:val="009E42DA"/>
    <w:rsid w:val="009E5019"/>
    <w:rsid w:val="009E6DC4"/>
    <w:rsid w:val="009E7F48"/>
    <w:rsid w:val="009F5B43"/>
    <w:rsid w:val="009F697A"/>
    <w:rsid w:val="00A003EF"/>
    <w:rsid w:val="00A01475"/>
    <w:rsid w:val="00A02B22"/>
    <w:rsid w:val="00A036DC"/>
    <w:rsid w:val="00A03A6B"/>
    <w:rsid w:val="00A04F1B"/>
    <w:rsid w:val="00A0501B"/>
    <w:rsid w:val="00A0538C"/>
    <w:rsid w:val="00A054A1"/>
    <w:rsid w:val="00A07F94"/>
    <w:rsid w:val="00A109A2"/>
    <w:rsid w:val="00A11AFC"/>
    <w:rsid w:val="00A12088"/>
    <w:rsid w:val="00A13B3D"/>
    <w:rsid w:val="00A14775"/>
    <w:rsid w:val="00A14947"/>
    <w:rsid w:val="00A14C1C"/>
    <w:rsid w:val="00A1639E"/>
    <w:rsid w:val="00A16AD4"/>
    <w:rsid w:val="00A225E7"/>
    <w:rsid w:val="00A22B80"/>
    <w:rsid w:val="00A24F56"/>
    <w:rsid w:val="00A2686E"/>
    <w:rsid w:val="00A30874"/>
    <w:rsid w:val="00A3117E"/>
    <w:rsid w:val="00A32A83"/>
    <w:rsid w:val="00A33337"/>
    <w:rsid w:val="00A3360E"/>
    <w:rsid w:val="00A33A06"/>
    <w:rsid w:val="00A34C03"/>
    <w:rsid w:val="00A367EE"/>
    <w:rsid w:val="00A368DB"/>
    <w:rsid w:val="00A37B3B"/>
    <w:rsid w:val="00A40A34"/>
    <w:rsid w:val="00A423AA"/>
    <w:rsid w:val="00A45543"/>
    <w:rsid w:val="00A46444"/>
    <w:rsid w:val="00A47DAD"/>
    <w:rsid w:val="00A50B51"/>
    <w:rsid w:val="00A53CA0"/>
    <w:rsid w:val="00A53EC6"/>
    <w:rsid w:val="00A54BEC"/>
    <w:rsid w:val="00A55C0F"/>
    <w:rsid w:val="00A575B7"/>
    <w:rsid w:val="00A607E5"/>
    <w:rsid w:val="00A62FAC"/>
    <w:rsid w:val="00A63D4E"/>
    <w:rsid w:val="00A64FEC"/>
    <w:rsid w:val="00A662CF"/>
    <w:rsid w:val="00A73871"/>
    <w:rsid w:val="00A73EC2"/>
    <w:rsid w:val="00A7487E"/>
    <w:rsid w:val="00A7591D"/>
    <w:rsid w:val="00A75B9F"/>
    <w:rsid w:val="00A76B1C"/>
    <w:rsid w:val="00A77C11"/>
    <w:rsid w:val="00A807B0"/>
    <w:rsid w:val="00A839F8"/>
    <w:rsid w:val="00A8713F"/>
    <w:rsid w:val="00A87B41"/>
    <w:rsid w:val="00A90BA1"/>
    <w:rsid w:val="00A9210E"/>
    <w:rsid w:val="00A921EF"/>
    <w:rsid w:val="00A97A9A"/>
    <w:rsid w:val="00A97DB9"/>
    <w:rsid w:val="00AA0671"/>
    <w:rsid w:val="00AA0800"/>
    <w:rsid w:val="00AA2531"/>
    <w:rsid w:val="00AA32A0"/>
    <w:rsid w:val="00AA3FA2"/>
    <w:rsid w:val="00AA56BF"/>
    <w:rsid w:val="00AA5D4E"/>
    <w:rsid w:val="00AB108D"/>
    <w:rsid w:val="00AB1E09"/>
    <w:rsid w:val="00AB4454"/>
    <w:rsid w:val="00AB5330"/>
    <w:rsid w:val="00AB7747"/>
    <w:rsid w:val="00AB79EE"/>
    <w:rsid w:val="00AC14CE"/>
    <w:rsid w:val="00AC1DD8"/>
    <w:rsid w:val="00AC1E02"/>
    <w:rsid w:val="00AC22AF"/>
    <w:rsid w:val="00AC2A56"/>
    <w:rsid w:val="00AC3D5D"/>
    <w:rsid w:val="00AC7448"/>
    <w:rsid w:val="00AD055E"/>
    <w:rsid w:val="00AD47A7"/>
    <w:rsid w:val="00AD5BAF"/>
    <w:rsid w:val="00AD70AC"/>
    <w:rsid w:val="00AE0926"/>
    <w:rsid w:val="00AE0F39"/>
    <w:rsid w:val="00AE0FF7"/>
    <w:rsid w:val="00AE3569"/>
    <w:rsid w:val="00AE43A7"/>
    <w:rsid w:val="00AF0CBF"/>
    <w:rsid w:val="00AF10D6"/>
    <w:rsid w:val="00AF257F"/>
    <w:rsid w:val="00AF27F8"/>
    <w:rsid w:val="00AF33CF"/>
    <w:rsid w:val="00AF4D50"/>
    <w:rsid w:val="00AF4FED"/>
    <w:rsid w:val="00AF59EE"/>
    <w:rsid w:val="00AF5AFC"/>
    <w:rsid w:val="00AF6179"/>
    <w:rsid w:val="00AF681F"/>
    <w:rsid w:val="00AF6D3B"/>
    <w:rsid w:val="00B007D6"/>
    <w:rsid w:val="00B00C32"/>
    <w:rsid w:val="00B01476"/>
    <w:rsid w:val="00B014C6"/>
    <w:rsid w:val="00B02D03"/>
    <w:rsid w:val="00B038C5"/>
    <w:rsid w:val="00B04377"/>
    <w:rsid w:val="00B06A5F"/>
    <w:rsid w:val="00B1295A"/>
    <w:rsid w:val="00B12A70"/>
    <w:rsid w:val="00B1439B"/>
    <w:rsid w:val="00B14AB9"/>
    <w:rsid w:val="00B15585"/>
    <w:rsid w:val="00B17CC4"/>
    <w:rsid w:val="00B20A45"/>
    <w:rsid w:val="00B2196B"/>
    <w:rsid w:val="00B22253"/>
    <w:rsid w:val="00B224FA"/>
    <w:rsid w:val="00B22C5C"/>
    <w:rsid w:val="00B24F30"/>
    <w:rsid w:val="00B25711"/>
    <w:rsid w:val="00B25C54"/>
    <w:rsid w:val="00B265D9"/>
    <w:rsid w:val="00B27778"/>
    <w:rsid w:val="00B27B6F"/>
    <w:rsid w:val="00B304AE"/>
    <w:rsid w:val="00B31ABF"/>
    <w:rsid w:val="00B33BE3"/>
    <w:rsid w:val="00B37E6A"/>
    <w:rsid w:val="00B40E13"/>
    <w:rsid w:val="00B41F79"/>
    <w:rsid w:val="00B43726"/>
    <w:rsid w:val="00B43A1B"/>
    <w:rsid w:val="00B43DF3"/>
    <w:rsid w:val="00B44322"/>
    <w:rsid w:val="00B4458E"/>
    <w:rsid w:val="00B468F6"/>
    <w:rsid w:val="00B5195C"/>
    <w:rsid w:val="00B53B5D"/>
    <w:rsid w:val="00B6055E"/>
    <w:rsid w:val="00B60E6D"/>
    <w:rsid w:val="00B61981"/>
    <w:rsid w:val="00B6317D"/>
    <w:rsid w:val="00B63825"/>
    <w:rsid w:val="00B63FB2"/>
    <w:rsid w:val="00B661BD"/>
    <w:rsid w:val="00B67667"/>
    <w:rsid w:val="00B715C6"/>
    <w:rsid w:val="00B73049"/>
    <w:rsid w:val="00B771FD"/>
    <w:rsid w:val="00B7723F"/>
    <w:rsid w:val="00B80534"/>
    <w:rsid w:val="00B80E86"/>
    <w:rsid w:val="00B81347"/>
    <w:rsid w:val="00B81E45"/>
    <w:rsid w:val="00B8433C"/>
    <w:rsid w:val="00B845DC"/>
    <w:rsid w:val="00B84791"/>
    <w:rsid w:val="00B873FD"/>
    <w:rsid w:val="00B87491"/>
    <w:rsid w:val="00B90FEA"/>
    <w:rsid w:val="00B92257"/>
    <w:rsid w:val="00B92E31"/>
    <w:rsid w:val="00B93E04"/>
    <w:rsid w:val="00B93E86"/>
    <w:rsid w:val="00B942E1"/>
    <w:rsid w:val="00B96BF7"/>
    <w:rsid w:val="00BA0846"/>
    <w:rsid w:val="00BA1415"/>
    <w:rsid w:val="00BA29E9"/>
    <w:rsid w:val="00BA5104"/>
    <w:rsid w:val="00BA6945"/>
    <w:rsid w:val="00BA7142"/>
    <w:rsid w:val="00BB09CC"/>
    <w:rsid w:val="00BB237C"/>
    <w:rsid w:val="00BB41A3"/>
    <w:rsid w:val="00BB660C"/>
    <w:rsid w:val="00BC32DC"/>
    <w:rsid w:val="00BC35B6"/>
    <w:rsid w:val="00BC35D9"/>
    <w:rsid w:val="00BC3B39"/>
    <w:rsid w:val="00BC410D"/>
    <w:rsid w:val="00BC624E"/>
    <w:rsid w:val="00BD0B6B"/>
    <w:rsid w:val="00BD10B1"/>
    <w:rsid w:val="00BD1B51"/>
    <w:rsid w:val="00BD2203"/>
    <w:rsid w:val="00BD275B"/>
    <w:rsid w:val="00BD329A"/>
    <w:rsid w:val="00BD411C"/>
    <w:rsid w:val="00BD4596"/>
    <w:rsid w:val="00BD5054"/>
    <w:rsid w:val="00BD6094"/>
    <w:rsid w:val="00BD7514"/>
    <w:rsid w:val="00BD7604"/>
    <w:rsid w:val="00BE0AB9"/>
    <w:rsid w:val="00BE1405"/>
    <w:rsid w:val="00BE14E2"/>
    <w:rsid w:val="00BE1873"/>
    <w:rsid w:val="00BE2FAF"/>
    <w:rsid w:val="00BE312D"/>
    <w:rsid w:val="00BE426E"/>
    <w:rsid w:val="00BE6476"/>
    <w:rsid w:val="00BE6B37"/>
    <w:rsid w:val="00BE6EF3"/>
    <w:rsid w:val="00BE735F"/>
    <w:rsid w:val="00BF1C20"/>
    <w:rsid w:val="00BF2598"/>
    <w:rsid w:val="00BF3626"/>
    <w:rsid w:val="00BF3C5C"/>
    <w:rsid w:val="00BF5E9F"/>
    <w:rsid w:val="00BF645A"/>
    <w:rsid w:val="00BF71D9"/>
    <w:rsid w:val="00BF7223"/>
    <w:rsid w:val="00C002E1"/>
    <w:rsid w:val="00C00711"/>
    <w:rsid w:val="00C04DE3"/>
    <w:rsid w:val="00C07221"/>
    <w:rsid w:val="00C10578"/>
    <w:rsid w:val="00C10A2D"/>
    <w:rsid w:val="00C10D36"/>
    <w:rsid w:val="00C135BC"/>
    <w:rsid w:val="00C138A4"/>
    <w:rsid w:val="00C15C95"/>
    <w:rsid w:val="00C21536"/>
    <w:rsid w:val="00C217EC"/>
    <w:rsid w:val="00C227E6"/>
    <w:rsid w:val="00C2285E"/>
    <w:rsid w:val="00C2336C"/>
    <w:rsid w:val="00C23AB5"/>
    <w:rsid w:val="00C2543E"/>
    <w:rsid w:val="00C25874"/>
    <w:rsid w:val="00C2596A"/>
    <w:rsid w:val="00C2611D"/>
    <w:rsid w:val="00C27537"/>
    <w:rsid w:val="00C31444"/>
    <w:rsid w:val="00C328FE"/>
    <w:rsid w:val="00C32A47"/>
    <w:rsid w:val="00C33507"/>
    <w:rsid w:val="00C35919"/>
    <w:rsid w:val="00C42373"/>
    <w:rsid w:val="00C4409D"/>
    <w:rsid w:val="00C44E72"/>
    <w:rsid w:val="00C45A06"/>
    <w:rsid w:val="00C47E5B"/>
    <w:rsid w:val="00C503EB"/>
    <w:rsid w:val="00C51E0E"/>
    <w:rsid w:val="00C51FC6"/>
    <w:rsid w:val="00C54C10"/>
    <w:rsid w:val="00C614F2"/>
    <w:rsid w:val="00C61E4B"/>
    <w:rsid w:val="00C62EAC"/>
    <w:rsid w:val="00C64BFF"/>
    <w:rsid w:val="00C6681A"/>
    <w:rsid w:val="00C704E9"/>
    <w:rsid w:val="00C72B0B"/>
    <w:rsid w:val="00C74045"/>
    <w:rsid w:val="00C755F2"/>
    <w:rsid w:val="00C763C9"/>
    <w:rsid w:val="00C80057"/>
    <w:rsid w:val="00C81A87"/>
    <w:rsid w:val="00C82232"/>
    <w:rsid w:val="00C82269"/>
    <w:rsid w:val="00C82913"/>
    <w:rsid w:val="00C86104"/>
    <w:rsid w:val="00C9172F"/>
    <w:rsid w:val="00C923AC"/>
    <w:rsid w:val="00C9440C"/>
    <w:rsid w:val="00C945B8"/>
    <w:rsid w:val="00C962A5"/>
    <w:rsid w:val="00C96D8E"/>
    <w:rsid w:val="00C972B1"/>
    <w:rsid w:val="00C97F08"/>
    <w:rsid w:val="00CA0A22"/>
    <w:rsid w:val="00CA0E9E"/>
    <w:rsid w:val="00CA2CCE"/>
    <w:rsid w:val="00CA392E"/>
    <w:rsid w:val="00CA43FD"/>
    <w:rsid w:val="00CA5F48"/>
    <w:rsid w:val="00CA6BF3"/>
    <w:rsid w:val="00CA7EF8"/>
    <w:rsid w:val="00CB1610"/>
    <w:rsid w:val="00CB223F"/>
    <w:rsid w:val="00CB2FFF"/>
    <w:rsid w:val="00CB483E"/>
    <w:rsid w:val="00CB4F84"/>
    <w:rsid w:val="00CB5625"/>
    <w:rsid w:val="00CB60CD"/>
    <w:rsid w:val="00CC2C40"/>
    <w:rsid w:val="00CC3C5E"/>
    <w:rsid w:val="00CC489B"/>
    <w:rsid w:val="00CD0041"/>
    <w:rsid w:val="00CD094A"/>
    <w:rsid w:val="00CD187E"/>
    <w:rsid w:val="00CD2BCD"/>
    <w:rsid w:val="00CD336B"/>
    <w:rsid w:val="00CD348B"/>
    <w:rsid w:val="00CD3A4C"/>
    <w:rsid w:val="00CD3FCA"/>
    <w:rsid w:val="00CD4882"/>
    <w:rsid w:val="00CE088D"/>
    <w:rsid w:val="00CE0AA2"/>
    <w:rsid w:val="00CE10E9"/>
    <w:rsid w:val="00CE1924"/>
    <w:rsid w:val="00CE2910"/>
    <w:rsid w:val="00CE33C5"/>
    <w:rsid w:val="00CE3B9B"/>
    <w:rsid w:val="00CE3EA3"/>
    <w:rsid w:val="00CE51DA"/>
    <w:rsid w:val="00CE5393"/>
    <w:rsid w:val="00CF10A2"/>
    <w:rsid w:val="00CF2B36"/>
    <w:rsid w:val="00CF2D5D"/>
    <w:rsid w:val="00CF2FEC"/>
    <w:rsid w:val="00CF340A"/>
    <w:rsid w:val="00CF36BE"/>
    <w:rsid w:val="00CF6000"/>
    <w:rsid w:val="00CF640A"/>
    <w:rsid w:val="00D003F3"/>
    <w:rsid w:val="00D031A0"/>
    <w:rsid w:val="00D0364F"/>
    <w:rsid w:val="00D04DA2"/>
    <w:rsid w:val="00D06834"/>
    <w:rsid w:val="00D06AC3"/>
    <w:rsid w:val="00D1104B"/>
    <w:rsid w:val="00D11286"/>
    <w:rsid w:val="00D1140A"/>
    <w:rsid w:val="00D13496"/>
    <w:rsid w:val="00D14CEB"/>
    <w:rsid w:val="00D14D3B"/>
    <w:rsid w:val="00D14DD6"/>
    <w:rsid w:val="00D153D6"/>
    <w:rsid w:val="00D16131"/>
    <w:rsid w:val="00D17A69"/>
    <w:rsid w:val="00D21C28"/>
    <w:rsid w:val="00D269A6"/>
    <w:rsid w:val="00D308ED"/>
    <w:rsid w:val="00D33A34"/>
    <w:rsid w:val="00D3533A"/>
    <w:rsid w:val="00D36D86"/>
    <w:rsid w:val="00D37E49"/>
    <w:rsid w:val="00D41B94"/>
    <w:rsid w:val="00D41F52"/>
    <w:rsid w:val="00D428AA"/>
    <w:rsid w:val="00D449F1"/>
    <w:rsid w:val="00D44F41"/>
    <w:rsid w:val="00D474E4"/>
    <w:rsid w:val="00D50A34"/>
    <w:rsid w:val="00D524E1"/>
    <w:rsid w:val="00D53EFA"/>
    <w:rsid w:val="00D541C4"/>
    <w:rsid w:val="00D5576D"/>
    <w:rsid w:val="00D5785E"/>
    <w:rsid w:val="00D61EA7"/>
    <w:rsid w:val="00D61FDC"/>
    <w:rsid w:val="00D62D1B"/>
    <w:rsid w:val="00D64D66"/>
    <w:rsid w:val="00D65291"/>
    <w:rsid w:val="00D66A10"/>
    <w:rsid w:val="00D66E6F"/>
    <w:rsid w:val="00D70A0D"/>
    <w:rsid w:val="00D71638"/>
    <w:rsid w:val="00D71952"/>
    <w:rsid w:val="00D731C4"/>
    <w:rsid w:val="00D743B8"/>
    <w:rsid w:val="00D75AF1"/>
    <w:rsid w:val="00D80630"/>
    <w:rsid w:val="00D84455"/>
    <w:rsid w:val="00D86C53"/>
    <w:rsid w:val="00D907AD"/>
    <w:rsid w:val="00D909A7"/>
    <w:rsid w:val="00D911E5"/>
    <w:rsid w:val="00D91264"/>
    <w:rsid w:val="00D92CFF"/>
    <w:rsid w:val="00D93908"/>
    <w:rsid w:val="00D94A7C"/>
    <w:rsid w:val="00D954C7"/>
    <w:rsid w:val="00D95896"/>
    <w:rsid w:val="00D969CE"/>
    <w:rsid w:val="00D978D6"/>
    <w:rsid w:val="00D97BBD"/>
    <w:rsid w:val="00DA0EBF"/>
    <w:rsid w:val="00DA2647"/>
    <w:rsid w:val="00DA7311"/>
    <w:rsid w:val="00DB0400"/>
    <w:rsid w:val="00DB2983"/>
    <w:rsid w:val="00DB5C4F"/>
    <w:rsid w:val="00DB6813"/>
    <w:rsid w:val="00DC037C"/>
    <w:rsid w:val="00DC1257"/>
    <w:rsid w:val="00DC2DDE"/>
    <w:rsid w:val="00DC3DC0"/>
    <w:rsid w:val="00DC3F06"/>
    <w:rsid w:val="00DC4B5D"/>
    <w:rsid w:val="00DC5B2B"/>
    <w:rsid w:val="00DD0EDE"/>
    <w:rsid w:val="00DD1FAB"/>
    <w:rsid w:val="00DD318D"/>
    <w:rsid w:val="00DD3B16"/>
    <w:rsid w:val="00DE151B"/>
    <w:rsid w:val="00DE538C"/>
    <w:rsid w:val="00DF063E"/>
    <w:rsid w:val="00DF0DA9"/>
    <w:rsid w:val="00DF2E12"/>
    <w:rsid w:val="00DF4C36"/>
    <w:rsid w:val="00DF511D"/>
    <w:rsid w:val="00DF514A"/>
    <w:rsid w:val="00DF539A"/>
    <w:rsid w:val="00DF6690"/>
    <w:rsid w:val="00DF6804"/>
    <w:rsid w:val="00E00DEE"/>
    <w:rsid w:val="00E0358D"/>
    <w:rsid w:val="00E04323"/>
    <w:rsid w:val="00E05EC3"/>
    <w:rsid w:val="00E06A36"/>
    <w:rsid w:val="00E070A2"/>
    <w:rsid w:val="00E102A7"/>
    <w:rsid w:val="00E10AF1"/>
    <w:rsid w:val="00E12A68"/>
    <w:rsid w:val="00E12B22"/>
    <w:rsid w:val="00E13004"/>
    <w:rsid w:val="00E14C90"/>
    <w:rsid w:val="00E15769"/>
    <w:rsid w:val="00E16248"/>
    <w:rsid w:val="00E16482"/>
    <w:rsid w:val="00E16F9F"/>
    <w:rsid w:val="00E17B31"/>
    <w:rsid w:val="00E2084D"/>
    <w:rsid w:val="00E208A2"/>
    <w:rsid w:val="00E20DFE"/>
    <w:rsid w:val="00E24DCA"/>
    <w:rsid w:val="00E2656A"/>
    <w:rsid w:val="00E2676D"/>
    <w:rsid w:val="00E27822"/>
    <w:rsid w:val="00E34D49"/>
    <w:rsid w:val="00E35AB1"/>
    <w:rsid w:val="00E3605E"/>
    <w:rsid w:val="00E368FD"/>
    <w:rsid w:val="00E36BEF"/>
    <w:rsid w:val="00E412D0"/>
    <w:rsid w:val="00E42EE3"/>
    <w:rsid w:val="00E44061"/>
    <w:rsid w:val="00E46E1E"/>
    <w:rsid w:val="00E47802"/>
    <w:rsid w:val="00E50B1D"/>
    <w:rsid w:val="00E5214D"/>
    <w:rsid w:val="00E53842"/>
    <w:rsid w:val="00E55AEF"/>
    <w:rsid w:val="00E56322"/>
    <w:rsid w:val="00E57237"/>
    <w:rsid w:val="00E60982"/>
    <w:rsid w:val="00E62C62"/>
    <w:rsid w:val="00E64C9F"/>
    <w:rsid w:val="00E654C1"/>
    <w:rsid w:val="00E65AFF"/>
    <w:rsid w:val="00E65D97"/>
    <w:rsid w:val="00E72A5A"/>
    <w:rsid w:val="00E73354"/>
    <w:rsid w:val="00E74725"/>
    <w:rsid w:val="00E76B45"/>
    <w:rsid w:val="00E80A78"/>
    <w:rsid w:val="00E81950"/>
    <w:rsid w:val="00E843A6"/>
    <w:rsid w:val="00E85067"/>
    <w:rsid w:val="00E85784"/>
    <w:rsid w:val="00E91110"/>
    <w:rsid w:val="00E913D4"/>
    <w:rsid w:val="00E9242D"/>
    <w:rsid w:val="00E93498"/>
    <w:rsid w:val="00E93931"/>
    <w:rsid w:val="00E94375"/>
    <w:rsid w:val="00E94AC1"/>
    <w:rsid w:val="00EA14C3"/>
    <w:rsid w:val="00EA4D19"/>
    <w:rsid w:val="00EA58ED"/>
    <w:rsid w:val="00EB14D4"/>
    <w:rsid w:val="00EB1AB7"/>
    <w:rsid w:val="00EB32B1"/>
    <w:rsid w:val="00EB5186"/>
    <w:rsid w:val="00EB5255"/>
    <w:rsid w:val="00EB5C47"/>
    <w:rsid w:val="00EB5EE0"/>
    <w:rsid w:val="00EB5F81"/>
    <w:rsid w:val="00EB75A6"/>
    <w:rsid w:val="00EC0612"/>
    <w:rsid w:val="00EC5526"/>
    <w:rsid w:val="00EC6F27"/>
    <w:rsid w:val="00EC7717"/>
    <w:rsid w:val="00ED0639"/>
    <w:rsid w:val="00ED1DD4"/>
    <w:rsid w:val="00ED3519"/>
    <w:rsid w:val="00ED739C"/>
    <w:rsid w:val="00EE010A"/>
    <w:rsid w:val="00EE2164"/>
    <w:rsid w:val="00EE3553"/>
    <w:rsid w:val="00EE38F0"/>
    <w:rsid w:val="00EE6276"/>
    <w:rsid w:val="00EE68B4"/>
    <w:rsid w:val="00EF0D43"/>
    <w:rsid w:val="00EF18A2"/>
    <w:rsid w:val="00EF3559"/>
    <w:rsid w:val="00EF4755"/>
    <w:rsid w:val="00EF520B"/>
    <w:rsid w:val="00EF66BB"/>
    <w:rsid w:val="00EF7135"/>
    <w:rsid w:val="00EF787A"/>
    <w:rsid w:val="00F027DB"/>
    <w:rsid w:val="00F02C1D"/>
    <w:rsid w:val="00F03069"/>
    <w:rsid w:val="00F03110"/>
    <w:rsid w:val="00F071C8"/>
    <w:rsid w:val="00F10FBA"/>
    <w:rsid w:val="00F11B23"/>
    <w:rsid w:val="00F148AD"/>
    <w:rsid w:val="00F14A7A"/>
    <w:rsid w:val="00F1533E"/>
    <w:rsid w:val="00F16A1A"/>
    <w:rsid w:val="00F22985"/>
    <w:rsid w:val="00F27F96"/>
    <w:rsid w:val="00F3383E"/>
    <w:rsid w:val="00F4280B"/>
    <w:rsid w:val="00F42EEA"/>
    <w:rsid w:val="00F43597"/>
    <w:rsid w:val="00F44409"/>
    <w:rsid w:val="00F44E43"/>
    <w:rsid w:val="00F4517C"/>
    <w:rsid w:val="00F465A7"/>
    <w:rsid w:val="00F50B7C"/>
    <w:rsid w:val="00F50B96"/>
    <w:rsid w:val="00F544BC"/>
    <w:rsid w:val="00F550E6"/>
    <w:rsid w:val="00F55B21"/>
    <w:rsid w:val="00F55D30"/>
    <w:rsid w:val="00F6036F"/>
    <w:rsid w:val="00F63913"/>
    <w:rsid w:val="00F64199"/>
    <w:rsid w:val="00F64A56"/>
    <w:rsid w:val="00F66182"/>
    <w:rsid w:val="00F665F5"/>
    <w:rsid w:val="00F67C37"/>
    <w:rsid w:val="00F707F2"/>
    <w:rsid w:val="00F70A4C"/>
    <w:rsid w:val="00F70D4B"/>
    <w:rsid w:val="00F70DD8"/>
    <w:rsid w:val="00F72CDF"/>
    <w:rsid w:val="00F7359A"/>
    <w:rsid w:val="00F74345"/>
    <w:rsid w:val="00F758D9"/>
    <w:rsid w:val="00F7637D"/>
    <w:rsid w:val="00F77CA8"/>
    <w:rsid w:val="00F80A0A"/>
    <w:rsid w:val="00F81376"/>
    <w:rsid w:val="00F829E3"/>
    <w:rsid w:val="00F82B19"/>
    <w:rsid w:val="00F84E82"/>
    <w:rsid w:val="00F9212D"/>
    <w:rsid w:val="00F93D17"/>
    <w:rsid w:val="00F9651A"/>
    <w:rsid w:val="00F965D5"/>
    <w:rsid w:val="00F965DA"/>
    <w:rsid w:val="00FA1DCC"/>
    <w:rsid w:val="00FA3402"/>
    <w:rsid w:val="00FA406A"/>
    <w:rsid w:val="00FA600E"/>
    <w:rsid w:val="00FB2FCC"/>
    <w:rsid w:val="00FB32B6"/>
    <w:rsid w:val="00FB40AD"/>
    <w:rsid w:val="00FB4489"/>
    <w:rsid w:val="00FB4DD1"/>
    <w:rsid w:val="00FB503A"/>
    <w:rsid w:val="00FB516C"/>
    <w:rsid w:val="00FB5EF2"/>
    <w:rsid w:val="00FC06C0"/>
    <w:rsid w:val="00FC09E3"/>
    <w:rsid w:val="00FC12E1"/>
    <w:rsid w:val="00FC1B95"/>
    <w:rsid w:val="00FC2287"/>
    <w:rsid w:val="00FC2D71"/>
    <w:rsid w:val="00FC46E8"/>
    <w:rsid w:val="00FC4F8B"/>
    <w:rsid w:val="00FC5F97"/>
    <w:rsid w:val="00FD0236"/>
    <w:rsid w:val="00FD18F4"/>
    <w:rsid w:val="00FD2054"/>
    <w:rsid w:val="00FD3DF4"/>
    <w:rsid w:val="00FD52CD"/>
    <w:rsid w:val="00FD54DB"/>
    <w:rsid w:val="00FD619F"/>
    <w:rsid w:val="00FD6682"/>
    <w:rsid w:val="00FE1A33"/>
    <w:rsid w:val="00FE428F"/>
    <w:rsid w:val="00FE5217"/>
    <w:rsid w:val="00FE5CD6"/>
    <w:rsid w:val="00FF06F2"/>
    <w:rsid w:val="00FF24B1"/>
    <w:rsid w:val="00FF26A7"/>
    <w:rsid w:val="01290F7E"/>
    <w:rsid w:val="015D1E09"/>
    <w:rsid w:val="02697903"/>
    <w:rsid w:val="02F96569"/>
    <w:rsid w:val="03EA7B21"/>
    <w:rsid w:val="053A4C21"/>
    <w:rsid w:val="05F83EAE"/>
    <w:rsid w:val="063E7D85"/>
    <w:rsid w:val="064342FA"/>
    <w:rsid w:val="07293586"/>
    <w:rsid w:val="07295285"/>
    <w:rsid w:val="07636392"/>
    <w:rsid w:val="07770C56"/>
    <w:rsid w:val="08E578CA"/>
    <w:rsid w:val="09110102"/>
    <w:rsid w:val="092217DD"/>
    <w:rsid w:val="093A7294"/>
    <w:rsid w:val="0A263993"/>
    <w:rsid w:val="0A2D3AC2"/>
    <w:rsid w:val="0A531311"/>
    <w:rsid w:val="0AA755DF"/>
    <w:rsid w:val="0B120D44"/>
    <w:rsid w:val="0BD27BF6"/>
    <w:rsid w:val="0C067414"/>
    <w:rsid w:val="0C3B3C7D"/>
    <w:rsid w:val="0CAB2EAE"/>
    <w:rsid w:val="0D621C7D"/>
    <w:rsid w:val="0E0231F4"/>
    <w:rsid w:val="0E73034D"/>
    <w:rsid w:val="0F13775A"/>
    <w:rsid w:val="0F5F45FE"/>
    <w:rsid w:val="0F9A112B"/>
    <w:rsid w:val="106D2F64"/>
    <w:rsid w:val="10B63710"/>
    <w:rsid w:val="10F10820"/>
    <w:rsid w:val="111C2F7A"/>
    <w:rsid w:val="11665CA1"/>
    <w:rsid w:val="12D71FBF"/>
    <w:rsid w:val="13951726"/>
    <w:rsid w:val="13EA7CB8"/>
    <w:rsid w:val="14396509"/>
    <w:rsid w:val="14693371"/>
    <w:rsid w:val="14DD2C3C"/>
    <w:rsid w:val="16087E1D"/>
    <w:rsid w:val="16B07047"/>
    <w:rsid w:val="17701D14"/>
    <w:rsid w:val="17735226"/>
    <w:rsid w:val="189B17FC"/>
    <w:rsid w:val="189F624C"/>
    <w:rsid w:val="19EC6A35"/>
    <w:rsid w:val="1A1C66C0"/>
    <w:rsid w:val="1A42393B"/>
    <w:rsid w:val="1AAD45DE"/>
    <w:rsid w:val="1B046F80"/>
    <w:rsid w:val="1B3267B5"/>
    <w:rsid w:val="1B40161D"/>
    <w:rsid w:val="1B441859"/>
    <w:rsid w:val="1B6606B1"/>
    <w:rsid w:val="1C5E7925"/>
    <w:rsid w:val="1CFD070F"/>
    <w:rsid w:val="1D5F6196"/>
    <w:rsid w:val="1D6132A5"/>
    <w:rsid w:val="1D8E56D5"/>
    <w:rsid w:val="1E213E84"/>
    <w:rsid w:val="1E7A43DA"/>
    <w:rsid w:val="1E7E66A1"/>
    <w:rsid w:val="1ED540E9"/>
    <w:rsid w:val="1FE7539E"/>
    <w:rsid w:val="20671BE0"/>
    <w:rsid w:val="20963CB8"/>
    <w:rsid w:val="20A81A1B"/>
    <w:rsid w:val="20B07FB6"/>
    <w:rsid w:val="20B646FB"/>
    <w:rsid w:val="213B74B1"/>
    <w:rsid w:val="215A2310"/>
    <w:rsid w:val="21D146EB"/>
    <w:rsid w:val="21DE318A"/>
    <w:rsid w:val="21EF5B80"/>
    <w:rsid w:val="22576990"/>
    <w:rsid w:val="22F47480"/>
    <w:rsid w:val="23070728"/>
    <w:rsid w:val="23DE1C48"/>
    <w:rsid w:val="240210CD"/>
    <w:rsid w:val="2449169E"/>
    <w:rsid w:val="24BF09F7"/>
    <w:rsid w:val="24FE1D31"/>
    <w:rsid w:val="252D53FE"/>
    <w:rsid w:val="25EC2D81"/>
    <w:rsid w:val="277057A2"/>
    <w:rsid w:val="28626206"/>
    <w:rsid w:val="29206EB8"/>
    <w:rsid w:val="29595666"/>
    <w:rsid w:val="29874881"/>
    <w:rsid w:val="29E325E0"/>
    <w:rsid w:val="2A452503"/>
    <w:rsid w:val="2A747991"/>
    <w:rsid w:val="2AB61830"/>
    <w:rsid w:val="2B1B28EC"/>
    <w:rsid w:val="2BA936A8"/>
    <w:rsid w:val="2C315A5A"/>
    <w:rsid w:val="2C4B1C25"/>
    <w:rsid w:val="2CA01CB7"/>
    <w:rsid w:val="2D9E56F5"/>
    <w:rsid w:val="2E667F96"/>
    <w:rsid w:val="2E682488"/>
    <w:rsid w:val="2E8226AB"/>
    <w:rsid w:val="2FB7126A"/>
    <w:rsid w:val="2FD065E6"/>
    <w:rsid w:val="2FD96870"/>
    <w:rsid w:val="30580BC9"/>
    <w:rsid w:val="311E2ED7"/>
    <w:rsid w:val="315619EE"/>
    <w:rsid w:val="315C449C"/>
    <w:rsid w:val="315F1B98"/>
    <w:rsid w:val="31B82709"/>
    <w:rsid w:val="31D05482"/>
    <w:rsid w:val="32400B34"/>
    <w:rsid w:val="329E6876"/>
    <w:rsid w:val="333015F2"/>
    <w:rsid w:val="334B6320"/>
    <w:rsid w:val="33D934D4"/>
    <w:rsid w:val="33FE2F6A"/>
    <w:rsid w:val="340E07E5"/>
    <w:rsid w:val="34235BF7"/>
    <w:rsid w:val="358C5FA8"/>
    <w:rsid w:val="35C15DF1"/>
    <w:rsid w:val="36074A7F"/>
    <w:rsid w:val="36923549"/>
    <w:rsid w:val="36B75FBF"/>
    <w:rsid w:val="36BD0C45"/>
    <w:rsid w:val="3701205C"/>
    <w:rsid w:val="37E00298"/>
    <w:rsid w:val="38B302F9"/>
    <w:rsid w:val="38F12CD3"/>
    <w:rsid w:val="38F94775"/>
    <w:rsid w:val="392971ED"/>
    <w:rsid w:val="39325651"/>
    <w:rsid w:val="3A872856"/>
    <w:rsid w:val="3B3763D1"/>
    <w:rsid w:val="3B606E0B"/>
    <w:rsid w:val="3B976580"/>
    <w:rsid w:val="3C2F6E1E"/>
    <w:rsid w:val="3C4F64BA"/>
    <w:rsid w:val="3CA722CF"/>
    <w:rsid w:val="3CDA245A"/>
    <w:rsid w:val="3CFF4308"/>
    <w:rsid w:val="3D1E06B7"/>
    <w:rsid w:val="3D2D5146"/>
    <w:rsid w:val="3DF77A1A"/>
    <w:rsid w:val="3EDA0523"/>
    <w:rsid w:val="3EEA3C8A"/>
    <w:rsid w:val="407A6407"/>
    <w:rsid w:val="41B045B3"/>
    <w:rsid w:val="4200449D"/>
    <w:rsid w:val="423A3BCC"/>
    <w:rsid w:val="424E57D2"/>
    <w:rsid w:val="42B26C49"/>
    <w:rsid w:val="433A6FE6"/>
    <w:rsid w:val="43480868"/>
    <w:rsid w:val="4350713C"/>
    <w:rsid w:val="436653E0"/>
    <w:rsid w:val="43C4431A"/>
    <w:rsid w:val="44B951CC"/>
    <w:rsid w:val="44CD14E0"/>
    <w:rsid w:val="44F20B0B"/>
    <w:rsid w:val="452E5F4C"/>
    <w:rsid w:val="45612018"/>
    <w:rsid w:val="458946E9"/>
    <w:rsid w:val="45940E46"/>
    <w:rsid w:val="45A47C0E"/>
    <w:rsid w:val="46577FD6"/>
    <w:rsid w:val="46C532BD"/>
    <w:rsid w:val="46D955A7"/>
    <w:rsid w:val="47133957"/>
    <w:rsid w:val="47A07E0C"/>
    <w:rsid w:val="4870272E"/>
    <w:rsid w:val="48D57852"/>
    <w:rsid w:val="49DC7715"/>
    <w:rsid w:val="4A023139"/>
    <w:rsid w:val="4A7B576F"/>
    <w:rsid w:val="4AC12CAD"/>
    <w:rsid w:val="4AF561A9"/>
    <w:rsid w:val="4BB5275F"/>
    <w:rsid w:val="4C4A0649"/>
    <w:rsid w:val="4C7E5ECA"/>
    <w:rsid w:val="4C876AA5"/>
    <w:rsid w:val="4C97702C"/>
    <w:rsid w:val="4D0E00FB"/>
    <w:rsid w:val="4D176606"/>
    <w:rsid w:val="4DEC4FB0"/>
    <w:rsid w:val="4E075D8A"/>
    <w:rsid w:val="4E962311"/>
    <w:rsid w:val="4EC00FAD"/>
    <w:rsid w:val="4F950EB1"/>
    <w:rsid w:val="4F9843DC"/>
    <w:rsid w:val="4FC62A8C"/>
    <w:rsid w:val="4FE20F0D"/>
    <w:rsid w:val="4FE51552"/>
    <w:rsid w:val="50504C4B"/>
    <w:rsid w:val="509C6E7C"/>
    <w:rsid w:val="5162104E"/>
    <w:rsid w:val="52CF664E"/>
    <w:rsid w:val="53A039CC"/>
    <w:rsid w:val="53A1505A"/>
    <w:rsid w:val="54063E08"/>
    <w:rsid w:val="543437E8"/>
    <w:rsid w:val="54626B88"/>
    <w:rsid w:val="548F4571"/>
    <w:rsid w:val="54B24C0C"/>
    <w:rsid w:val="54F73313"/>
    <w:rsid w:val="54F80955"/>
    <w:rsid w:val="554814C3"/>
    <w:rsid w:val="555170A7"/>
    <w:rsid w:val="5587536D"/>
    <w:rsid w:val="559B174B"/>
    <w:rsid w:val="55CE0CF4"/>
    <w:rsid w:val="56B22A9C"/>
    <w:rsid w:val="572F0614"/>
    <w:rsid w:val="57B72A76"/>
    <w:rsid w:val="57C3426C"/>
    <w:rsid w:val="57CE1F93"/>
    <w:rsid w:val="582969BE"/>
    <w:rsid w:val="58483E59"/>
    <w:rsid w:val="588743D1"/>
    <w:rsid w:val="5887701A"/>
    <w:rsid w:val="59C0439F"/>
    <w:rsid w:val="5ABE2233"/>
    <w:rsid w:val="5BDF5D95"/>
    <w:rsid w:val="5BFE7528"/>
    <w:rsid w:val="5E2467F1"/>
    <w:rsid w:val="5F1A2B43"/>
    <w:rsid w:val="5F274951"/>
    <w:rsid w:val="5F9907AC"/>
    <w:rsid w:val="5FB837BB"/>
    <w:rsid w:val="608C1F15"/>
    <w:rsid w:val="60CC405A"/>
    <w:rsid w:val="60D745E8"/>
    <w:rsid w:val="6120301D"/>
    <w:rsid w:val="61E215D8"/>
    <w:rsid w:val="621B3775"/>
    <w:rsid w:val="62364782"/>
    <w:rsid w:val="6394356A"/>
    <w:rsid w:val="63C61B2C"/>
    <w:rsid w:val="63D40BE9"/>
    <w:rsid w:val="64102431"/>
    <w:rsid w:val="64A5243A"/>
    <w:rsid w:val="64F531DE"/>
    <w:rsid w:val="65373578"/>
    <w:rsid w:val="6577302C"/>
    <w:rsid w:val="671F124A"/>
    <w:rsid w:val="677A33C6"/>
    <w:rsid w:val="681F6961"/>
    <w:rsid w:val="68610A2F"/>
    <w:rsid w:val="68805514"/>
    <w:rsid w:val="69316E2F"/>
    <w:rsid w:val="694E2071"/>
    <w:rsid w:val="69766163"/>
    <w:rsid w:val="697A3B33"/>
    <w:rsid w:val="69D44760"/>
    <w:rsid w:val="6A520EC7"/>
    <w:rsid w:val="6AF87E20"/>
    <w:rsid w:val="6B322639"/>
    <w:rsid w:val="6B6F79AD"/>
    <w:rsid w:val="6C636C38"/>
    <w:rsid w:val="6CCF6DE4"/>
    <w:rsid w:val="6D2D22FA"/>
    <w:rsid w:val="6DB34098"/>
    <w:rsid w:val="6DB545B6"/>
    <w:rsid w:val="6DE02FB4"/>
    <w:rsid w:val="6E514CED"/>
    <w:rsid w:val="6EB563D5"/>
    <w:rsid w:val="6ED92677"/>
    <w:rsid w:val="6F225983"/>
    <w:rsid w:val="6FFC5590"/>
    <w:rsid w:val="700C7769"/>
    <w:rsid w:val="706D1DD0"/>
    <w:rsid w:val="70856B87"/>
    <w:rsid w:val="70D527EE"/>
    <w:rsid w:val="7106264C"/>
    <w:rsid w:val="715B5300"/>
    <w:rsid w:val="71D27F8A"/>
    <w:rsid w:val="72553024"/>
    <w:rsid w:val="73122968"/>
    <w:rsid w:val="731F5D5E"/>
    <w:rsid w:val="73C51AD5"/>
    <w:rsid w:val="741E793C"/>
    <w:rsid w:val="742A65A0"/>
    <w:rsid w:val="745E3944"/>
    <w:rsid w:val="74E832A2"/>
    <w:rsid w:val="75A312CB"/>
    <w:rsid w:val="7635099D"/>
    <w:rsid w:val="77762421"/>
    <w:rsid w:val="77B56B1F"/>
    <w:rsid w:val="780F09F4"/>
    <w:rsid w:val="7835486D"/>
    <w:rsid w:val="789F07C1"/>
    <w:rsid w:val="78A90480"/>
    <w:rsid w:val="7A364017"/>
    <w:rsid w:val="7A8265E1"/>
    <w:rsid w:val="7AAA24A4"/>
    <w:rsid w:val="7B686D42"/>
    <w:rsid w:val="7B841746"/>
    <w:rsid w:val="7C651775"/>
    <w:rsid w:val="7C6C5AC7"/>
    <w:rsid w:val="7CC6544B"/>
    <w:rsid w:val="7CCC2571"/>
    <w:rsid w:val="7D0239FF"/>
    <w:rsid w:val="7D5E40CD"/>
    <w:rsid w:val="7D843431"/>
    <w:rsid w:val="7DCD56F2"/>
    <w:rsid w:val="7E5B3F64"/>
    <w:rsid w:val="7F001CE7"/>
    <w:rsid w:val="7F791888"/>
    <w:rsid w:val="7FE47E50"/>
  </w:rsids>
  <w:docVars>
    <w:docVar w:name="commondata" w:val="eyJoZGlkIjoiZjU5Yzg1ZmMzOTBiYTg4MWYzYzA0N2Q2MjU3NGNiMGYifQ=="/>
  </w:docVar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footnote text" w:locked="1" w:semiHidden="0" w:uiPriority="0" w:unhideWhenUsed="0"/>
    <w:lsdException w:name="annotation text" w:semiHidden="0" w:uiPriority="0" w:unhideWhenUsed="0"/>
    <w:lsdException w:name="header" w:semiHidden="0" w:uiPriority="0" w:unhideWhenUsed="0"/>
    <w:lsdException w:name="footer" w:semiHidden="0" w:uiPriority="0" w:unhideWhenUsed="0" w:qFormat="1"/>
    <w:lsdException w:name="index heading" w:locked="1" w:semiHidden="0" w:uiPriority="0" w:unhideWhenUsed="0"/>
    <w:lsdException w:name="caption" w:locked="1" w:semiHidden="0" w:uiPriority="0" w:unhideWhenUsed="0" w:qFormat="1"/>
    <w:lsdException w:name="table of figures" w:locked="1" w:semiHidden="0" w:uiPriority="0" w:qFormat="1"/>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semiHidden="0" w:uiPriority="0" w:unhideWhenUsed="0"/>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uiPriority="0" w:unhideWhenUsed="0"/>
    <w:lsdException w:name="Body Text First Indent 2" w:locked="1" w:semiHidden="0" w:uiPriority="0"/>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Block Text" w:locked="1" w:semiHidden="0" w:uiPriority="0" w:unhideWhenUsed="0"/>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20" w:unhideWhenUsed="0" w:qFormat="1"/>
    <w:lsdException w:name="Document Map" w:locked="1" w:semiHidden="0" w:uiPriority="0" w:unhideWhenUsed="0"/>
    <w:lsdException w:name="Plain Text" w:locked="1" w:semiHidden="0" w:uiPriority="0" w:unhideWhenUsed="0"/>
    <w:lsdException w:name="E-mail Signature" w:locked="1" w:semiHidden="0" w:uiPriority="0" w:unhideWhenUsed="0"/>
    <w:lsdException w:name="Normal (Web)" w:semiHidden="0" w:uiPriority="0" w:unhideWhenUsed="0"/>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lsdException w:name="HTML Definition" w:locked="1" w:semiHidden="0" w:uiPriority="0" w:unhideWhenUsed="0"/>
    <w:lsdException w:name="HTML Keyboard" w:locked="1" w:semiHidden="0" w:uiPriority="0" w:unhideWhenUsed="0"/>
    <w:lsdException w:name="HTML Preformatted" w:locked="1" w:semiHidden="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uiPriority="0" w:unhideWhenUsed="0"/>
    <w:lsdException w:name="annotation subject"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uiPriority="0" w:unhideWhenUsed="0"/>
    <w:lsdException w:name="Table Grid" w:semiHidden="0" w:uiPriority="0" w:unhideWhenUsed="0"/>
    <w:lsdException w:name="Table Theme" w:locked="1" w:semiHidden="0" w:uiPriority="0" w:unhideWhenUsed="0"/>
    <w:lsdException w:name="Placeholder Text" w:semiHidden="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34"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next w:val="BodyText"/>
    <w:qFormat/>
    <w:pPr>
      <w:widowControl w:val="0"/>
      <w:jc w:val="both"/>
    </w:pPr>
    <w:rPr>
      <w:kern w:val="2"/>
      <w:sz w:val="21"/>
      <w:szCs w:val="21"/>
      <w:lang w:val="en-US" w:eastAsia="zh-CN" w:bidi="ar-SA"/>
    </w:rPr>
  </w:style>
  <w:style w:type="paragraph" w:styleId="Heading1">
    <w:name w:val="heading 1"/>
    <w:basedOn w:val="Normal"/>
    <w:next w:val="Normal"/>
    <w:link w:val="1Char0"/>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heading 2"/>
    <w:basedOn w:val="Normal"/>
    <w:next w:val="Normal"/>
    <w:link w:val="2Char0"/>
    <w:qFormat/>
    <w:locked/>
    <w:pPr>
      <w:keepNext/>
      <w:keepLines/>
      <w:spacing w:before="260" w:after="260" w:line="416" w:lineRule="auto"/>
      <w:outlineLvl w:val="1"/>
    </w:pPr>
    <w:rPr>
      <w:rFonts w:ascii="Arial" w:eastAsia="黑体" w:hAnsi="Arial"/>
      <w:b/>
      <w:bCs/>
      <w:kern w:val="24"/>
      <w:sz w:val="32"/>
      <w:szCs w:val="32"/>
    </w:rPr>
  </w:style>
  <w:style w:type="paragraph" w:styleId="Heading3">
    <w:name w:val="heading 3"/>
    <w:basedOn w:val="Normal"/>
    <w:next w:val="Normal"/>
    <w:link w:val="3Char"/>
    <w:qFormat/>
    <w:locked/>
    <w:pPr>
      <w:keepNext/>
      <w:keepLines/>
      <w:spacing w:before="260" w:after="260" w:line="416" w:lineRule="auto"/>
      <w:outlineLvl w:val="2"/>
    </w:pPr>
    <w:rPr>
      <w:b/>
      <w:bCs/>
      <w:kern w:val="24"/>
      <w:sz w:val="32"/>
      <w:szCs w:val="32"/>
    </w:rPr>
  </w:style>
  <w:style w:type="paragraph" w:styleId="Heading4">
    <w:name w:val="heading 4"/>
    <w:basedOn w:val="Normal"/>
    <w:next w:val="Normal"/>
    <w:link w:val="4Char"/>
    <w:qFormat/>
    <w:locked/>
    <w:pPr>
      <w:keepNext/>
      <w:keepLines/>
      <w:ind w:firstLine="200" w:firstLineChars="200"/>
      <w:jc w:val="left"/>
      <w:outlineLvl w:val="3"/>
    </w:pPr>
    <w:rPr>
      <w:rFonts w:eastAsia="黑体"/>
      <w:bCs/>
      <w:kern w:val="24"/>
      <w:sz w:val="20"/>
      <w:szCs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HTML1">
    <w:name w:val="HTML 预设格式 字符1"/>
    <w:uiPriority w:val="99"/>
    <w:rPr>
      <w:rFonts w:ascii="Courier New" w:hAnsi="Courier New" w:cs="Courier New"/>
      <w:kern w:val="2"/>
    </w:rPr>
  </w:style>
  <w:style w:type="character" w:customStyle="1" w:styleId="Char">
    <w:name w:val="批注文字 Char"/>
    <w:link w:val="CommentText"/>
    <w:locked/>
    <w:rPr>
      <w:rFonts w:ascii="Times New Roman" w:eastAsia="宋体" w:hAnsi="Times New Roman"/>
      <w:sz w:val="24"/>
    </w:rPr>
  </w:style>
  <w:style w:type="character" w:customStyle="1" w:styleId="Char0">
    <w:name w:val="批注主题 Char"/>
    <w:link w:val="CommentSubject"/>
    <w:semiHidden/>
    <w:locked/>
    <w:rPr>
      <w:rFonts w:ascii="Times New Roman" w:eastAsia="宋体" w:hAnsi="Times New Roman"/>
      <w:b/>
      <w:kern w:val="2"/>
      <w:sz w:val="24"/>
    </w:rPr>
  </w:style>
  <w:style w:type="character" w:customStyle="1" w:styleId="Char1">
    <w:name w:val="纯文本 Char"/>
    <w:link w:val="PlainText"/>
    <w:rPr>
      <w:rFonts w:ascii="宋体" w:hAnsi="Courier New" w:cs="Courier New"/>
      <w:kern w:val="2"/>
      <w:sz w:val="21"/>
      <w:szCs w:val="21"/>
    </w:rPr>
  </w:style>
  <w:style w:type="character" w:styleId="PageNumber">
    <w:name w:val="page number"/>
    <w:locked/>
  </w:style>
  <w:style w:type="character" w:customStyle="1" w:styleId="TabChar">
    <w:name w:val="Tab正文 Char"/>
    <w:link w:val="Tab1"/>
    <w:rPr>
      <w:kern w:val="2"/>
      <w:sz w:val="21"/>
      <w:szCs w:val="21"/>
    </w:rPr>
  </w:style>
  <w:style w:type="character" w:styleId="Strong">
    <w:name w:val="Strong"/>
    <w:qFormat/>
    <w:locked/>
    <w:rPr>
      <w:b/>
      <w:bCs/>
    </w:rPr>
  </w:style>
  <w:style w:type="character" w:customStyle="1" w:styleId="15">
    <w:name w:val="15"/>
    <w:rPr>
      <w:rFonts w:ascii="Times New Roman" w:hAnsi="Times New Roman" w:cs="Times New Roman" w:hint="default"/>
      <w:kern w:val="24"/>
      <w:sz w:val="24"/>
      <w:szCs w:val="24"/>
    </w:rPr>
  </w:style>
  <w:style w:type="character" w:customStyle="1" w:styleId="2Char">
    <w:name w:val="正文文本缩进 2 Char"/>
    <w:link w:val="BodyTextIndent2"/>
    <w:rPr>
      <w:kern w:val="24"/>
      <w:szCs w:val="21"/>
    </w:rPr>
  </w:style>
  <w:style w:type="character" w:customStyle="1" w:styleId="Char2">
    <w:name w:val="表格文字. Char"/>
    <w:link w:val="a17"/>
    <w:rPr>
      <w:snapToGrid/>
      <w:color w:val="000000"/>
      <w:sz w:val="21"/>
    </w:rPr>
  </w:style>
  <w:style w:type="character" w:styleId="FollowedHyperlink">
    <w:name w:val="FollowedHyperlink"/>
    <w:locked/>
    <w:rPr>
      <w:color w:val="0B3B8C"/>
      <w:u w:val="none"/>
    </w:rPr>
  </w:style>
  <w:style w:type="character" w:customStyle="1" w:styleId="Char3">
    <w:name w:val="文档结构图 Char"/>
    <w:link w:val="DocumentMap"/>
    <w:rPr>
      <w:kern w:val="2"/>
      <w:sz w:val="24"/>
      <w:szCs w:val="24"/>
      <w:shd w:val="clear" w:color="auto" w:fill="000080"/>
    </w:rPr>
  </w:style>
  <w:style w:type="character" w:customStyle="1" w:styleId="a">
    <w:name w:val="表格 字符"/>
    <w:rPr>
      <w:rFonts w:eastAsia="黑体"/>
      <w:kern w:val="2"/>
      <w:sz w:val="21"/>
      <w:szCs w:val="21"/>
    </w:rPr>
  </w:style>
  <w:style w:type="character" w:customStyle="1" w:styleId="a0">
    <w:name w:val="纯文本 字符"/>
    <w:rPr>
      <w:rFonts w:ascii="宋体" w:hAnsi="Courier New"/>
      <w:kern w:val="2"/>
      <w:sz w:val="21"/>
    </w:rPr>
  </w:style>
  <w:style w:type="character" w:styleId="Emphasis">
    <w:name w:val="Emphasis"/>
    <w:uiPriority w:val="20"/>
    <w:qFormat/>
    <w:locked/>
    <w:rPr>
      <w:b w:val="0"/>
      <w:i w:val="0"/>
    </w:rPr>
  </w:style>
  <w:style w:type="character" w:customStyle="1" w:styleId="font11">
    <w:name w:val="font11"/>
    <w:rPr>
      <w:rFonts w:ascii="宋体" w:eastAsia="宋体" w:hAnsi="宋体" w:hint="eastAsia"/>
      <w:color w:val="000000"/>
      <w:sz w:val="21"/>
      <w:szCs w:val="21"/>
      <w:u w:val="none"/>
    </w:rPr>
  </w:style>
  <w:style w:type="character" w:customStyle="1" w:styleId="font01">
    <w:name w:val="font01"/>
    <w:rPr>
      <w:rFonts w:ascii="Times New Roman" w:hAnsi="Times New Roman" w:cs="Times New Roman" w:hint="default"/>
      <w:color w:val="000000"/>
      <w:sz w:val="21"/>
      <w:szCs w:val="21"/>
      <w:u w:val="none"/>
    </w:rPr>
  </w:style>
  <w:style w:type="character" w:customStyle="1" w:styleId="2">
    <w:name w:val="页脚 字符2"/>
    <w:semiHidden/>
    <w:rPr>
      <w:kern w:val="24"/>
      <w:sz w:val="18"/>
      <w:szCs w:val="18"/>
    </w:rPr>
  </w:style>
  <w:style w:type="character" w:customStyle="1" w:styleId="Char4">
    <w:name w:val="萝卜 Char"/>
    <w:link w:val="a22"/>
    <w:rPr>
      <w:kern w:val="24"/>
      <w:sz w:val="24"/>
      <w:szCs w:val="21"/>
    </w:rPr>
  </w:style>
  <w:style w:type="character" w:customStyle="1" w:styleId="Char5">
    <w:name w:val="表头 Char"/>
    <w:rPr>
      <w:rFonts w:eastAsia="黑体"/>
      <w:shadow/>
      <w:kern w:val="2"/>
      <w:sz w:val="24"/>
      <w:szCs w:val="24"/>
      <w:lang w:val="en-US" w:eastAsia="zh-CN" w:bidi="ar-SA"/>
    </w:rPr>
  </w:style>
  <w:style w:type="character" w:customStyle="1" w:styleId="Char10">
    <w:name w:val="纯文本 Char1"/>
    <w:rPr>
      <w:rFonts w:ascii="宋体" w:hAnsi="Courier New" w:cs="Courier New"/>
      <w:kern w:val="2"/>
      <w:sz w:val="21"/>
      <w:szCs w:val="21"/>
    </w:rPr>
  </w:style>
  <w:style w:type="character" w:styleId="Hyperlink">
    <w:name w:val="Hyperlink"/>
    <w:locked/>
    <w:rPr>
      <w:color w:val="0000FF"/>
      <w:u w:val="single"/>
    </w:rPr>
  </w:style>
  <w:style w:type="character" w:customStyle="1" w:styleId="20">
    <w:name w:val="纯文本 字符2"/>
    <w:rPr>
      <w:rFonts w:ascii="宋体" w:hAnsi="Courier New" w:cs="Courier New"/>
      <w:kern w:val="2"/>
      <w:sz w:val="21"/>
      <w:szCs w:val="21"/>
    </w:rPr>
  </w:style>
  <w:style w:type="character" w:customStyle="1" w:styleId="CharCharChar">
    <w:name w:val="普通文字 Char Char Char"/>
    <w:aliases w:val="孙普文字 Char Char,普通文字 Char1,纯文本 Char Char Char Char Char Char,纯文本 Char Char Char Char Char Char Char Char Char Char Char Char Char Char Char Char Char Char Char Char Char Char Char Char Char Char Char Char Char Char,纯文本 Char Char Char1"/>
    <w:rPr>
      <w:rFonts w:ascii="宋体" w:eastAsia="宋体" w:hAnsi="Courier New"/>
      <w:spacing w:val="8"/>
      <w:kern w:val="2"/>
      <w:sz w:val="24"/>
      <w:lang w:val="en-US" w:eastAsia="zh-CN" w:bidi="ar-SA"/>
    </w:rPr>
  </w:style>
  <w:style w:type="character" w:customStyle="1" w:styleId="21">
    <w:name w:val="正文首行缩进 2 字符"/>
    <w:link w:val="Style58"/>
    <w:uiPriority w:val="99"/>
    <w:rPr>
      <w:kern w:val="2"/>
      <w:sz w:val="28"/>
    </w:rPr>
  </w:style>
  <w:style w:type="character" w:customStyle="1" w:styleId="HTMLChar">
    <w:name w:val="HTML 预设格式 Char"/>
    <w:link w:val="HTMLPreformatted"/>
    <w:uiPriority w:val="99"/>
    <w:rPr>
      <w:rFonts w:ascii="宋体" w:hAnsi="宋体" w:cs="宋体"/>
      <w:sz w:val="24"/>
      <w:szCs w:val="24"/>
    </w:rPr>
  </w:style>
  <w:style w:type="character" w:styleId="HTMLCode">
    <w:name w:val="HTML Code"/>
    <w:uiPriority w:val="99"/>
    <w:unhideWhenUsed/>
    <w:locked/>
    <w:rPr>
      <w:rFonts w:ascii="宋体" w:eastAsia="宋体" w:hAnsi="宋体" w:cs="宋体"/>
      <w:sz w:val="24"/>
      <w:szCs w:val="24"/>
    </w:rPr>
  </w:style>
  <w:style w:type="character" w:customStyle="1" w:styleId="Char6">
    <w:name w:val="轻工 Char"/>
    <w:link w:val="a6"/>
    <w:rPr>
      <w:rFonts w:eastAsia="黑体"/>
      <w:kern w:val="2"/>
      <w:sz w:val="21"/>
      <w:szCs w:val="22"/>
    </w:rPr>
  </w:style>
  <w:style w:type="character" w:customStyle="1" w:styleId="Char12">
    <w:name w:val="副标题 Char1"/>
    <w:rPr>
      <w:rFonts w:ascii="Cambria" w:hAnsi="Cambria" w:cs="Times New Roman"/>
      <w:b/>
      <w:bCs/>
      <w:kern w:val="28"/>
      <w:sz w:val="32"/>
      <w:szCs w:val="32"/>
    </w:rPr>
  </w:style>
  <w:style w:type="character" w:customStyle="1" w:styleId="2Char0">
    <w:name w:val="标题 2 Char"/>
    <w:link w:val="Heading2"/>
    <w:rPr>
      <w:rFonts w:ascii="Arial" w:eastAsia="黑体" w:hAnsi="Arial"/>
      <w:b/>
      <w:bCs/>
      <w:kern w:val="24"/>
      <w:sz w:val="32"/>
      <w:szCs w:val="32"/>
    </w:rPr>
  </w:style>
  <w:style w:type="character" w:customStyle="1" w:styleId="Char7">
    <w:name w:val="副标题 Char"/>
    <w:link w:val="Subtitle"/>
    <w:qFormat/>
    <w:rPr>
      <w:rFonts w:ascii="Cambria" w:hAnsi="Cambria"/>
      <w:b/>
      <w:bCs/>
      <w:kern w:val="28"/>
      <w:sz w:val="32"/>
      <w:szCs w:val="32"/>
    </w:rPr>
  </w:style>
  <w:style w:type="character" w:styleId="CommentReference">
    <w:name w:val="annotation reference"/>
    <w:rPr>
      <w:sz w:val="21"/>
    </w:rPr>
  </w:style>
  <w:style w:type="character" w:customStyle="1" w:styleId="1">
    <w:name w:val="正文文本 字符1"/>
    <w:semiHidden/>
    <w:rPr>
      <w:rFonts w:ascii="Times New Roman" w:eastAsia="宋体" w:hAnsi="Times New Roman"/>
      <w:sz w:val="24"/>
    </w:rPr>
  </w:style>
  <w:style w:type="character" w:customStyle="1" w:styleId="10">
    <w:name w:val="文档结构图 字符1"/>
    <w:rPr>
      <w:rFonts w:ascii="Microsoft YaHei UI" w:eastAsia="Microsoft YaHei UI"/>
      <w:kern w:val="2"/>
      <w:sz w:val="18"/>
      <w:szCs w:val="18"/>
    </w:rPr>
  </w:style>
  <w:style w:type="character" w:customStyle="1" w:styleId="1Char">
    <w:name w:val="正文1 Char"/>
    <w:link w:val="18"/>
    <w:locked/>
    <w:rPr>
      <w:color w:val="000000"/>
      <w:kern w:val="2"/>
      <w:sz w:val="24"/>
      <w:szCs w:val="24"/>
    </w:rPr>
  </w:style>
  <w:style w:type="character" w:customStyle="1" w:styleId="4Char">
    <w:name w:val="标题 4 Char"/>
    <w:link w:val="Heading4"/>
    <w:rPr>
      <w:rFonts w:eastAsia="黑体"/>
      <w:bCs/>
      <w:kern w:val="24"/>
      <w:szCs w:val="28"/>
    </w:rPr>
  </w:style>
  <w:style w:type="character" w:customStyle="1" w:styleId="font21">
    <w:name w:val="font21"/>
    <w:rPr>
      <w:rFonts w:ascii="Times New Roman" w:hAnsi="Times New Roman" w:cs="Times New Roman" w:hint="default"/>
      <w:i w:val="0"/>
      <w:color w:val="000000"/>
      <w:sz w:val="20"/>
      <w:szCs w:val="20"/>
      <w:u w:val="none"/>
      <w:vertAlign w:val="superscript"/>
    </w:rPr>
  </w:style>
  <w:style w:type="character" w:customStyle="1" w:styleId="Char8">
    <w:name w:val="正文文本 Char"/>
    <w:link w:val="BodyText"/>
    <w:locked/>
    <w:rPr>
      <w:sz w:val="18"/>
    </w:rPr>
  </w:style>
  <w:style w:type="character" w:customStyle="1" w:styleId="a1">
    <w:name w:val="页脚 字符"/>
    <w:uiPriority w:val="99"/>
    <w:qFormat/>
  </w:style>
  <w:style w:type="character" w:customStyle="1" w:styleId="11">
    <w:name w:val="正文文本缩进 字符1"/>
    <w:semiHidden/>
    <w:rPr>
      <w:kern w:val="24"/>
      <w:szCs w:val="21"/>
    </w:rPr>
  </w:style>
  <w:style w:type="character" w:customStyle="1" w:styleId="Char9">
    <w:name w:val="普通(网站) Char"/>
    <w:link w:val="NormalWeb"/>
    <w:locked/>
    <w:rPr>
      <w:rFonts w:ascii="宋体" w:eastAsia="宋体" w:hAnsi="宋体"/>
      <w:sz w:val="24"/>
    </w:rPr>
  </w:style>
  <w:style w:type="character" w:customStyle="1" w:styleId="font51">
    <w:name w:val="font51"/>
    <w:rPr>
      <w:rFonts w:ascii="Times New Roman" w:hAnsi="Times New Roman" w:cs="Times New Roman" w:hint="default"/>
      <w:color w:val="000000"/>
      <w:sz w:val="21"/>
      <w:szCs w:val="21"/>
      <w:u w:val="none"/>
      <w:vertAlign w:val="superscript"/>
    </w:rPr>
  </w:style>
  <w:style w:type="character" w:customStyle="1" w:styleId="Char13">
    <w:name w:val="正文文本缩进 Char"/>
    <w:link w:val="BodyTextIndent"/>
    <w:locked/>
    <w:rPr>
      <w:rFonts w:ascii="Times New Roman" w:eastAsia="宋体" w:hAnsi="Times New Roman"/>
      <w:sz w:val="24"/>
    </w:rPr>
  </w:style>
  <w:style w:type="character" w:customStyle="1" w:styleId="Char14">
    <w:name w:val="批注框文本 Char"/>
    <w:link w:val="BalloonText"/>
    <w:semiHidden/>
    <w:locked/>
    <w:rPr>
      <w:rFonts w:ascii="Times New Roman" w:eastAsia="宋体" w:hAnsi="Times New Roman"/>
      <w:sz w:val="18"/>
    </w:rPr>
  </w:style>
  <w:style w:type="character" w:customStyle="1" w:styleId="210">
    <w:name w:val="正文文本缩进 2 字符1"/>
    <w:rPr>
      <w:kern w:val="2"/>
      <w:sz w:val="21"/>
      <w:szCs w:val="24"/>
    </w:rPr>
  </w:style>
  <w:style w:type="character" w:customStyle="1" w:styleId="2Char1">
    <w:name w:val="正文首行缩进 2 Char1"/>
    <w:link w:val="BodyTextFirstIndent2"/>
    <w:rPr>
      <w:kern w:val="2"/>
      <w:sz w:val="28"/>
      <w:szCs w:val="21"/>
    </w:rPr>
  </w:style>
  <w:style w:type="character" w:customStyle="1" w:styleId="12">
    <w:name w:val="副标题 字符1"/>
    <w:rPr>
      <w:rFonts w:ascii="等线 Light" w:hAnsi="等线 Light" w:cs="Times New Roman"/>
      <w:b/>
      <w:bCs/>
      <w:kern w:val="28"/>
      <w:sz w:val="32"/>
      <w:szCs w:val="32"/>
    </w:rPr>
  </w:style>
  <w:style w:type="character" w:customStyle="1" w:styleId="Char15">
    <w:name w:val="页脚 Char"/>
    <w:link w:val="Footer"/>
    <w:qFormat/>
    <w:locked/>
    <w:rPr>
      <w:sz w:val="18"/>
    </w:rPr>
  </w:style>
  <w:style w:type="character" w:customStyle="1" w:styleId="Char16">
    <w:name w:val="表格 Char"/>
    <w:link w:val="a8"/>
    <w:locked/>
    <w:rPr>
      <w:rFonts w:ascii="宋体"/>
      <w:sz w:val="21"/>
    </w:rPr>
  </w:style>
  <w:style w:type="character" w:customStyle="1" w:styleId="Char17">
    <w:name w:val="附图 Char"/>
    <w:link w:val="a23"/>
    <w:rPr>
      <w:rFonts w:ascii="黑体" w:eastAsia="黑体" w:hAnsi="黑体"/>
      <w:kern w:val="2"/>
      <w:sz w:val="28"/>
      <w:szCs w:val="22"/>
    </w:rPr>
  </w:style>
  <w:style w:type="character" w:customStyle="1" w:styleId="22">
    <w:name w:val="批注文字 字符2"/>
    <w:semiHidden/>
    <w:rPr>
      <w:kern w:val="24"/>
      <w:szCs w:val="21"/>
    </w:rPr>
  </w:style>
  <w:style w:type="character" w:customStyle="1" w:styleId="Char18">
    <w:name w:val="宏文本 Char"/>
    <w:link w:val="Macro"/>
    <w:rPr>
      <w:rFonts w:ascii="Courier New" w:hAnsi="Courier New"/>
      <w:sz w:val="24"/>
      <w:szCs w:val="24"/>
      <w:lang w:bidi="ar-SA"/>
    </w:rPr>
  </w:style>
  <w:style w:type="character" w:customStyle="1" w:styleId="Tab">
    <w:name w:val="Tab 字符"/>
    <w:link w:val="Tab0"/>
    <w:rPr>
      <w:szCs w:val="21"/>
    </w:rPr>
  </w:style>
  <w:style w:type="character" w:customStyle="1" w:styleId="1Char0">
    <w:name w:val="标题 1 Char"/>
    <w:link w:val="Heading1"/>
    <w:rPr>
      <w:rFonts w:eastAsia="黑体"/>
      <w:b/>
      <w:bCs/>
      <w:color w:val="000000"/>
      <w:kern w:val="44"/>
      <w:sz w:val="30"/>
      <w:szCs w:val="30"/>
    </w:rPr>
  </w:style>
  <w:style w:type="character" w:styleId="PlaceholderText">
    <w:name w:val="Placeholder Text"/>
    <w:uiPriority w:val="99"/>
    <w:unhideWhenUsed/>
    <w:rPr>
      <w:color w:val="808080"/>
    </w:rPr>
  </w:style>
  <w:style w:type="character" w:customStyle="1" w:styleId="3Char">
    <w:name w:val="标题 3 Char"/>
    <w:link w:val="Heading3"/>
    <w:rPr>
      <w:b/>
      <w:bCs/>
      <w:kern w:val="24"/>
      <w:sz w:val="32"/>
      <w:szCs w:val="32"/>
    </w:rPr>
  </w:style>
  <w:style w:type="character" w:customStyle="1" w:styleId="Char19">
    <w:name w:val="日期 Char"/>
    <w:link w:val="Date"/>
    <w:locked/>
    <w:rPr>
      <w:rFonts w:ascii="Times New Roman" w:eastAsia="宋体" w:hAnsi="Times New Roman"/>
      <w:sz w:val="24"/>
    </w:rPr>
  </w:style>
  <w:style w:type="character" w:customStyle="1" w:styleId="Char20">
    <w:name w:val="页眉 Char"/>
    <w:link w:val="Header"/>
    <w:locked/>
    <w:rPr>
      <w:sz w:val="18"/>
    </w:rPr>
  </w:style>
  <w:style w:type="character" w:customStyle="1" w:styleId="Char21">
    <w:name w:val="正文首行缩进 Char"/>
    <w:link w:val="BodyTextFirstIndent"/>
    <w:rPr>
      <w:kern w:val="2"/>
      <w:sz w:val="21"/>
      <w:szCs w:val="24"/>
    </w:rPr>
  </w:style>
  <w:style w:type="character" w:customStyle="1" w:styleId="13">
    <w:name w:val="宏文本 字符1"/>
    <w:rPr>
      <w:rFonts w:ascii="Courier New" w:hAnsi="Courier New" w:cs="Courier New"/>
      <w:kern w:val="2"/>
      <w:sz w:val="24"/>
      <w:szCs w:val="24"/>
    </w:rPr>
  </w:style>
  <w:style w:type="character" w:customStyle="1" w:styleId="a2">
    <w:name w:val="日期 字符"/>
    <w:rPr>
      <w:rFonts w:ascii="Times New Roman" w:eastAsia="宋体" w:hAnsi="Times New Roman"/>
      <w:sz w:val="24"/>
    </w:rPr>
  </w:style>
  <w:style w:type="character" w:customStyle="1" w:styleId="2Char2">
    <w:name w:val="正文首行缩进 2 Char"/>
    <w:link w:val="Style318"/>
    <w:rPr>
      <w:kern w:val="2"/>
      <w:sz w:val="21"/>
      <w:szCs w:val="24"/>
    </w:rPr>
  </w:style>
  <w:style w:type="character" w:customStyle="1" w:styleId="14">
    <w:name w:val="批注文字 字符1"/>
    <w:rPr>
      <w:rFonts w:ascii="Times New Roman" w:eastAsia="宋体" w:hAnsi="Times New Roman"/>
      <w:sz w:val="24"/>
    </w:rPr>
  </w:style>
  <w:style w:type="character" w:customStyle="1" w:styleId="23">
    <w:name w:val="日期 字符2"/>
    <w:semiHidden/>
    <w:rPr>
      <w:kern w:val="24"/>
      <w:szCs w:val="21"/>
    </w:rPr>
  </w:style>
  <w:style w:type="character" w:customStyle="1" w:styleId="16">
    <w:name w:val="16"/>
    <w:rPr>
      <w:rFonts w:ascii="Times New Roman" w:hAnsi="Times New Roman" w:cs="Times New Roman" w:hint="default"/>
    </w:rPr>
  </w:style>
  <w:style w:type="character" w:customStyle="1" w:styleId="211">
    <w:name w:val="正文文本首行缩进 2 字符1"/>
    <w:rPr>
      <w:rFonts w:ascii="Times New Roman" w:eastAsia="宋体" w:hAnsi="Times New Roman"/>
      <w:kern w:val="2"/>
      <w:sz w:val="21"/>
      <w:szCs w:val="24"/>
    </w:rPr>
  </w:style>
  <w:style w:type="paragraph" w:styleId="TableofFigures">
    <w:name w:val="table of figures"/>
    <w:basedOn w:val="Normal"/>
    <w:next w:val="Normal"/>
    <w:unhideWhenUsed/>
    <w:qFormat/>
    <w:locked/>
    <w:pPr>
      <w:spacing w:line="360" w:lineRule="auto"/>
      <w:ind w:hanging="200" w:leftChars="200" w:hangingChars="200"/>
    </w:pPr>
    <w:rPr>
      <w:sz w:val="24"/>
    </w:rPr>
  </w:style>
  <w:style w:type="paragraph" w:styleId="DocumentMap">
    <w:name w:val="Document Map"/>
    <w:basedOn w:val="Normal"/>
    <w:link w:val="Char3"/>
    <w:locked/>
    <w:pPr>
      <w:shd w:val="clear" w:color="auto" w:fill="000080"/>
    </w:pPr>
    <w:rPr>
      <w:sz w:val="24"/>
      <w:szCs w:val="24"/>
    </w:rPr>
  </w:style>
  <w:style w:type="paragraph" w:styleId="Caption">
    <w:name w:val="caption"/>
    <w:basedOn w:val="Normal"/>
    <w:next w:val="Normal"/>
    <w:qFormat/>
    <w:locked/>
    <w:rPr>
      <w:rFonts w:ascii="Arial" w:eastAsia="黑体" w:hAnsi="Arial" w:cs="Arial"/>
      <w:kern w:val="24"/>
      <w:sz w:val="20"/>
      <w:szCs w:val="21"/>
    </w:rPr>
  </w:style>
  <w:style w:type="paragraph" w:styleId="BodyTextIndent2">
    <w:name w:val="Body Text Indent 2"/>
    <w:basedOn w:val="Normal"/>
    <w:link w:val="2Char"/>
    <w:locked/>
    <w:pPr>
      <w:spacing w:after="120" w:line="480" w:lineRule="auto"/>
      <w:ind w:left="420" w:leftChars="200"/>
    </w:pPr>
    <w:rPr>
      <w:kern w:val="24"/>
      <w:sz w:val="20"/>
    </w:rPr>
  </w:style>
  <w:style w:type="paragraph" w:styleId="CommentText">
    <w:name w:val="annotation text"/>
    <w:basedOn w:val="Normal"/>
    <w:link w:val="Char"/>
    <w:pPr>
      <w:jc w:val="left"/>
    </w:pPr>
    <w:rPr>
      <w:kern w:val="0"/>
      <w:sz w:val="24"/>
      <w:szCs w:val="20"/>
    </w:rPr>
  </w:style>
  <w:style w:type="paragraph" w:styleId="Macro">
    <w:name w:val="macro"/>
    <w:link w:val="Char18"/>
    <w:locke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sz w:val="24"/>
      <w:szCs w:val="24"/>
      <w:lang w:bidi="ar-SA"/>
    </w:rPr>
  </w:style>
  <w:style w:type="paragraph" w:styleId="NormalIndent">
    <w:name w:val="Normal Indent"/>
    <w:basedOn w:val="Normal"/>
    <w:locked/>
    <w:pPr>
      <w:ind w:firstLine="420" w:firstLineChars="200"/>
    </w:pPr>
  </w:style>
  <w:style w:type="paragraph" w:styleId="Date">
    <w:name w:val="Date"/>
    <w:basedOn w:val="Normal"/>
    <w:next w:val="Normal"/>
    <w:link w:val="Char19"/>
    <w:pPr>
      <w:ind w:left="100" w:leftChars="2500"/>
    </w:pPr>
    <w:rPr>
      <w:kern w:val="0"/>
      <w:sz w:val="24"/>
      <w:szCs w:val="20"/>
    </w:rPr>
  </w:style>
  <w:style w:type="paragraph" w:styleId="PlainText">
    <w:name w:val="Plain Text"/>
    <w:basedOn w:val="Normal"/>
    <w:link w:val="Char1"/>
    <w:locked/>
    <w:rPr>
      <w:rFonts w:ascii="宋体" w:hAnsi="Courier New"/>
    </w:rPr>
  </w:style>
  <w:style w:type="paragraph" w:styleId="BodyTextIndent">
    <w:name w:val="Body Text Indent"/>
    <w:basedOn w:val="Normal"/>
    <w:link w:val="Char13"/>
    <w:pPr>
      <w:spacing w:after="120"/>
      <w:ind w:left="420" w:leftChars="200"/>
    </w:pPr>
    <w:rPr>
      <w:kern w:val="0"/>
      <w:sz w:val="24"/>
      <w:szCs w:val="20"/>
    </w:rPr>
  </w:style>
  <w:style w:type="paragraph" w:styleId="Index1">
    <w:name w:val="index 1"/>
    <w:basedOn w:val="Normal"/>
    <w:next w:val="Normal"/>
    <w:locked/>
    <w:pPr>
      <w:spacing w:line="280" w:lineRule="atLeast"/>
      <w:jc w:val="center"/>
    </w:pPr>
    <w:rPr>
      <w:kern w:val="24"/>
      <w:sz w:val="20"/>
      <w:szCs w:val="21"/>
    </w:rPr>
  </w:style>
  <w:style w:type="paragraph" w:styleId="Subtitle">
    <w:name w:val="Subtitle"/>
    <w:basedOn w:val="Normal"/>
    <w:next w:val="Normal"/>
    <w:link w:val="Char7"/>
    <w:qFormat/>
    <w:locked/>
    <w:pPr>
      <w:spacing w:before="240" w:after="60" w:line="312" w:lineRule="auto"/>
      <w:ind w:firstLine="200" w:firstLineChars="200"/>
      <w:jc w:val="center"/>
      <w:outlineLvl w:val="1"/>
    </w:pPr>
    <w:rPr>
      <w:rFonts w:ascii="Cambria" w:hAnsi="Cambria"/>
      <w:b/>
      <w:bCs/>
      <w:kern w:val="28"/>
      <w:sz w:val="32"/>
      <w:szCs w:val="32"/>
    </w:rPr>
  </w:style>
  <w:style w:type="paragraph" w:styleId="Header">
    <w:name w:val="header"/>
    <w:basedOn w:val="Normal"/>
    <w:link w:val="Char20"/>
    <w:pPr>
      <w:pBdr>
        <w:bottom w:val="single" w:sz="6" w:space="1" w:color="auto"/>
      </w:pBdr>
      <w:tabs>
        <w:tab w:val="center" w:pos="4153"/>
        <w:tab w:val="right" w:pos="8306"/>
      </w:tabs>
      <w:snapToGrid w:val="0"/>
      <w:jc w:val="center"/>
    </w:pPr>
    <w:rPr>
      <w:kern w:val="0"/>
      <w:sz w:val="18"/>
      <w:szCs w:val="20"/>
    </w:rPr>
  </w:style>
  <w:style w:type="paragraph" w:styleId="BalloonText">
    <w:name w:val="Balloon Text"/>
    <w:basedOn w:val="Normal"/>
    <w:link w:val="Char14"/>
    <w:semiHidden/>
    <w:rPr>
      <w:kern w:val="0"/>
      <w:sz w:val="18"/>
      <w:szCs w:val="20"/>
    </w:rPr>
  </w:style>
  <w:style w:type="paragraph" w:styleId="BodyText">
    <w:name w:val="Body Text"/>
    <w:basedOn w:val="Normal"/>
    <w:link w:val="Char8"/>
    <w:pPr>
      <w:widowControl/>
      <w:snapToGrid w:val="0"/>
      <w:spacing w:before="60" w:after="160" w:line="259" w:lineRule="auto"/>
      <w:ind w:right="113"/>
    </w:pPr>
    <w:rPr>
      <w:kern w:val="0"/>
      <w:sz w:val="18"/>
      <w:szCs w:val="20"/>
    </w:rPr>
  </w:style>
  <w:style w:type="paragraph" w:styleId="NormalWeb">
    <w:name w:val="Normal (Web)"/>
    <w:basedOn w:val="Normal"/>
    <w:link w:val="Char9"/>
    <w:pPr>
      <w:widowControl/>
      <w:spacing w:before="100" w:beforeAutospacing="1" w:after="100" w:afterAutospacing="1"/>
      <w:jc w:val="left"/>
    </w:pPr>
    <w:rPr>
      <w:rFonts w:ascii="宋体" w:hAnsi="宋体"/>
      <w:kern w:val="0"/>
      <w:sz w:val="24"/>
      <w:szCs w:val="20"/>
    </w:rPr>
  </w:style>
  <w:style w:type="paragraph" w:styleId="BodyTextFirstIndent">
    <w:name w:val="Body Text First Indent"/>
    <w:basedOn w:val="BodyText"/>
    <w:link w:val="Char21"/>
    <w:locked/>
    <w:pPr>
      <w:widowControl w:val="0"/>
      <w:snapToGrid/>
      <w:spacing w:before="0" w:after="120" w:line="240" w:lineRule="auto"/>
      <w:ind w:right="0" w:firstLine="420" w:firstLineChars="100"/>
    </w:pPr>
    <w:rPr>
      <w:kern w:val="2"/>
      <w:sz w:val="21"/>
      <w:szCs w:val="24"/>
    </w:rPr>
  </w:style>
  <w:style w:type="paragraph" w:styleId="List2">
    <w:name w:val="List 2"/>
    <w:basedOn w:val="Normal"/>
    <w:locked/>
    <w:pPr>
      <w:ind w:left="100" w:hanging="200" w:leftChars="200" w:hangingChars="200"/>
    </w:pPr>
    <w:rPr>
      <w:kern w:val="24"/>
      <w:sz w:val="24"/>
      <w:szCs w:val="21"/>
    </w:rPr>
  </w:style>
  <w:style w:type="paragraph" w:styleId="HTMLPreformatted">
    <w:name w:val="HTML Preformatted"/>
    <w:basedOn w:val="Normal"/>
    <w:link w:val="HTMLChar"/>
    <w:uiPriority w:val="99"/>
    <w:unhideWhenUsed/>
    <w:lock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BodyTextFirstIndent2">
    <w:name w:val="Body Text First Indent 2"/>
    <w:basedOn w:val="BodyTextIndent"/>
    <w:link w:val="2Char1"/>
    <w:unhideWhenUsed/>
    <w:locked/>
    <w:pPr>
      <w:ind w:firstLine="420" w:firstLineChars="200"/>
    </w:pPr>
    <w:rPr>
      <w:kern w:val="2"/>
      <w:sz w:val="28"/>
      <w:szCs w:val="21"/>
    </w:rPr>
  </w:style>
  <w:style w:type="paragraph" w:styleId="CommentSubject">
    <w:name w:val="annotation subject"/>
    <w:basedOn w:val="CommentText"/>
    <w:next w:val="CommentText"/>
    <w:link w:val="Char0"/>
    <w:semiHidden/>
    <w:rPr>
      <w:b/>
      <w:kern w:val="2"/>
    </w:rPr>
  </w:style>
  <w:style w:type="paragraph" w:styleId="Footer">
    <w:name w:val="footer"/>
    <w:basedOn w:val="Normal"/>
    <w:link w:val="Char15"/>
    <w:qFormat/>
    <w:pPr>
      <w:tabs>
        <w:tab w:val="center" w:pos="4153"/>
        <w:tab w:val="right" w:pos="8306"/>
      </w:tabs>
      <w:snapToGrid w:val="0"/>
      <w:jc w:val="left"/>
    </w:pPr>
    <w:rPr>
      <w:kern w:val="0"/>
      <w:sz w:val="18"/>
      <w:szCs w:val="20"/>
    </w:rPr>
  </w:style>
  <w:style w:type="paragraph" w:styleId="ListBullet5">
    <w:name w:val="List Bullet 5"/>
    <w:basedOn w:val="Normal"/>
    <w:locked/>
    <w:pPr>
      <w:numPr>
        <w:ilvl w:val="0"/>
        <w:numId w:val="1"/>
      </w:numPr>
      <w:tabs>
        <w:tab w:val="left" w:pos="2040"/>
      </w:tabs>
    </w:pPr>
  </w:style>
  <w:style w:type="paragraph" w:customStyle="1" w:styleId="24">
    <w:name w:val="样式 列表 2 + 华文仿宋 居中"/>
    <w:basedOn w:val="List2"/>
    <w:pPr>
      <w:ind w:left="0" w:firstLine="0" w:leftChars="0" w:firstLineChars="0"/>
      <w:jc w:val="center"/>
    </w:pPr>
    <w:rPr>
      <w:sz w:val="18"/>
      <w:szCs w:val="18"/>
    </w:rPr>
  </w:style>
  <w:style w:type="paragraph" w:customStyle="1" w:styleId="Tab0">
    <w:name w:val="Tab"/>
    <w:basedOn w:val="Normal"/>
    <w:link w:val="Tab"/>
    <w:qFormat/>
    <w:pPr>
      <w:jc w:val="center"/>
    </w:pPr>
    <w:rPr>
      <w:kern w:val="0"/>
      <w:sz w:val="20"/>
    </w:rPr>
  </w:style>
  <w:style w:type="paragraph" w:customStyle="1" w:styleId="TableParagraph">
    <w:name w:val="Table Paragraph"/>
    <w:basedOn w:val="Normal"/>
    <w:uiPriority w:val="1"/>
    <w:qFormat/>
    <w:pPr>
      <w:jc w:val="left"/>
    </w:pPr>
    <w:rPr>
      <w:rFonts w:ascii="Calibri" w:eastAsia="宋体" w:hAnsi="Calibri" w:cs="Times New Roman"/>
      <w:kern w:val="0"/>
      <w:sz w:val="22"/>
      <w:szCs w:val="22"/>
      <w:lang w:eastAsia="en-US"/>
    </w:rPr>
  </w:style>
  <w:style w:type="paragraph" w:customStyle="1" w:styleId="17">
    <w:name w:val="样式 宋体 四号1"/>
    <w:basedOn w:val="Normal"/>
    <w:pPr>
      <w:ind w:firstLine="560" w:firstLineChars="200"/>
    </w:pPr>
    <w:rPr>
      <w:color w:val="000000"/>
      <w:kern w:val="24"/>
      <w:sz w:val="24"/>
      <w:szCs w:val="28"/>
    </w:rPr>
  </w:style>
  <w:style w:type="paragraph" w:customStyle="1" w:styleId="a3">
    <w:name w:val="啊啊"/>
    <w:basedOn w:val="Normal"/>
    <w:pPr>
      <w:spacing w:line="360" w:lineRule="auto"/>
      <w:ind w:firstLine="200" w:firstLineChars="200"/>
    </w:pPr>
    <w:rPr>
      <w:sz w:val="28"/>
      <w:szCs w:val="28"/>
    </w:rPr>
  </w:style>
  <w:style w:type="paragraph" w:customStyle="1" w:styleId="Style58">
    <w:name w:val="_Style 58"/>
    <w:basedOn w:val="Normal"/>
    <w:next w:val="Normal"/>
    <w:link w:val="21"/>
    <w:uiPriority w:val="99"/>
    <w:pPr>
      <w:spacing w:after="120"/>
      <w:ind w:left="420" w:firstLine="420" w:leftChars="200" w:firstLineChars="200"/>
    </w:pPr>
    <w:rPr>
      <w:sz w:val="28"/>
      <w:szCs w:val="20"/>
    </w:rPr>
  </w:style>
  <w:style w:type="paragraph" w:styleId="NoSpacing">
    <w:name w:val="No Spacing"/>
    <w:uiPriority w:val="99"/>
    <w:qFormat/>
    <w:pPr>
      <w:widowControl w:val="0"/>
      <w:jc w:val="both"/>
    </w:pPr>
    <w:rPr>
      <w:kern w:val="2"/>
      <w:sz w:val="21"/>
      <w:szCs w:val="24"/>
      <w:lang w:val="en-US" w:eastAsia="zh-CN" w:bidi="ar-SA"/>
    </w:rPr>
  </w:style>
  <w:style w:type="paragraph" w:styleId="ListParagraph">
    <w:name w:val="List Paragraph"/>
    <w:basedOn w:val="Normal"/>
    <w:uiPriority w:val="34"/>
    <w:qFormat/>
    <w:pPr>
      <w:ind w:firstLine="420" w:firstLineChars="200"/>
    </w:pPr>
    <w:rPr>
      <w:kern w:val="24"/>
      <w:sz w:val="20"/>
      <w:szCs w:val="21"/>
    </w:rPr>
  </w:style>
  <w:style w:type="paragraph" w:customStyle="1" w:styleId="25">
    <w:name w:val="普通(网站)2"/>
    <w:basedOn w:val="Normal"/>
    <w:pPr>
      <w:widowControl/>
      <w:spacing w:before="100" w:beforeAutospacing="1" w:after="100" w:afterAutospacing="1"/>
      <w:jc w:val="left"/>
    </w:pPr>
    <w:rPr>
      <w:rFonts w:ascii="宋体" w:hAnsi="宋体"/>
      <w:sz w:val="24"/>
      <w:szCs w:val="20"/>
    </w:rPr>
  </w:style>
  <w:style w:type="paragraph" w:customStyle="1" w:styleId="a4">
    <w:name w:val="无 间 隔"/>
    <w:basedOn w:val="Normal"/>
    <w:qFormat/>
    <w:pPr>
      <w:autoSpaceDE w:val="0"/>
      <w:autoSpaceDN w:val="0"/>
      <w:adjustRightInd w:val="0"/>
      <w:jc w:val="center"/>
    </w:pPr>
    <w:rPr>
      <w:bCs/>
      <w:color w:val="000000"/>
      <w:kern w:val="0"/>
      <w:szCs w:val="21"/>
    </w:rPr>
  </w:style>
  <w:style w:type="paragraph" w:customStyle="1" w:styleId="3">
    <w:name w:val="表格3"/>
    <w:pPr>
      <w:spacing w:line="240" w:lineRule="atLeast"/>
      <w:jc w:val="center"/>
    </w:pPr>
    <w:rPr>
      <w:rFonts w:ascii="Calibri" w:hAnsi="Calibri"/>
      <w:kern w:val="2"/>
      <w:sz w:val="21"/>
      <w:szCs w:val="21"/>
      <w:lang w:val="en-US" w:eastAsia="zh-CN" w:bidi="ar-SA"/>
    </w:rPr>
  </w:style>
  <w:style w:type="paragraph" w:customStyle="1" w:styleId="a5">
    <w:name w:val="表内容"/>
    <w:basedOn w:val="Normal"/>
    <w:next w:val="Normal"/>
    <w:pPr>
      <w:spacing w:line="320" w:lineRule="exact"/>
      <w:jc w:val="center"/>
    </w:pPr>
    <w:rPr>
      <w:kern w:val="24"/>
      <w:sz w:val="20"/>
      <w:szCs w:val="21"/>
    </w:rPr>
  </w:style>
  <w:style w:type="paragraph" w:customStyle="1" w:styleId="0">
    <w:name w:val="0图表名"/>
    <w:basedOn w:val="Normal"/>
    <w:qFormat/>
    <w:pPr>
      <w:jc w:val="center"/>
    </w:pPr>
    <w:rPr>
      <w:rFonts w:eastAsia="黑体"/>
      <w:kern w:val="24"/>
      <w:szCs w:val="21"/>
    </w:rPr>
  </w:style>
  <w:style w:type="paragraph" w:customStyle="1" w:styleId="a6">
    <w:name w:val="轻工"/>
    <w:basedOn w:val="ListParagraph"/>
    <w:link w:val="Char6"/>
    <w:rPr>
      <w:rFonts w:eastAsia="黑体"/>
      <w:kern w:val="2"/>
      <w:sz w:val="21"/>
      <w:szCs w:val="22"/>
    </w:rPr>
  </w:style>
  <w:style w:type="paragraph" w:customStyle="1" w:styleId="26">
    <w:name w:val="样式2"/>
    <w:basedOn w:val="a22"/>
    <w:next w:val="Normal"/>
    <w:pPr>
      <w:tabs>
        <w:tab w:val="left" w:pos="540"/>
      </w:tabs>
      <w:ind w:firstLine="480"/>
    </w:pPr>
    <w:rPr>
      <w:rFonts w:ascii="宋体" w:hAnsi="宋体" w:cs="宋体"/>
    </w:rPr>
  </w:style>
  <w:style w:type="paragraph" w:customStyle="1" w:styleId="a7">
    <w:name w:val="表格式"/>
    <w:basedOn w:val="Normal"/>
    <w:pPr>
      <w:spacing w:before="156" w:beforeLines="50" w:after="156" w:afterLines="50" w:line="240" w:lineRule="exact"/>
      <w:jc w:val="center"/>
    </w:pPr>
    <w:rPr>
      <w:kern w:val="24"/>
      <w:sz w:val="20"/>
      <w:szCs w:val="20"/>
    </w:rPr>
  </w:style>
  <w:style w:type="paragraph" w:customStyle="1" w:styleId="a8">
    <w:name w:val="表格"/>
    <w:basedOn w:val="Normal"/>
    <w:next w:val="Normal"/>
    <w:link w:val="Char16"/>
    <w:pPr>
      <w:adjustRightInd w:val="0"/>
      <w:snapToGrid w:val="0"/>
      <w:spacing w:beforeLines="10" w:afterLines="10" w:line="259" w:lineRule="auto"/>
      <w:jc w:val="center"/>
    </w:pPr>
    <w:rPr>
      <w:rFonts w:ascii="宋体"/>
      <w:kern w:val="0"/>
      <w:szCs w:val="20"/>
    </w:rPr>
  </w:style>
  <w:style w:type="paragraph" w:customStyle="1" w:styleId="a9">
    <w:name w:val="段落"/>
    <w:basedOn w:val="Normal"/>
    <w:pPr>
      <w:spacing w:line="500" w:lineRule="exact"/>
      <w:ind w:firstLine="200" w:firstLineChars="200"/>
    </w:pPr>
    <w:rPr>
      <w:spacing w:val="10"/>
      <w:szCs w:val="20"/>
    </w:rPr>
  </w:style>
  <w:style w:type="paragraph" w:customStyle="1" w:styleId="ParaCharCharCharCharCharCharCharCharCharCharCharCharChar">
    <w:name w:val="默认段落字体 Para Char Char Char Char Char Char Char Char Char Char Char Char Char"/>
    <w:basedOn w:val="Normal"/>
    <w:rPr>
      <w:kern w:val="24"/>
      <w:sz w:val="20"/>
      <w:szCs w:val="21"/>
    </w:rPr>
  </w:style>
  <w:style w:type="paragraph" w:customStyle="1" w:styleId="a10">
    <w:name w:val="敏感表"/>
    <w:basedOn w:val="Normal"/>
    <w:next w:val="Normal"/>
    <w:pPr>
      <w:topLinePunct/>
      <w:adjustRightInd w:val="0"/>
      <w:spacing w:line="240" w:lineRule="atLeast"/>
      <w:jc w:val="center"/>
      <w:textAlignment w:val="bottom"/>
    </w:pPr>
    <w:rPr>
      <w:kern w:val="0"/>
      <w:sz w:val="20"/>
      <w:szCs w:val="21"/>
    </w:rPr>
  </w:style>
  <w:style w:type="paragraph" w:customStyle="1" w:styleId="a11">
    <w:name w:val="无间隔表格内"/>
    <w:basedOn w:val="Normal"/>
    <w:pPr>
      <w:snapToGrid w:val="0"/>
      <w:jc w:val="center"/>
    </w:pPr>
    <w:rPr>
      <w:szCs w:val="20"/>
    </w:rPr>
  </w:style>
  <w:style w:type="paragraph" w:customStyle="1" w:styleId="a12">
    <w:name w:val="君邦正文"/>
    <w:basedOn w:val="Normal"/>
    <w:pPr>
      <w:spacing w:after="60" w:line="360" w:lineRule="auto"/>
      <w:ind w:firstLine="480" w:firstLineChars="200"/>
    </w:pPr>
    <w:rPr>
      <w:rFonts w:ascii="宋体"/>
      <w:kern w:val="0"/>
      <w:sz w:val="24"/>
      <w:szCs w:val="20"/>
    </w:rPr>
  </w:style>
  <w:style w:type="paragraph" w:customStyle="1" w:styleId="a13">
    <w:name w:val="表格文字"/>
    <w:basedOn w:val="Normal"/>
    <w:next w:val="Normal"/>
    <w:pPr>
      <w:spacing w:line="240" w:lineRule="atLeast"/>
      <w:jc w:val="center"/>
    </w:pPr>
    <w:rPr>
      <w:b/>
      <w:color w:val="FF0000"/>
      <w:kern w:val="24"/>
      <w:sz w:val="20"/>
      <w:szCs w:val="21"/>
    </w:rPr>
  </w:style>
  <w:style w:type="paragraph" w:customStyle="1" w:styleId="a14">
    <w:name w:val="表头"/>
    <w:next w:val="Normal"/>
    <w:qFormat/>
    <w:pPr>
      <w:spacing w:line="360" w:lineRule="auto"/>
      <w:jc w:val="center"/>
    </w:pPr>
    <w:rPr>
      <w:rFonts w:eastAsia="黑体"/>
      <w:kern w:val="24"/>
      <w:sz w:val="24"/>
      <w:szCs w:val="24"/>
      <w:lang w:val="en-US" w:eastAsia="zh-CN" w:bidi="ar-SA"/>
    </w:rPr>
  </w:style>
  <w:style w:type="paragraph" w:customStyle="1" w:styleId="a15">
    <w:name w:val="组工"/>
    <w:basedOn w:val="PlainText"/>
    <w:pPr>
      <w:ind w:firstLine="630"/>
      <w:jc w:val="center"/>
    </w:pPr>
    <w:rPr>
      <w:b/>
      <w:sz w:val="36"/>
      <w:szCs w:val="24"/>
    </w:rPr>
  </w:style>
  <w:style w:type="paragraph" w:customStyle="1" w:styleId="New">
    <w:name w:val="敏感表 New"/>
    <w:basedOn w:val="Normal"/>
    <w:pPr>
      <w:topLinePunct/>
      <w:adjustRightInd w:val="0"/>
      <w:spacing w:line="240" w:lineRule="atLeast"/>
      <w:jc w:val="center"/>
      <w:textAlignment w:val="bottom"/>
    </w:pPr>
    <w:rPr>
      <w:kern w:val="0"/>
      <w:szCs w:val="20"/>
    </w:rPr>
  </w:style>
  <w:style w:type="paragraph" w:customStyle="1" w:styleId="Style3">
    <w:name w:val="_Style 3"/>
    <w:basedOn w:val="Normal"/>
    <w:next w:val="Normal"/>
    <w:pPr>
      <w:widowControl/>
      <w:jc w:val="left"/>
    </w:pPr>
    <w:rPr>
      <w:kern w:val="0"/>
      <w:sz w:val="24"/>
      <w:szCs w:val="28"/>
    </w:rPr>
  </w:style>
  <w:style w:type="paragraph" w:customStyle="1" w:styleId="a16">
    <w:name w:val="图号、图名"/>
    <w:basedOn w:val="Normal"/>
    <w:pPr>
      <w:widowControl/>
      <w:spacing w:line="312" w:lineRule="exact"/>
      <w:ind w:firstLine="200" w:firstLineChars="200"/>
      <w:jc w:val="center"/>
      <w:outlineLvl w:val="6"/>
    </w:pPr>
    <w:rPr>
      <w:rFonts w:eastAsia="黑体"/>
      <w:bCs/>
      <w:kern w:val="44"/>
      <w:sz w:val="18"/>
      <w:szCs w:val="44"/>
    </w:rPr>
  </w:style>
  <w:style w:type="paragraph" w:customStyle="1" w:styleId="a17">
    <w:name w:val="表格文字."/>
    <w:basedOn w:val="Normal"/>
    <w:link w:val="Char2"/>
    <w:qFormat/>
    <w:pPr>
      <w:adjustRightInd w:val="0"/>
      <w:snapToGrid w:val="0"/>
      <w:spacing w:line="400" w:lineRule="exact"/>
      <w:jc w:val="center"/>
    </w:pPr>
    <w:rPr>
      <w:color w:val="000000"/>
      <w:kern w:val="0"/>
      <w:szCs w:val="20"/>
    </w:rPr>
  </w:style>
  <w:style w:type="paragraph" w:customStyle="1" w:styleId="100">
    <w:name w:val="正文_10"/>
    <w:pPr>
      <w:widowControl w:val="0"/>
      <w:jc w:val="both"/>
    </w:pPr>
    <w:rPr>
      <w:kern w:val="2"/>
      <w:sz w:val="21"/>
      <w:szCs w:val="22"/>
      <w:lang w:val="en-US" w:eastAsia="zh-CN" w:bidi="ar-SA"/>
    </w:rPr>
  </w:style>
  <w:style w:type="paragraph" w:customStyle="1" w:styleId="a18">
    <w:name w:val="图表标题"/>
    <w:basedOn w:val="Normal"/>
    <w:next w:val="Normal"/>
    <w:pPr>
      <w:widowControl/>
      <w:jc w:val="center"/>
    </w:pPr>
    <w:rPr>
      <w:rFonts w:ascii="Calibri" w:eastAsia="黑体" w:hAnsi="Calibri" w:cs="宋体"/>
      <w:kern w:val="0"/>
      <w:szCs w:val="21"/>
    </w:rPr>
  </w:style>
  <w:style w:type="paragraph" w:customStyle="1" w:styleId="a19">
    <w:name w:val="表格内容"/>
    <w:uiPriority w:val="1"/>
    <w:pPr>
      <w:jc w:val="center"/>
    </w:pPr>
    <w:rPr>
      <w:kern w:val="24"/>
      <w:sz w:val="21"/>
      <w:szCs w:val="21"/>
      <w:lang w:val="en-US" w:eastAsia="zh-CN" w:bidi="ar-SA"/>
    </w:rPr>
  </w:style>
  <w:style w:type="paragraph" w:customStyle="1" w:styleId="a20">
    <w:name w:val="报告正文"/>
    <w:basedOn w:val="Normal"/>
    <w:qFormat/>
    <w:pPr>
      <w:adjustRightInd w:val="0"/>
      <w:snapToGrid w:val="0"/>
      <w:spacing w:line="360" w:lineRule="auto"/>
      <w:ind w:firstLine="200" w:firstLineChars="200"/>
    </w:pPr>
    <w:rPr>
      <w:sz w:val="24"/>
      <w:szCs w:val="20"/>
    </w:rPr>
  </w:style>
  <w:style w:type="paragraph" w:customStyle="1" w:styleId="18">
    <w:name w:val="正文1"/>
    <w:basedOn w:val="BodyTextIndent2"/>
    <w:link w:val="1Char"/>
    <w:qFormat/>
    <w:pPr>
      <w:spacing w:after="0" w:line="360" w:lineRule="auto"/>
      <w:ind w:left="0" w:firstLine="200" w:leftChars="0" w:firstLineChars="200"/>
    </w:pPr>
    <w:rPr>
      <w:color w:val="000000"/>
      <w:kern w:val="2"/>
      <w:sz w:val="24"/>
      <w:szCs w:val="24"/>
    </w:rPr>
  </w:style>
  <w:style w:type="paragraph" w:customStyle="1" w:styleId="a21">
    <w:name w:val="环科院表格标题"/>
    <w:basedOn w:val="Normal"/>
    <w:pPr>
      <w:adjustRightInd w:val="0"/>
      <w:snapToGrid w:val="0"/>
      <w:spacing w:before="156" w:beforeLines="50"/>
    </w:pPr>
    <w:rPr>
      <w:kern w:val="24"/>
      <w:sz w:val="24"/>
      <w:szCs w:val="21"/>
    </w:rPr>
  </w:style>
  <w:style w:type="paragraph" w:customStyle="1" w:styleId="Tab1">
    <w:name w:val="Tab正文"/>
    <w:basedOn w:val="Normal"/>
    <w:link w:val="TabChar"/>
    <w:qFormat/>
    <w:pPr>
      <w:jc w:val="center"/>
    </w:pPr>
  </w:style>
  <w:style w:type="paragraph" w:customStyle="1" w:styleId="19">
    <w:name w:val="样式1"/>
    <w:basedOn w:val="Normal"/>
    <w:pPr>
      <w:adjustRightInd w:val="0"/>
      <w:snapToGrid w:val="0"/>
      <w:spacing w:before="240" w:after="240" w:line="500" w:lineRule="exact"/>
    </w:pPr>
    <w:rPr>
      <w:bCs/>
      <w:kern w:val="24"/>
      <w:sz w:val="30"/>
      <w:szCs w:val="21"/>
    </w:rPr>
  </w:style>
  <w:style w:type="paragraph" w:customStyle="1" w:styleId="Web">
    <w:name w:val="普通 (Web)"/>
    <w:basedOn w:val="Normal"/>
    <w:pPr>
      <w:widowControl/>
      <w:spacing w:before="100" w:beforeAutospacing="1" w:after="100" w:afterAutospacing="1"/>
      <w:jc w:val="left"/>
    </w:pPr>
    <w:rPr>
      <w:rFonts w:ascii="宋体" w:hAnsi="宋体" w:hint="eastAsia"/>
      <w:kern w:val="0"/>
      <w:sz w:val="24"/>
      <w:szCs w:val="21"/>
    </w:rPr>
  </w:style>
  <w:style w:type="paragraph" w:customStyle="1" w:styleId="28">
    <w:name w:val="正文_28"/>
    <w:qFormat/>
    <w:pPr>
      <w:widowControl w:val="0"/>
      <w:jc w:val="both"/>
    </w:pPr>
    <w:rPr>
      <w:rFonts w:ascii="Calibri" w:hAnsi="Calibri"/>
      <w:kern w:val="2"/>
      <w:sz w:val="21"/>
      <w:lang w:val="en-US" w:eastAsia="zh-CN" w:bidi="ar-SA"/>
    </w:rPr>
  </w:style>
  <w:style w:type="paragraph" w:customStyle="1" w:styleId="a22">
    <w:name w:val="萝卜"/>
    <w:basedOn w:val="Normal"/>
    <w:link w:val="Char4"/>
    <w:qFormat/>
    <w:pPr>
      <w:tabs>
        <w:tab w:val="left" w:pos="540"/>
      </w:tabs>
      <w:spacing w:line="360" w:lineRule="auto"/>
      <w:ind w:firstLine="200" w:firstLineChars="200"/>
    </w:pPr>
    <w:rPr>
      <w:kern w:val="24"/>
      <w:sz w:val="24"/>
    </w:rPr>
  </w:style>
  <w:style w:type="paragraph" w:customStyle="1" w:styleId="110">
    <w:name w:val="正文缩进1"/>
    <w:basedOn w:val="Normal"/>
    <w:pPr>
      <w:ind w:firstLine="200" w:firstLineChars="200"/>
    </w:pPr>
    <w:rPr>
      <w:rFonts w:eastAsia="楷体_GB2312"/>
      <w:szCs w:val="21"/>
    </w:rPr>
  </w:style>
  <w:style w:type="paragraph" w:customStyle="1" w:styleId="Style318">
    <w:name w:val="_Style 318"/>
    <w:basedOn w:val="Normal"/>
    <w:next w:val="Normal"/>
    <w:link w:val="2Char2"/>
    <w:pPr>
      <w:ind w:firstLine="420" w:firstLineChars="200"/>
    </w:pPr>
    <w:rPr>
      <w:szCs w:val="24"/>
    </w:rPr>
  </w:style>
  <w:style w:type="paragraph" w:customStyle="1" w:styleId="a23">
    <w:name w:val="附图"/>
    <w:basedOn w:val="Normal"/>
    <w:link w:val="Char17"/>
    <w:qFormat/>
    <w:pPr>
      <w:jc w:val="center"/>
    </w:pPr>
    <w:rPr>
      <w:rFonts w:ascii="黑体" w:eastAsia="黑体" w:hAnsi="黑体"/>
      <w:sz w:val="28"/>
      <w:szCs w:val="22"/>
    </w:rPr>
  </w:style>
  <w:style w:type="paragraph" w:customStyle="1" w:styleId="Style66">
    <w:name w:val="_Style 66"/>
    <w:basedOn w:val="Normal"/>
    <w:next w:val="Normal"/>
    <w:uiPriority w:val="99"/>
    <w:pPr>
      <w:spacing w:after="120"/>
      <w:ind w:left="420" w:firstLine="420" w:leftChars="200" w:firstLineChars="200"/>
    </w:pPr>
    <w:rPr>
      <w:sz w:val="28"/>
      <w:szCs w:val="20"/>
    </w:rPr>
  </w:style>
  <w:style w:type="paragraph" w:customStyle="1" w:styleId="a24">
    <w:name w:val="山焦报告正文"/>
    <w:basedOn w:val="Normal"/>
    <w:pPr>
      <w:adjustRightInd w:val="0"/>
      <w:snapToGrid w:val="0"/>
      <w:spacing w:before="78" w:beforeLines="25" w:line="440" w:lineRule="exact"/>
      <w:ind w:firstLine="200" w:firstLineChars="200"/>
    </w:pPr>
    <w:rPr>
      <w:color w:val="000000"/>
      <w:kern w:val="24"/>
      <w:sz w:val="24"/>
      <w:szCs w:val="21"/>
    </w:rPr>
  </w:style>
  <w:style w:type="paragraph" w:customStyle="1" w:styleId="111">
    <w:name w:val="无间隔1"/>
    <w:basedOn w:val="NoSpacing"/>
    <w:qFormat/>
    <w:pPr>
      <w:jc w:val="center"/>
    </w:pPr>
  </w:style>
  <w:style w:type="paragraph" w:customStyle="1" w:styleId="12122">
    <w:name w:val="样式 样式 样式 首行缩进:  1 字符 + 首行缩进:  2 字符1 + 首行缩进:  2 字符2"/>
    <w:basedOn w:val="Normal"/>
    <w:pPr>
      <w:spacing w:line="360" w:lineRule="auto"/>
      <w:ind w:firstLine="480" w:firstLineChars="200"/>
    </w:pPr>
    <w:rPr>
      <w:rFonts w:cs="宋体"/>
      <w:kern w:val="24"/>
      <w:sz w:val="24"/>
      <w:szCs w:val="20"/>
    </w:rPr>
  </w:style>
  <w:style w:type="paragraph" w:customStyle="1" w:styleId="ParaChar">
    <w:name w:val="默认段落字体 Para Char"/>
    <w:basedOn w:val="Normal"/>
    <w:next w:val="Normal"/>
    <w:pPr>
      <w:spacing w:line="360" w:lineRule="auto"/>
      <w:ind w:firstLine="200" w:firstLineChars="200"/>
    </w:pPr>
    <w:rPr>
      <w:rFonts w:ascii="宋体" w:hAnsi="宋体" w:cs="宋体"/>
      <w:kern w:val="24"/>
      <w:sz w:val="24"/>
      <w:szCs w:val="21"/>
    </w:rPr>
  </w:style>
  <w:style w:type="paragraph" w:customStyle="1" w:styleId="a25">
    <w:name w:val="三级标题"/>
    <w:basedOn w:val="Normal"/>
    <w:next w:val="Normal"/>
    <w:pPr>
      <w:adjustRightInd w:val="0"/>
      <w:snapToGrid w:val="0"/>
      <w:spacing w:line="360" w:lineRule="exact"/>
      <w:jc w:val="center"/>
    </w:pPr>
    <w:rPr>
      <w:bCs/>
      <w:kern w:val="24"/>
      <w:sz w:val="24"/>
      <w:szCs w:val="21"/>
    </w:rPr>
  </w:style>
  <w:style w:type="paragraph" w:customStyle="1" w:styleId="a26">
    <w:name w:val="表格头"/>
    <w:basedOn w:val="Normal"/>
    <w:pPr>
      <w:spacing w:line="500" w:lineRule="exact"/>
      <w:jc w:val="center"/>
    </w:pPr>
    <w:rPr>
      <w:b/>
      <w:kern w:val="24"/>
      <w:sz w:val="20"/>
      <w:szCs w:val="21"/>
    </w:rPr>
  </w:style>
  <w:style w:type="paragraph" w:customStyle="1" w:styleId="New0">
    <w:name w:val="普通(网站) New"/>
    <w:basedOn w:val="Normal"/>
    <w:pPr>
      <w:widowControl/>
      <w:spacing w:before="100" w:beforeAutospacing="1" w:after="100" w:afterAutospacing="1"/>
      <w:jc w:val="left"/>
    </w:pPr>
    <w:rPr>
      <w:rFonts w:ascii="宋体" w:hAnsi="宋体" w:cs="宋体"/>
      <w:kern w:val="0"/>
      <w:sz w:val="24"/>
    </w:rPr>
  </w:style>
  <w:style w:type="paragraph" w:customStyle="1" w:styleId="Normal0">
    <w:name w:val="Normal_0"/>
    <w:pPr>
      <w:jc w:val="both"/>
    </w:pPr>
    <w:rPr>
      <w:kern w:val="2"/>
      <w:sz w:val="21"/>
      <w:szCs w:val="21"/>
      <w:lang w:val="en-US" w:eastAsia="zh-CN" w:bidi="ar-SA"/>
    </w:rPr>
  </w:style>
  <w:style w:type="paragraph" w:customStyle="1" w:styleId="a27">
    <w:name w:val="中文报告书样式"/>
    <w:basedOn w:val="Normal"/>
    <w:pPr>
      <w:widowControl/>
      <w:adjustRightInd w:val="0"/>
      <w:spacing w:line="480" w:lineRule="atLeast"/>
      <w:ind w:firstLine="482"/>
      <w:jc w:val="left"/>
      <w:textAlignment w:val="baseline"/>
    </w:pPr>
    <w:rPr>
      <w:rFonts w:ascii="宋体" w:hAnsi="宋体" w:cs="宋体"/>
      <w:kern w:val="24"/>
      <w:sz w:val="24"/>
      <w:szCs w:val="20"/>
    </w:rPr>
  </w:style>
  <w:style w:type="paragraph" w:customStyle="1" w:styleId="GB23122">
    <w:name w:val="样式 国土报告 仿宋_GB2312 四号 + 首行缩进:  2 字符"/>
    <w:basedOn w:val="Normal"/>
    <w:pPr>
      <w:ind w:left="560"/>
    </w:pPr>
    <w:rPr>
      <w:kern w:val="24"/>
      <w:sz w:val="24"/>
      <w:szCs w:val="21"/>
    </w:rPr>
  </w:style>
  <w:style w:type="paragraph" w:customStyle="1" w:styleId="a28">
    <w:name w:val="大标题"/>
    <w:basedOn w:val="Normal"/>
    <w:qFormat/>
    <w:pPr>
      <w:adjustRightInd w:val="0"/>
      <w:spacing w:line="360" w:lineRule="auto"/>
    </w:pPr>
    <w:rPr>
      <w:b/>
      <w:bCs/>
      <w:sz w:val="28"/>
      <w:szCs w:val="28"/>
    </w:rPr>
  </w:style>
  <w:style w:type="paragraph" w:customStyle="1" w:styleId="Default">
    <w:name w:val="Default"/>
    <w:basedOn w:val="Normal"/>
    <w:pPr>
      <w:autoSpaceDE w:val="0"/>
      <w:autoSpaceDN w:val="0"/>
      <w:adjustRightInd w:val="0"/>
      <w:jc w:val="left"/>
    </w:pPr>
    <w:rPr>
      <w:color w:val="000000"/>
      <w:kern w:val="0"/>
      <w:sz w:val="24"/>
    </w:rPr>
  </w:style>
  <w:style w:type="paragraph" w:customStyle="1" w:styleId="322">
    <w:name w:val="样式 表格 32 + 首行缩进:  2 字符"/>
    <w:basedOn w:val="Normal"/>
    <w:pPr>
      <w:autoSpaceDE w:val="0"/>
      <w:autoSpaceDN w:val="0"/>
      <w:adjustRightInd w:val="0"/>
      <w:spacing w:line="240" w:lineRule="atLeast"/>
      <w:jc w:val="center"/>
      <w:textAlignment w:val="baseline"/>
    </w:pPr>
    <w:rPr>
      <w:kern w:val="0"/>
      <w:sz w:val="20"/>
      <w:szCs w:val="21"/>
    </w:rPr>
  </w:style>
  <w:style w:type="paragraph" w:customStyle="1" w:styleId="a29">
    <w:name w:val="中文报告书"/>
    <w:basedOn w:val="Normal"/>
    <w:pPr>
      <w:adjustRightInd w:val="0"/>
      <w:spacing w:after="80" w:line="420" w:lineRule="atLeast"/>
      <w:jc w:val="left"/>
      <w:textAlignment w:val="baseline"/>
    </w:pPr>
    <w:rPr>
      <w:kern w:val="0"/>
      <w:sz w:val="24"/>
      <w:szCs w:val="21"/>
    </w:rPr>
  </w:style>
  <w:style w:type="paragraph" w:customStyle="1" w:styleId="ParaCharCharCharChar">
    <w:name w:val="默认段落字体 Para Char Char Char Char"/>
    <w:basedOn w:val="Normal"/>
    <w:rPr>
      <w:kern w:val="24"/>
      <w:sz w:val="24"/>
      <w:szCs w:val="21"/>
    </w:rPr>
  </w:style>
  <w:style w:type="paragraph" w:customStyle="1" w:styleId="CharCharChar0">
    <w:name w:val="二级标题 Char Char Char"/>
    <w:basedOn w:val="Normal"/>
    <w:next w:val="Normal"/>
    <w:pPr>
      <w:spacing w:line="529" w:lineRule="exact"/>
      <w:ind w:firstLine="200" w:firstLineChars="200"/>
    </w:pPr>
    <w:rPr>
      <w:rFonts w:ascii="宋体" w:hAnsi="宋体" w:cs="宋体"/>
      <w:kern w:val="24"/>
      <w:sz w:val="24"/>
      <w:szCs w:val="21"/>
    </w:rPr>
  </w:style>
  <w:style w:type="paragraph" w:customStyle="1" w:styleId="Default1">
    <w:name w:val="Default1"/>
    <w:pPr>
      <w:widowControl w:val="0"/>
      <w:autoSpaceDE w:val="0"/>
      <w:autoSpaceDN w:val="0"/>
      <w:adjustRightInd w:val="0"/>
    </w:pPr>
    <w:rPr>
      <w:rFonts w:ascii="宋体" w:cs="宋体"/>
      <w:color w:val="000000"/>
      <w:sz w:val="24"/>
      <w:szCs w:val="24"/>
      <w:lang w:val="en-US" w:eastAsia="zh-CN" w:bidi="ar-SA"/>
    </w:rPr>
  </w:style>
  <w:style w:type="paragraph" w:customStyle="1" w:styleId="33">
    <w:name w:val="正文_33"/>
    <w:qFormat/>
    <w:pPr>
      <w:widowControl w:val="0"/>
      <w:jc w:val="both"/>
    </w:pPr>
    <w:rPr>
      <w:rFonts w:ascii="等线" w:eastAsia="等线" w:hAnsi="等线"/>
      <w:kern w:val="2"/>
      <w:sz w:val="21"/>
      <w:szCs w:val="22"/>
      <w:lang w:val="en-US" w:eastAsia="zh-CN" w:bidi="ar-SA"/>
    </w:rPr>
  </w:style>
  <w:style w:type="paragraph" w:customStyle="1" w:styleId="a30">
    <w:name w:val="已有表格"/>
    <w:basedOn w:val="Normal"/>
    <w:pPr>
      <w:adjustRightInd w:val="0"/>
      <w:spacing w:before="40" w:after="40"/>
      <w:jc w:val="center"/>
      <w:textAlignment w:val="baseline"/>
    </w:pPr>
    <w:rPr>
      <w:b/>
      <w:kern w:val="0"/>
      <w:sz w:val="24"/>
      <w:szCs w:val="21"/>
    </w:rPr>
  </w:style>
  <w:style w:type="paragraph" w:customStyle="1" w:styleId="a31">
    <w:name w:val="表   头"/>
    <w:basedOn w:val="Normal"/>
    <w:pPr>
      <w:snapToGrid w:val="0"/>
      <w:jc w:val="center"/>
    </w:pPr>
    <w:rPr>
      <w:b/>
      <w:sz w:val="24"/>
      <w:szCs w:val="20"/>
    </w:rPr>
  </w:style>
  <w:style w:type="table" w:styleId="TableGrid">
    <w:name w:val="Table Grid"/>
    <w:basedOn w:val="TableNormal"/>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hyperlink" Target="https://d.book118.com/235033032312011124" TargetMode="Externa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157313760</TotalTime>
  <Pages>8</Pages>
  <Words>24149</Words>
  <Characters>27716</Characters>
  <Application>Microsoft Office Word</Application>
  <DocSecurity>0</DocSecurity>
  <Lines>212</Lines>
  <Paragraphs>59</Paragraphs>
  <ScaleCrop>false</ScaleCrop>
  <Company>微软中国</Company>
  <LinksUpToDate>false</LinksUpToDate>
  <CharactersWithSpaces>28027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WPS_1559717548</cp:lastModifiedBy>
  <cp:revision>6</cp:revision>
  <cp:lastPrinted>2022-05-05T07:18:18Z</cp:lastPrinted>
  <dcterms:created xsi:type="dcterms:W3CDTF">2021-03-21T09:29:00Z</dcterms:created>
  <dcterms:modified xsi:type="dcterms:W3CDTF">2024-03-20T08:06:15Z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eyJoZGlkIjoiZjU5Yzg1ZmMzOTBiYTg4MWYzYzA0N2Q2MjU3NGNiMGYifQ==</vt:lpwstr>
  </property>
  <property fmtid="{D5CDD505-2E9C-101B-9397-08002B2CF9AE}" pid="3" name="ICV">
    <vt:lpwstr>C1CF9F81818446E6B51C6F718A15D106</vt:lpwstr>
  </property>
  <property fmtid="{D5CDD505-2E9C-101B-9397-08002B2CF9AE}" pid="4" name="KSOProductBuildVer">
    <vt:lpwstr>2052-11.1.0.10009</vt:lpwstr>
  </property>
</Properties>
</file>