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60" w:after="260" w:line="240" w:lineRule="auto"/>
        <w:jc w:val="both"/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>
      <w:pPr>
        <w:spacing w:before="60" w:after="260" w:line="240" w:lineRule="auto"/>
        <w:jc w:val="both"/>
        <w:rPr>
          <w:rFonts w:ascii="微软雅黑" w:eastAsia="微软雅黑" w:hAnsi="微软雅黑" w:cs="微软雅黑" w:hint="default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ascii="微软雅黑" w:eastAsia="微软雅黑" w:hAnsi="微软雅黑" w:cs="微软雅黑" w:hint="eastAsia"/>
          <w:b/>
          <w:bCs/>
          <w:color w:val="000000" w:themeColor="text1"/>
          <w:sz w:val="52"/>
          <w:szCs w:val="52"/>
          <w:lang w:val="en-US" w:eastAsia="zh-CN"/>
          <w14:textFill>
            <w14:solidFill>
              <w14:schemeClr w14:val="tx1"/>
            </w14:solidFill>
          </w14:textFill>
        </w:rPr>
        <w:t>2024年宫颈癌疫苗行业分析报告及未来五到十年行业发展趋势报告</w:t>
      </w:r>
    </w:p>
    <w:p>
      <w:pPr>
        <w:sectPr>
          <w:pgSz w:w="11906" w:h="16838"/>
          <w:pgMar w:top="1134" w:right="1474" w:bottom="1134" w:left="1474" w:header="851" w:footer="992" w:gutter="0"/>
          <w:cols w:num="1" w:space="425"/>
          <w:docGrid w:type="lines" w:linePitch="312" w:charSpace="0"/>
        </w:sectPr>
      </w:pPr>
    </w:p>
    <w:p>
      <w:pPr>
        <w:pStyle w:val="TOC1"/>
        <w:tabs>
          <w:tab w:val="right" w:leader="dot" w:pos="8958"/>
        </w:tabs>
      </w:pPr>
      <w:r>
        <w:fldChar w:fldCharType="begin"/>
      </w:r>
      <w:r>
        <w:instrText xml:space="preserve">TOC \o "1-3" \h \u </w:instrText>
      </w:r>
      <w:r>
        <w:fldChar w:fldCharType="separate"/>
      </w:r>
      <w:hyperlink w:anchor="_Toc17669" w:history="1">
        <w:r>
          <w:rPr>
            <w:rFonts w:eastAsia="微软雅黑" w:hint="eastAsia"/>
            <w:snapToGrid/>
            <w:lang w:val="en-US" w:eastAsia="en-US"/>
          </w:rPr>
          <w:t>一、关于未来5-10年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行业发展机遇与挑战的建议</w:t>
        </w:r>
        <w:r>
          <w:tab/>
        </w:r>
        <w:r>
          <w:fldChar w:fldCharType="begin"/>
        </w:r>
        <w:r>
          <w:instrText xml:space="preserve"> PAGEREF _Toc17669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102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行业发展趋势展望</w:t>
        </w:r>
        <w:r>
          <w:tab/>
        </w:r>
        <w:r>
          <w:fldChar w:fldCharType="begin"/>
        </w:r>
        <w:r>
          <w:instrText xml:space="preserve"> PAGEREF _Toc6102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0951" w:history="1">
        <w:r>
          <w:rPr>
            <w:rFonts w:eastAsia="微软雅黑" w:hint="eastAsia"/>
            <w:snapToGrid/>
            <w:lang w:val="en-US" w:eastAsia="zh-CN"/>
          </w:rPr>
          <w:t>(二)、2024-2029年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行业宏观政策指导的机遇</w:t>
        </w:r>
        <w:r>
          <w:tab/>
        </w:r>
        <w:r>
          <w:fldChar w:fldCharType="begin"/>
        </w:r>
        <w:r>
          <w:instrText xml:space="preserve"> PAGEREF _Toc20951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011" w:history="1">
        <w:r>
          <w:rPr>
            <w:rFonts w:eastAsia="微软雅黑" w:hint="eastAsia"/>
            <w:snapToGrid/>
            <w:lang w:val="en-US" w:eastAsia="zh-CN"/>
          </w:rPr>
          <w:t>(三)、2024-2029年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产业结构调整的机遇</w:t>
        </w:r>
        <w:r>
          <w:tab/>
        </w:r>
        <w:r>
          <w:fldChar w:fldCharType="begin"/>
        </w:r>
        <w:r>
          <w:instrText xml:space="preserve"> PAGEREF _Toc15011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995" w:history="1">
        <w:r>
          <w:rPr>
            <w:rFonts w:eastAsia="微软雅黑" w:hint="eastAsia"/>
            <w:snapToGrid/>
            <w:lang w:val="en-US" w:eastAsia="zh-CN"/>
          </w:rPr>
          <w:t>(四)、2024-2029年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行业面临的挑战与对策</w:t>
        </w:r>
        <w:r>
          <w:tab/>
        </w:r>
        <w:r>
          <w:fldChar w:fldCharType="begin"/>
        </w:r>
        <w:r>
          <w:instrText xml:space="preserve"> PAGEREF _Toc28995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6664" w:history="1">
        <w:r>
          <w:rPr>
            <w:rFonts w:eastAsia="微软雅黑" w:hint="eastAsia"/>
            <w:snapToGrid/>
            <w:lang w:val="en-US" w:eastAsia="en-US"/>
          </w:rPr>
          <w:t>二、宏观经济对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行业的影响</w:t>
        </w:r>
        <w:r>
          <w:tab/>
        </w:r>
        <w:r>
          <w:fldChar w:fldCharType="begin"/>
        </w:r>
        <w:r>
          <w:instrText xml:space="preserve"> PAGEREF _Toc6664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6846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行业线性决策机制分析</w:t>
        </w:r>
        <w:r>
          <w:tab/>
        </w:r>
        <w:r>
          <w:fldChar w:fldCharType="begin"/>
        </w:r>
        <w:r>
          <w:instrText xml:space="preserve"> PAGEREF _Toc6846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594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行业竞争与行业壁垒分析</w:t>
        </w:r>
        <w:r>
          <w:tab/>
        </w:r>
        <w:r>
          <w:fldChar w:fldCharType="begin"/>
        </w:r>
        <w:r>
          <w:instrText xml:space="preserve"> PAGEREF _Toc17594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0968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行业库存管理波动分析</w:t>
        </w:r>
        <w:r>
          <w:tab/>
        </w:r>
        <w:r>
          <w:fldChar w:fldCharType="begin"/>
        </w:r>
        <w:r>
          <w:instrText xml:space="preserve"> PAGEREF _Toc10968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1242" w:history="1">
        <w:r>
          <w:rPr>
            <w:rFonts w:eastAsia="微软雅黑" w:hint="eastAsia"/>
            <w:snapToGrid/>
            <w:lang w:val="en-US" w:eastAsia="en-US"/>
          </w:rPr>
          <w:t>三、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行业“专业化能力”对盈利模式的影响分析</w:t>
        </w:r>
        <w:r>
          <w:tab/>
        </w:r>
        <w:r>
          <w:fldChar w:fldCharType="begin"/>
        </w:r>
        <w:r>
          <w:instrText xml:space="preserve"> PAGEREF _Toc21242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486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行业企业盈利模式运作的关键</w:t>
        </w:r>
        <w:r>
          <w:tab/>
        </w:r>
        <w:r>
          <w:fldChar w:fldCharType="begin"/>
        </w:r>
        <w:r>
          <w:instrText xml:space="preserve"> PAGEREF _Toc30486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037" w:history="1">
        <w:r>
          <w:rPr>
            <w:rFonts w:eastAsia="微软雅黑" w:hint="eastAsia"/>
            <w:snapToGrid/>
            <w:lang w:val="en-US" w:eastAsia="zh-CN"/>
          </w:rPr>
          <w:t>(二)、怎样培养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行业的业务能力</w:t>
        </w:r>
        <w:r>
          <w:tab/>
        </w:r>
        <w:r>
          <w:fldChar w:fldCharType="begin"/>
        </w:r>
        <w:r>
          <w:instrText xml:space="preserve"> PAGEREF _Toc29037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994" w:history="1">
        <w:r>
          <w:rPr>
            <w:rFonts w:eastAsia="微软雅黑" w:hint="eastAsia"/>
            <w:snapToGrid/>
            <w:lang w:val="en-US" w:eastAsia="en-US"/>
          </w:rPr>
          <w:t>四、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行业数据预测与分析</w:t>
        </w:r>
        <w:r>
          <w:tab/>
        </w:r>
        <w:r>
          <w:fldChar w:fldCharType="begin"/>
        </w:r>
        <w:r>
          <w:instrText xml:space="preserve"> PAGEREF _Toc22994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435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行业时间序列预测与分析</w:t>
        </w:r>
        <w:r>
          <w:tab/>
        </w:r>
        <w:r>
          <w:fldChar w:fldCharType="begin"/>
        </w:r>
        <w:r>
          <w:instrText xml:space="preserve"> PAGEREF _Toc14353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5869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行业时间曲线预测模型分析</w:t>
        </w:r>
        <w:r>
          <w:tab/>
        </w:r>
        <w:r>
          <w:fldChar w:fldCharType="begin"/>
        </w:r>
        <w:r>
          <w:instrText xml:space="preserve"> PAGEREF _Toc15869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87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行业差分方程预测模型分析</w:t>
        </w:r>
        <w:r>
          <w:tab/>
        </w:r>
        <w:r>
          <w:fldChar w:fldCharType="begin"/>
        </w:r>
        <w:r>
          <w:instrText xml:space="preserve"> PAGEREF _Toc21871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779" w:history="1">
        <w:r>
          <w:rPr>
            <w:rFonts w:eastAsia="微软雅黑" w:hint="eastAsia"/>
            <w:snapToGrid/>
            <w:lang w:val="en-US" w:eastAsia="zh-CN"/>
          </w:rPr>
          <w:t>(四)、未来5-10年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行业预测结论</w:t>
        </w:r>
        <w:r>
          <w:tab/>
        </w:r>
        <w:r>
          <w:fldChar w:fldCharType="begin"/>
        </w:r>
        <w:r>
          <w:instrText xml:space="preserve"> PAGEREF _Toc12779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6322" w:history="1">
        <w:r>
          <w:rPr>
            <w:rFonts w:eastAsia="微软雅黑" w:hint="eastAsia"/>
            <w:snapToGrid/>
            <w:lang w:val="en-US" w:eastAsia="en-US"/>
          </w:rPr>
          <w:t>五、2024-2029年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行业企业市场突破具体策略</w:t>
        </w:r>
        <w:r>
          <w:tab/>
        </w:r>
        <w:r>
          <w:fldChar w:fldCharType="begin"/>
        </w:r>
        <w:r>
          <w:instrText xml:space="preserve"> PAGEREF _Toc6322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408" w:history="1">
        <w:r>
          <w:rPr>
            <w:rFonts w:eastAsia="微软雅黑" w:hint="eastAsia"/>
            <w:snapToGrid/>
            <w:lang w:val="en-US" w:eastAsia="en-US"/>
          </w:rPr>
          <w:t>(一)、密切关注竞争对手的策略，提高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行业产品在行业内的竞争力</w:t>
        </w:r>
        <w:r>
          <w:tab/>
        </w:r>
        <w:r>
          <w:fldChar w:fldCharType="begin"/>
        </w:r>
        <w:r>
          <w:instrText xml:space="preserve"> PAGEREF _Toc408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073" w:history="1">
        <w:r>
          <w:rPr>
            <w:rFonts w:eastAsia="微软雅黑" w:hint="eastAsia"/>
            <w:snapToGrid/>
            <w:lang w:val="en-US" w:eastAsia="zh-CN"/>
          </w:rPr>
          <w:t>(二)、使用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行业市场渗透策略，不断开发新客户</w:t>
        </w:r>
        <w:r>
          <w:tab/>
        </w:r>
        <w:r>
          <w:fldChar w:fldCharType="begin"/>
        </w:r>
        <w:r>
          <w:instrText xml:space="preserve"> PAGEREF _Toc31073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178" w:history="1">
        <w:r>
          <w:rPr>
            <w:rFonts w:eastAsia="微软雅黑" w:hint="eastAsia"/>
            <w:snapToGrid/>
            <w:lang w:val="en-US" w:eastAsia="zh-CN"/>
          </w:rPr>
          <w:t>(三)、实施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行业市场发展战略，不断开拓各类市场创新源</w:t>
        </w:r>
        <w:r>
          <w:tab/>
        </w:r>
        <w:r>
          <w:fldChar w:fldCharType="begin"/>
        </w:r>
        <w:r>
          <w:instrText xml:space="preserve"> PAGEREF _Toc7178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107" w:history="1">
        <w:r>
          <w:rPr>
            <w:rFonts w:eastAsia="微软雅黑" w:hint="eastAsia"/>
            <w:snapToGrid/>
            <w:lang w:val="en-US" w:eastAsia="zh-CN"/>
          </w:rPr>
          <w:t>(四)、不断提高产品质量，建立覆盖完善的服务体系</w:t>
        </w:r>
        <w:r>
          <w:tab/>
        </w:r>
        <w:r>
          <w:fldChar w:fldCharType="begin"/>
        </w:r>
        <w:r>
          <w:instrText xml:space="preserve"> PAGEREF _Toc29107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5781" w:history="1">
        <w:r>
          <w:rPr>
            <w:rFonts w:eastAsia="微软雅黑" w:hint="eastAsia"/>
            <w:snapToGrid/>
            <w:lang w:val="en-US" w:eastAsia="zh-CN"/>
          </w:rPr>
          <w:t>(五)、实施线上线下融合，深化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行业国内外市场拓展</w:t>
        </w:r>
        <w:r>
          <w:tab/>
        </w:r>
        <w:r>
          <w:fldChar w:fldCharType="begin"/>
        </w:r>
        <w:r>
          <w:instrText xml:space="preserve"> PAGEREF _Toc25781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6858" w:history="1">
        <w:r>
          <w:rPr>
            <w:rFonts w:eastAsia="微软雅黑" w:hint="eastAsia"/>
            <w:snapToGrid/>
            <w:lang w:val="en-US" w:eastAsia="zh-CN"/>
          </w:rPr>
          <w:t>(六)、在市场开发中结合渗透和其他策略</w:t>
        </w:r>
        <w:r>
          <w:tab/>
        </w:r>
        <w:r>
          <w:fldChar w:fldCharType="begin"/>
        </w:r>
        <w:r>
          <w:instrText xml:space="preserve"> PAGEREF _Toc26858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2797" w:history="1">
        <w:r>
          <w:rPr>
            <w:rFonts w:eastAsia="微软雅黑" w:hint="eastAsia"/>
            <w:snapToGrid/>
            <w:lang w:val="en-US" w:eastAsia="en-US"/>
          </w:rPr>
          <w:t>六、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行业财务状况分析</w:t>
        </w:r>
        <w:r>
          <w:tab/>
        </w:r>
        <w:r>
          <w:fldChar w:fldCharType="begin"/>
        </w:r>
        <w:r>
          <w:instrText xml:space="preserve"> PAGEREF _Toc22797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392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行业近三年财务数据及指标分析</w:t>
        </w:r>
        <w:r>
          <w:tab/>
        </w:r>
        <w:r>
          <w:fldChar w:fldCharType="begin"/>
        </w:r>
        <w:r>
          <w:instrText xml:space="preserve"> PAGEREF _Toc5392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615" w:history="1">
        <w:r>
          <w:rPr>
            <w:rFonts w:eastAsia="微软雅黑" w:hint="eastAsia"/>
            <w:snapToGrid/>
            <w:lang w:val="en-US" w:eastAsia="zh-CN"/>
          </w:rPr>
          <w:t>(二)、现金流对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行业的影响</w:t>
        </w:r>
        <w:r>
          <w:tab/>
        </w:r>
        <w:r>
          <w:fldChar w:fldCharType="begin"/>
        </w:r>
        <w:r>
          <w:instrText xml:space="preserve"> PAGEREF _Toc29615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4345" w:history="1">
        <w:r>
          <w:rPr>
            <w:rFonts w:eastAsia="微软雅黑" w:hint="eastAsia"/>
            <w:snapToGrid/>
            <w:lang w:val="en-US" w:eastAsia="en-US"/>
          </w:rPr>
          <w:t>七、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行业风险控制解析</w:t>
        </w:r>
        <w:r>
          <w:tab/>
        </w:r>
        <w:r>
          <w:fldChar w:fldCharType="begin"/>
        </w:r>
        <w:r>
          <w:instrText xml:space="preserve"> PAGEREF _Toc14345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6838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行业系统风险分析</w:t>
        </w:r>
        <w:r>
          <w:tab/>
        </w:r>
        <w:r>
          <w:fldChar w:fldCharType="begin"/>
        </w:r>
        <w:r>
          <w:instrText xml:space="preserve"> PAGEREF _Toc16838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200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行业第二产业的经营风险</w:t>
        </w:r>
        <w:r>
          <w:tab/>
        </w:r>
        <w:r>
          <w:fldChar w:fldCharType="begin"/>
        </w:r>
        <w:r>
          <w:instrText xml:space="preserve"> PAGEREF _Toc31200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170" w:history="1">
        <w:r>
          <w:rPr>
            <w:rFonts w:eastAsia="微软雅黑" w:hint="eastAsia"/>
            <w:snapToGrid/>
            <w:lang w:val="en-US" w:eastAsia="en-US"/>
          </w:rPr>
          <w:t>八、2024-2029年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行业市场运行趋势及存在问题分析</w:t>
        </w:r>
        <w:r>
          <w:tab/>
        </w:r>
        <w:r>
          <w:fldChar w:fldCharType="begin"/>
        </w:r>
        <w:r>
          <w:instrText xml:space="preserve"> PAGEREF _Toc1170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354" w:history="1">
        <w:r>
          <w:rPr>
            <w:rFonts w:eastAsia="微软雅黑" w:hint="eastAsia"/>
            <w:snapToGrid/>
            <w:lang w:val="en-US" w:eastAsia="en-US"/>
          </w:rPr>
          <w:t>(一)、2024-2029年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行业市场运行动态分析</w:t>
        </w:r>
        <w:r>
          <w:tab/>
        </w:r>
        <w:r>
          <w:fldChar w:fldCharType="begin"/>
        </w:r>
        <w:r>
          <w:instrText xml:space="preserve"> PAGEREF _Toc29354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499" w:history="1">
        <w:r>
          <w:rPr>
            <w:rFonts w:eastAsia="微软雅黑" w:hint="eastAsia"/>
            <w:snapToGrid/>
            <w:lang w:val="en-US" w:eastAsia="zh-CN"/>
          </w:rPr>
          <w:t>(二)、现阶段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_Toc18499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567" w:history="1">
        <w:r>
          <w:rPr>
            <w:rFonts w:eastAsia="微软雅黑" w:hint="eastAsia"/>
            <w:snapToGrid/>
            <w:lang w:val="en-US" w:eastAsia="zh-CN"/>
          </w:rPr>
          <w:t>(三)、现阶段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行业存在的问题</w:t>
        </w:r>
        <w:r>
          <w:tab/>
        </w:r>
        <w:r>
          <w:fldChar w:fldCharType="begin"/>
        </w:r>
        <w:r>
          <w:instrText xml:space="preserve"> PAGEREF _Toc18567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  <w:sectPr>
          <w:footerReference w:type="default" r:id="rId4"/>
          <w:pgSz w:w="11906" w:h="16838"/>
          <w:pgMar w:top="1134" w:right="1474" w:bottom="1134" w:left="1474" w:header="708" w:footer="708" w:gutter="0"/>
          <w:pgNumType w:start="2"/>
          <w:cols w:num="1" w:sep="1" w:space="708"/>
          <w:vAlign w:val="top"/>
          <w:titlePg w:val="0"/>
          <w:docGrid w:linePitch="360" w:charSpace="0"/>
        </w:sectPr>
      </w:pPr>
      <w:hyperlink w:anchor="_Toc25216" w:history="1">
        <w:r>
          <w:rPr>
            <w:rFonts w:eastAsia="微软雅黑" w:hint="eastAsia"/>
            <w:snapToGrid/>
            <w:lang w:val="en-US" w:eastAsia="zh-CN"/>
          </w:rPr>
          <w:t>(四)、规范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行业的发展</w:t>
        </w:r>
        <w:r>
          <w:tab/>
        </w:r>
        <w:r>
          <w:fldChar w:fldCharType="begin"/>
        </w:r>
        <w:r>
          <w:instrText xml:space="preserve"> PAGEREF _Toc25216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0872" w:history="1">
        <w:r>
          <w:rPr>
            <w:rFonts w:eastAsia="微软雅黑" w:hint="eastAsia"/>
            <w:snapToGrid/>
            <w:lang w:val="en-US" w:eastAsia="en-US"/>
          </w:rPr>
          <w:t>九、关于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行业发展战略规划的建议</w:t>
        </w:r>
        <w:r>
          <w:tab/>
        </w:r>
        <w:r>
          <w:fldChar w:fldCharType="begin"/>
        </w:r>
        <w:r>
          <w:instrText xml:space="preserve"> PAGEREF _Toc10872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763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行业战略规划简介</w:t>
        </w:r>
        <w:r>
          <w:tab/>
        </w:r>
        <w:r>
          <w:fldChar w:fldCharType="begin"/>
        </w:r>
        <w:r>
          <w:instrText xml:space="preserve"> PAGEREF _Toc7763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30508" w:history="1">
        <w:r>
          <w:rPr>
            <w:rFonts w:eastAsia="微软雅黑" w:hint="eastAsia"/>
            <w:snapToGrid/>
            <w:lang w:val="en-US" w:eastAsia="zh-CN"/>
          </w:rPr>
          <w:t>1、行业的社会化</w:t>
        </w:r>
        <w:r>
          <w:tab/>
        </w:r>
        <w:r>
          <w:fldChar w:fldCharType="begin"/>
        </w:r>
        <w:r>
          <w:instrText xml:space="preserve"> PAGEREF _Toc30508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516" w:history="1">
        <w:r>
          <w:rPr>
            <w:rFonts w:eastAsia="微软雅黑" w:hint="eastAsia"/>
            <w:snapToGrid/>
            <w:lang w:val="en-US" w:eastAsia="zh-CN"/>
          </w:rPr>
          <w:t>2、行业的规模化</w:t>
        </w:r>
        <w:r>
          <w:tab/>
        </w:r>
        <w:r>
          <w:fldChar w:fldCharType="begin"/>
        </w:r>
        <w:r>
          <w:instrText xml:space="preserve"> PAGEREF _Toc18516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587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行业的市场应用方向</w:t>
        </w:r>
        <w:r>
          <w:tab/>
        </w:r>
        <w:r>
          <w:fldChar w:fldCharType="begin"/>
        </w:r>
        <w:r>
          <w:instrText xml:space="preserve"> PAGEREF _Toc5875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9541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行业的发展重点</w:t>
        </w:r>
        <w:r>
          <w:tab/>
        </w:r>
        <w:r>
          <w:fldChar w:fldCharType="begin"/>
        </w:r>
        <w:r>
          <w:instrText xml:space="preserve"> PAGEREF _Toc9541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2670" w:history="1">
        <w:r>
          <w:rPr>
            <w:rFonts w:eastAsia="微软雅黑" w:hint="eastAsia"/>
            <w:snapToGrid/>
            <w:lang w:val="en-US" w:eastAsia="en-US"/>
          </w:rPr>
          <w:t>十、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行业企业战略选择</w:t>
        </w:r>
        <w:r>
          <w:tab/>
        </w:r>
        <w:r>
          <w:fldChar w:fldCharType="begin"/>
        </w:r>
        <w:r>
          <w:instrText xml:space="preserve"> PAGEREF _Toc2670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292" w:history="1">
        <w:r>
          <w:rPr>
            <w:rFonts w:eastAsia="微软雅黑" w:hint="eastAsia"/>
            <w:snapToGrid/>
            <w:lang w:val="en-US" w:eastAsia="zh-CN"/>
          </w:rPr>
          <w:t>(一)、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行业SWOT分析</w:t>
        </w:r>
        <w:r>
          <w:tab/>
        </w:r>
        <w:r>
          <w:fldChar w:fldCharType="begin"/>
        </w:r>
        <w:r>
          <w:instrText xml:space="preserve"> PAGEREF _Toc28292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682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行业企业战略确定</w:t>
        </w:r>
        <w:r>
          <w:tab/>
        </w:r>
        <w:r>
          <w:fldChar w:fldCharType="begin"/>
        </w:r>
        <w:r>
          <w:instrText xml:space="preserve"> PAGEREF _Toc31682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80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行业PEST分析</w:t>
        </w:r>
        <w:r>
          <w:tab/>
        </w:r>
        <w:r>
          <w:fldChar w:fldCharType="begin"/>
        </w:r>
        <w:r>
          <w:instrText xml:space="preserve"> PAGEREF _Toc2803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20050" w:history="1">
        <w:r>
          <w:rPr>
            <w:rFonts w:eastAsia="微软雅黑" w:hint="eastAsia"/>
            <w:snapToGrid/>
            <w:lang w:val="en-US" w:eastAsia="zh-CN"/>
          </w:rPr>
          <w:t>1、政策因素</w:t>
        </w:r>
        <w:r>
          <w:tab/>
        </w:r>
        <w:r>
          <w:fldChar w:fldCharType="begin"/>
        </w:r>
        <w:r>
          <w:instrText xml:space="preserve"> PAGEREF _Toc20050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2364" w:history="1">
        <w:r>
          <w:rPr>
            <w:rFonts w:eastAsia="微软雅黑" w:hint="eastAsia"/>
            <w:snapToGrid/>
            <w:lang w:val="en-US" w:eastAsia="zh-CN"/>
          </w:rPr>
          <w:t>2、经济因素</w:t>
        </w:r>
        <w:r>
          <w:tab/>
        </w:r>
        <w:r>
          <w:fldChar w:fldCharType="begin"/>
        </w:r>
        <w:r>
          <w:instrText xml:space="preserve"> PAGEREF _Toc12364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8762" w:history="1">
        <w:r>
          <w:rPr>
            <w:rFonts w:eastAsia="微软雅黑" w:hint="eastAsia"/>
            <w:snapToGrid/>
            <w:lang w:val="en-US" w:eastAsia="zh-CN"/>
          </w:rPr>
          <w:t>3、社会因素</w:t>
        </w:r>
        <w:r>
          <w:tab/>
        </w:r>
        <w:r>
          <w:fldChar w:fldCharType="begin"/>
        </w:r>
        <w:r>
          <w:instrText xml:space="preserve"> PAGEREF _Toc18762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3"/>
        <w:tabs>
          <w:tab w:val="right" w:leader="dot" w:pos="8958"/>
        </w:tabs>
      </w:pPr>
      <w:hyperlink w:anchor="_Toc14336" w:history="1">
        <w:r>
          <w:rPr>
            <w:rFonts w:eastAsia="微软雅黑" w:hint="eastAsia"/>
            <w:snapToGrid/>
            <w:lang w:val="en-US" w:eastAsia="zh-CN"/>
          </w:rPr>
          <w:t>4、技术因素</w:t>
        </w:r>
        <w:r>
          <w:tab/>
        </w:r>
        <w:r>
          <w:fldChar w:fldCharType="begin"/>
        </w:r>
        <w:r>
          <w:instrText xml:space="preserve"> PAGEREF _Toc14336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7040" w:history="1">
        <w:r>
          <w:rPr>
            <w:rFonts w:eastAsia="微软雅黑" w:hint="eastAsia"/>
            <w:snapToGrid/>
            <w:lang w:val="en-US" w:eastAsia="en-US"/>
          </w:rPr>
          <w:t>十一、2024-2029年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行业竞争格局展望</w:t>
        </w:r>
        <w:r>
          <w:tab/>
        </w:r>
        <w:r>
          <w:fldChar w:fldCharType="begin"/>
        </w:r>
        <w:r>
          <w:instrText xml:space="preserve"> PAGEREF _Toc7040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081" w:history="1">
        <w:r>
          <w:rPr>
            <w:rFonts w:eastAsia="微软雅黑" w:hint="eastAsia"/>
            <w:snapToGrid/>
            <w:lang w:val="en-US" w:eastAsia="en-US"/>
          </w:rPr>
          <w:t>(一)、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行业经济周期分析</w:t>
        </w:r>
        <w:r>
          <w:tab/>
        </w:r>
        <w:r>
          <w:fldChar w:fldCharType="begin"/>
        </w:r>
        <w:r>
          <w:instrText xml:space="preserve"> PAGEREF _Toc3081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1135" w:history="1">
        <w:r>
          <w:rPr>
            <w:rFonts w:eastAsia="微软雅黑" w:hint="eastAsia"/>
            <w:snapToGrid/>
            <w:lang w:val="en-US" w:eastAsia="zh-CN"/>
          </w:rPr>
          <w:t>(二)、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行业的增长与波动分析</w:t>
        </w:r>
        <w:r>
          <w:tab/>
        </w:r>
        <w:r>
          <w:fldChar w:fldCharType="begin"/>
        </w:r>
        <w:r>
          <w:instrText xml:space="preserve"> PAGEREF _Toc11135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9533" w:history="1">
        <w:r>
          <w:rPr>
            <w:rFonts w:eastAsia="微软雅黑" w:hint="eastAsia"/>
            <w:snapToGrid/>
            <w:lang w:val="en-US" w:eastAsia="zh-CN"/>
          </w:rPr>
          <w:t>(三)、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行业市场成熟度分析</w:t>
        </w:r>
        <w:r>
          <w:tab/>
        </w:r>
        <w:r>
          <w:fldChar w:fldCharType="begin"/>
        </w:r>
        <w:r>
          <w:instrText xml:space="preserve"> PAGEREF _Toc29533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31920" w:history="1">
        <w:r>
          <w:rPr>
            <w:rFonts w:eastAsia="微软雅黑" w:hint="eastAsia"/>
            <w:snapToGrid/>
            <w:lang w:val="en-US" w:eastAsia="en-US"/>
          </w:rPr>
          <w:t>十二、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行业多元化趋势</w:t>
        </w:r>
        <w:r>
          <w:tab/>
        </w:r>
        <w:r>
          <w:fldChar w:fldCharType="begin"/>
        </w:r>
        <w:r>
          <w:instrText xml:space="preserve"> PAGEREF _Toc31920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39" w:history="1">
        <w:r>
          <w:rPr>
            <w:rFonts w:eastAsia="微软雅黑" w:hint="eastAsia"/>
            <w:snapToGrid/>
            <w:lang w:val="en-US" w:eastAsia="en-US"/>
          </w:rPr>
          <w:t>(一)、宏观机制升级</w:t>
        </w:r>
        <w:r>
          <w:tab/>
        </w:r>
        <w:r>
          <w:fldChar w:fldCharType="begin"/>
        </w:r>
        <w:r>
          <w:instrText xml:space="preserve"> PAGEREF _Toc739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1482" w:history="1">
        <w:r>
          <w:rPr>
            <w:rFonts w:eastAsia="微软雅黑" w:hint="eastAsia"/>
            <w:snapToGrid/>
            <w:lang w:val="en-US" w:eastAsia="zh-CN"/>
          </w:rPr>
          <w:t>(二)、服务模式多元化</w:t>
        </w:r>
        <w:r>
          <w:tab/>
        </w:r>
        <w:r>
          <w:fldChar w:fldCharType="begin"/>
        </w:r>
        <w:r>
          <w:instrText xml:space="preserve"> PAGEREF _Toc31482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4338" w:history="1">
        <w:r>
          <w:rPr>
            <w:rFonts w:eastAsia="微软雅黑" w:hint="eastAsia"/>
            <w:snapToGrid/>
            <w:lang w:val="en-US" w:eastAsia="zh-CN"/>
          </w:rPr>
          <w:t>(三)、新的价格战将不可避免</w:t>
        </w:r>
        <w:r>
          <w:tab/>
        </w:r>
        <w:r>
          <w:fldChar w:fldCharType="begin"/>
        </w:r>
        <w:r>
          <w:instrText xml:space="preserve"> PAGEREF _Toc24338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8527" w:history="1">
        <w:r>
          <w:rPr>
            <w:rFonts w:eastAsia="微软雅黑" w:hint="eastAsia"/>
            <w:snapToGrid/>
            <w:lang w:val="en-US" w:eastAsia="zh-CN"/>
          </w:rPr>
          <w:t>(四)、社会化特征增强</w:t>
        </w:r>
        <w:r>
          <w:tab/>
        </w:r>
        <w:r>
          <w:fldChar w:fldCharType="begin"/>
        </w:r>
        <w:r>
          <w:instrText xml:space="preserve"> PAGEREF _Toc18527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086" w:history="1">
        <w:r>
          <w:rPr>
            <w:rFonts w:eastAsia="微软雅黑" w:hint="eastAsia"/>
            <w:snapToGrid/>
            <w:lang w:val="en-US" w:eastAsia="zh-CN"/>
          </w:rPr>
          <w:t>(五)、信息化实施力度加大</w:t>
        </w:r>
        <w:r>
          <w:tab/>
        </w:r>
        <w:r>
          <w:fldChar w:fldCharType="begin"/>
        </w:r>
        <w:r>
          <w:instrText xml:space="preserve"> PAGEREF _Toc7086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7485" w:history="1">
        <w:r>
          <w:rPr>
            <w:rFonts w:eastAsia="微软雅黑" w:hint="eastAsia"/>
            <w:snapToGrid/>
            <w:lang w:val="en-US" w:eastAsia="zh-CN"/>
          </w:rPr>
          <w:t>(六)、生态化建设进一步开放</w:t>
        </w:r>
        <w:r>
          <w:tab/>
        </w:r>
        <w:r>
          <w:fldChar w:fldCharType="begin"/>
        </w:r>
        <w:r>
          <w:instrText xml:space="preserve"> PAGEREF _Toc17485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12859" w:history="1">
        <w:r>
          <w:rPr>
            <w:rFonts w:eastAsia="微软雅黑" w:hint="eastAsia"/>
            <w:snapToGrid/>
            <w:lang w:val="en-US" w:eastAsia="zh-CN"/>
          </w:rPr>
          <w:t>(七)、呈现集群化分布</w:t>
        </w:r>
        <w:r>
          <w:tab/>
        </w:r>
        <w:r>
          <w:fldChar w:fldCharType="begin"/>
        </w:r>
        <w:r>
          <w:instrText xml:space="preserve"> PAGEREF _Toc12859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10" w:history="1">
        <w:r>
          <w:rPr>
            <w:rFonts w:eastAsia="微软雅黑" w:hint="eastAsia"/>
            <w:snapToGrid/>
            <w:lang w:val="en-US" w:eastAsia="zh-CN"/>
          </w:rPr>
          <w:t>(八)、各信息化厂商推动</w:t>
        </w:r>
        <w:r>
          <w:rPr>
            <w:rFonts w:eastAsia="微软雅黑" w:hint="eastAsia"/>
            <w:snapToGrid/>
            <w:lang w:val="en-US" w:eastAsia="zh-CN"/>
          </w:rPr>
          <w:t>宫颈癌疫苗</w:t>
        </w:r>
        <w:r>
          <w:rPr>
            <w:rFonts w:eastAsia="微软雅黑" w:hint="eastAsia"/>
            <w:snapToGrid/>
            <w:lang w:val="en-US" w:eastAsia="zh-CN"/>
          </w:rPr>
          <w:t>行业发展</w:t>
        </w:r>
        <w:r>
          <w:tab/>
        </w:r>
        <w:r>
          <w:fldChar w:fldCharType="begin"/>
        </w:r>
        <w:r>
          <w:instrText xml:space="preserve"> PAGEREF _Toc710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3346" w:history="1">
        <w:r>
          <w:rPr>
            <w:rFonts w:eastAsia="微软雅黑" w:hint="eastAsia"/>
            <w:snapToGrid/>
            <w:lang w:val="en-US" w:eastAsia="zh-CN"/>
          </w:rPr>
          <w:t>(九)、政府采购政策加码</w:t>
        </w:r>
        <w:r>
          <w:tab/>
        </w:r>
        <w:r>
          <w:fldChar w:fldCharType="begin"/>
        </w:r>
        <w:r>
          <w:instrText xml:space="preserve"> PAGEREF _Toc3346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2931" w:history="1">
        <w:r>
          <w:rPr>
            <w:rFonts w:eastAsia="微软雅黑" w:hint="eastAsia"/>
            <w:snapToGrid/>
            <w:lang w:val="en-US" w:eastAsia="zh-CN"/>
          </w:rPr>
          <w:t>(十)、个性化定制受宠</w:t>
        </w:r>
        <w:r>
          <w:tab/>
        </w:r>
        <w:r>
          <w:fldChar w:fldCharType="begin"/>
        </w:r>
        <w:r>
          <w:instrText xml:space="preserve"> PAGEREF _Toc22931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584" w:history="1">
        <w:r>
          <w:rPr>
            <w:rFonts w:eastAsia="微软雅黑" w:hint="eastAsia"/>
            <w:snapToGrid/>
            <w:lang w:val="en-US" w:eastAsia="zh-CN"/>
          </w:rPr>
          <w:t>(十一)、品牌不断强化</w:t>
        </w:r>
        <w:r>
          <w:tab/>
        </w:r>
        <w:r>
          <w:fldChar w:fldCharType="begin"/>
        </w:r>
        <w:r>
          <w:instrText xml:space="preserve"> PAGEREF _Toc21584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7180" w:history="1">
        <w:r>
          <w:rPr>
            <w:rFonts w:eastAsia="微软雅黑" w:hint="eastAsia"/>
            <w:snapToGrid/>
            <w:lang w:val="en-US" w:eastAsia="zh-CN"/>
          </w:rPr>
          <w:t>(十二)、互联网已经成为标配“风生水起“</w:t>
        </w:r>
        <w:r>
          <w:tab/>
        </w:r>
        <w:r>
          <w:fldChar w:fldCharType="begin"/>
        </w:r>
        <w:r>
          <w:instrText xml:space="preserve"> PAGEREF _Toc7180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21226" w:history="1">
        <w:r>
          <w:rPr>
            <w:rFonts w:eastAsia="微软雅黑" w:hint="eastAsia"/>
            <w:snapToGrid/>
            <w:lang w:val="en-US" w:eastAsia="zh-CN"/>
          </w:rPr>
          <w:t>(十三)、一体式服务为发展趋势</w:t>
        </w:r>
        <w:r>
          <w:tab/>
        </w:r>
        <w:r>
          <w:fldChar w:fldCharType="begin"/>
        </w:r>
        <w:r>
          <w:instrText xml:space="preserve"> PAGEREF _Toc21226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958"/>
        </w:tabs>
      </w:pPr>
      <w:hyperlink w:anchor="_Toc8779" w:history="1">
        <w:r>
          <w:rPr>
            <w:rFonts w:eastAsia="微软雅黑" w:hint="eastAsia"/>
            <w:snapToGrid/>
            <w:lang w:val="en-US" w:eastAsia="zh-CN"/>
          </w:rPr>
          <w:t>(十四)、政策手段的奖惩力度加大</w:t>
        </w:r>
        <w:r>
          <w:tab/>
        </w:r>
        <w:r>
          <w:fldChar w:fldCharType="begin"/>
        </w:r>
        <w:r>
          <w:instrText xml:space="preserve"> PAGEREF _Toc8779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958"/>
        </w:tabs>
      </w:pPr>
      <w:hyperlink w:anchor="_Toc15786" w:history="1">
        <w:r>
          <w:rPr>
            <w:rFonts w:eastAsia="微软雅黑" w:hint="eastAsia"/>
            <w:snapToGrid/>
            <w:lang w:val="en-US" w:eastAsia="en-US"/>
          </w:rPr>
          <w:t>十三、</w:t>
        </w:r>
        <w:r>
          <w:rPr>
            <w:rFonts w:eastAsia="微软雅黑" w:hint="eastAsia"/>
            <w:snapToGrid/>
            <w:lang w:val="en-US" w:eastAsia="en-US"/>
          </w:rPr>
          <w:t>宫颈癌疫苗</w:t>
        </w:r>
        <w:r>
          <w:rPr>
            <w:rFonts w:eastAsia="微软雅黑" w:hint="eastAsia"/>
            <w:snapToGrid/>
            <w:lang w:val="en-US" w:eastAsia="en-US"/>
          </w:rPr>
          <w:t>行业企业战略目标</w:t>
        </w:r>
        <w:r>
          <w:tab/>
        </w:r>
        <w:r>
          <w:fldChar w:fldCharType="begin"/>
        </w:r>
        <w:r>
          <w:instrText xml:space="preserve"> PAGEREF _Toc15786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  <w:r>
        <w:fldChar w:fldCharType="end"/>
      </w:r>
      <w:r>
        <w:rPr>
          <w:rFonts w:ascii="微软雅黑" w:eastAsia="微软雅黑" w:hAnsi="微软雅黑" w:cs="微软雅黑"/>
          <w:b w:val="0"/>
        </w:rPr>
        <w:br/>
      </w:r>
      <w:r>
        <w:rPr>
          <w:rFonts w:ascii="微软雅黑" w:eastAsia="微软雅黑" w:hAnsi="微软雅黑" w:cs="微软雅黑"/>
          <w:b w:val="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https://d.book118.com/235110043203011034</w:t>
        </w:r>
      </w:hyperlink>
    </w:p>
    <w:p>
      <w:pPr>
        <w:pStyle w:val="Normal0"/>
        <w:spacing w:after="260" w:line="360" w:lineRule="auto"/>
        <w:jc w:val="center"/>
        <w:rPr>
          <w:rFonts w:ascii="微软雅黑" w:eastAsia="微软雅黑" w:hAnsi="微软雅黑" w:cs="微软雅黑"/>
          <w:b w:val="0"/>
        </w:rPr>
      </w:pPr>
    </w:p>
    <w:sectPr>
      <w:footerReference w:type="default" r:id="rId6"/>
      <w:type w:val="nextPage"/>
      <w:pgSz w:w="11906" w:h="16838"/>
      <w:pgMar w:top="1134" w:right="1474" w:bottom="1134" w:left="1474" w:header="708" w:footer="708" w:gutter="0"/>
      <w:pgNumType w:start="3"/>
      <w:cols w:num="1" w:sep="1" w:space="708"/>
      <w:vAlign w:val="top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2</w:t>
    </w:r>
    <w:r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Normal0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sz w:val="20"/>
      </w:rPr>
      <w:t>3</w:t>
    </w:r>
    <w:r>
      <w:rPr>
        <w:sz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82124A"/>
    <w:rsid w:val="06E24289"/>
    <w:rsid w:val="11CF29B4"/>
    <w:rsid w:val="12947766"/>
    <w:rsid w:val="22051117"/>
    <w:rsid w:val="2C662CED"/>
    <w:rsid w:val="2ED30C2E"/>
    <w:rsid w:val="419848E4"/>
    <w:rsid w:val="470B3DF4"/>
    <w:rsid w:val="515E59ED"/>
    <w:rsid w:val="65A46E2F"/>
    <w:rsid w:val="71EB0F45"/>
    <w:rsid w:val="7D8D6C79"/>
  </w:rsids>
  <w:docVars>
    <w:docVar w:name="commondata" w:val="eyJoZGlkIjoiODkzZjBjOTFhODcyNGUzNzA2YTQ4ZTJjNjI5M2JiO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hAnsi="Times New Roman" w:eastAsiaTheme="minorEastAsia" w:cs="Times New Roman"/>
      <w:sz w:val="24"/>
      <w:szCs w:val="24"/>
      <w:lang w:val="en-US" w:eastAsia="zh-CN" w:bidi="ar-SA"/>
    </w:rPr>
  </w:style>
  <w:style w:type="paragraph" w:styleId="Heading1">
    <w:name w:val="heading 1"/>
    <w:basedOn w:val="Title"/>
    <w:next w:val="Normal0"/>
    <w:qFormat/>
    <w:pPr>
      <w:keepNext/>
      <w:keepLines/>
      <w:snapToGrid w:val="0"/>
      <w:spacing w:before="340" w:beforeLines="0" w:beforeAutospacing="0" w:after="330" w:afterLines="0" w:afterAutospacing="0" w:line="624" w:lineRule="auto"/>
      <w:jc w:val="left"/>
      <w:outlineLvl w:val="0"/>
    </w:pPr>
    <w:rPr>
      <w:rFonts w:ascii="Times New Roman" w:eastAsia="微软雅黑" w:hAnsi="Times New Roman" w:cs="Times New Roman"/>
      <w:b w:val="0"/>
      <w:color w:val="000000"/>
      <w:kern w:val="44"/>
      <w:sz w:val="36"/>
      <w:lang w:eastAsia="en-US"/>
      <w14:textFill>
        <w14:solidFill>
          <w14:schemeClr w14:val="tx1"/>
        </w14:solidFill>
      </w14:textFill>
    </w:rPr>
  </w:style>
  <w:style w:type="paragraph" w:styleId="Heading2">
    <w:name w:val="heading 2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  <w:lang w:eastAsia="en-US"/>
    </w:rPr>
  </w:style>
  <w:style w:type="paragraph" w:styleId="Heading3">
    <w:name w:val="heading 3"/>
    <w:basedOn w:val="Normal"/>
    <w:next w:val="Normal0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等线"/>
      <w:b/>
      <w:sz w:val="32"/>
      <w:lang w:eastAsia="en-US"/>
    </w:rPr>
  </w:style>
  <w:style w:type="character" w:default="1" w:styleId="DefaultParagraphFont">
    <w:name w:val="Default Paragraph Font"/>
    <w:semiHidden/>
    <w:qFormat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Normal_0"/>
    <w:qFormat/>
    <w:rPr>
      <w:rFonts w:ascii="Times New Roman" w:eastAsia="等线" w:hAnsi="Times New Roman" w:cs="Times New Roman"/>
      <w:sz w:val="24"/>
      <w:szCs w:val="24"/>
      <w:lang w:val="en-US" w:eastAsia="en-US" w:bidi="ar-SA"/>
    </w:rPr>
  </w:style>
  <w:style w:type="paragraph" w:styleId="TOC1">
    <w:name w:val="toc 1"/>
    <w:basedOn w:val="Normal"/>
    <w:next w:val="Normal0"/>
    <w:rPr>
      <w:rFonts w:eastAsia="等线"/>
      <w:lang w:eastAsia="en-US"/>
    </w:rPr>
  </w:style>
  <w:style w:type="paragraph" w:styleId="TOC2">
    <w:name w:val="toc 2"/>
    <w:basedOn w:val="Normal"/>
    <w:next w:val="Normal0"/>
    <w:pPr>
      <w:ind w:left="420" w:leftChars="200"/>
    </w:pPr>
    <w:rPr>
      <w:rFonts w:eastAsia="等线"/>
      <w:lang w:eastAsia="en-US"/>
    </w:rPr>
  </w:style>
  <w:style w:type="paragraph" w:styleId="TOC3">
    <w:name w:val="toc 3"/>
    <w:basedOn w:val="Normal"/>
    <w:next w:val="Normal0"/>
    <w:pPr>
      <w:ind w:left="840" w:leftChars="400"/>
    </w:pPr>
    <w:rPr>
      <w:rFonts w:eastAsia="等线"/>
      <w:lang w:eastAsia="en-US"/>
    </w:rPr>
  </w:style>
  <w:style w:type="paragraph" w:styleId="Title">
    <w:name w:val="Title"/>
    <w:basedOn w:val="Normal"/>
    <w:qFormat/>
    <w:pPr>
      <w:spacing w:before="240" w:beforeLines="0" w:beforeAutospacing="0" w:after="60" w:afterLines="0" w:afterAutospacing="0"/>
      <w:jc w:val="center"/>
      <w:outlineLvl w:val="0"/>
    </w:pPr>
    <w:rPr>
      <w:rFonts w:ascii="Arial" w:eastAsia="等线" w:hAnsi="Arial"/>
      <w:b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3511004320301103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hanxinru</dc:creator>
  <cp:lastModifiedBy>本色</cp:lastModifiedBy>
  <cp:revision>0</cp:revision>
  <dcterms:created xsi:type="dcterms:W3CDTF">2022-03-08T13:56:00Z</dcterms:created>
  <dcterms:modified xsi:type="dcterms:W3CDTF">2023-02-21T13:13:27Z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3982D1B992A044889A6B184E4F7A4BA7</vt:lpwstr>
  </property>
  <property fmtid="{D5CDD505-2E9C-101B-9397-08002B2CF9AE}" pid="3" name="KSOProductBuildVer">
    <vt:lpwstr>2052-11.1.0.13012</vt:lpwstr>
  </property>
</Properties>
</file>