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馏份油中压加氢改质催化剂项目规划设计纲要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900" w:history="1">
        <w:r>
          <w:rPr>
            <w:rFonts w:ascii="仿宋" w:eastAsia="仿宋" w:hAnsi="仿宋" w:cs="仿宋" w:hint="eastAsia"/>
            <w:lang w:eastAsia="zh-CN"/>
          </w:rPr>
          <w:t>序言</w:t>
        </w:r>
        <w:r>
          <w:tab/>
        </w:r>
        <w:r>
          <w:fldChar w:fldCharType="begin"/>
        </w:r>
        <w:r>
          <w:instrText xml:space="preserve"> PAGEREF _Toc6900 \h </w:instrText>
        </w:r>
        <w:r>
          <w:fldChar w:fldCharType="separate"/>
        </w:r>
        <w:r>
          <w:t>3</w:t>
        </w:r>
        <w:r>
          <w:fldChar w:fldCharType="end"/>
        </w:r>
      </w:hyperlink>
    </w:p>
    <w:p>
      <w:pPr>
        <w:pStyle w:val="TOC1"/>
        <w:tabs>
          <w:tab w:val="right" w:leader="dot" w:pos="8306"/>
        </w:tabs>
      </w:pPr>
      <w:hyperlink w:anchor="_Toc11131" w:history="1">
        <w:r>
          <w:rPr>
            <w:rFonts w:ascii="仿宋" w:eastAsia="仿宋" w:hAnsi="仿宋" w:cs="仿宋" w:hint="eastAsia"/>
            <w:lang w:eastAsia="zh-CN"/>
          </w:rPr>
          <w:t>一、馏份油中压加氢改质催化剂项目可持续发展</w:t>
        </w:r>
        <w:r>
          <w:tab/>
        </w:r>
        <w:r>
          <w:fldChar w:fldCharType="begin"/>
        </w:r>
        <w:r>
          <w:instrText xml:space="preserve"> PAGEREF _Toc11131 \h </w:instrText>
        </w:r>
        <w:r>
          <w:fldChar w:fldCharType="separate"/>
        </w:r>
        <w:r>
          <w:t>3</w:t>
        </w:r>
        <w:r>
          <w:fldChar w:fldCharType="end"/>
        </w:r>
      </w:hyperlink>
    </w:p>
    <w:p>
      <w:pPr>
        <w:pStyle w:val="TOC2"/>
        <w:tabs>
          <w:tab w:val="right" w:leader="dot" w:pos="8306"/>
        </w:tabs>
      </w:pPr>
      <w:hyperlink w:anchor="_Toc18531" w:history="1">
        <w:r>
          <w:rPr>
            <w:rFonts w:ascii="仿宋" w:eastAsia="仿宋" w:hAnsi="仿宋" w:cs="仿宋" w:hint="eastAsia"/>
            <w:lang w:eastAsia="zh-CN"/>
          </w:rPr>
          <w:t>(一)、可持续战略与实践</w:t>
        </w:r>
        <w:r>
          <w:tab/>
        </w:r>
        <w:r>
          <w:fldChar w:fldCharType="begin"/>
        </w:r>
        <w:r>
          <w:instrText xml:space="preserve"> PAGEREF _Toc18531 \h </w:instrText>
        </w:r>
        <w:r>
          <w:fldChar w:fldCharType="separate"/>
        </w:r>
        <w:r>
          <w:t>3</w:t>
        </w:r>
        <w:r>
          <w:fldChar w:fldCharType="end"/>
        </w:r>
      </w:hyperlink>
    </w:p>
    <w:p>
      <w:pPr>
        <w:pStyle w:val="TOC2"/>
        <w:tabs>
          <w:tab w:val="right" w:leader="dot" w:pos="8306"/>
        </w:tabs>
      </w:pPr>
      <w:hyperlink w:anchor="_Toc11557" w:history="1">
        <w:r>
          <w:rPr>
            <w:rFonts w:ascii="仿宋" w:eastAsia="仿宋" w:hAnsi="仿宋" w:cs="仿宋" w:hint="eastAsia"/>
            <w:lang w:eastAsia="zh-CN"/>
          </w:rPr>
          <w:t>(二)、环保与社会责任</w:t>
        </w:r>
        <w:r>
          <w:tab/>
        </w:r>
        <w:r>
          <w:fldChar w:fldCharType="begin"/>
        </w:r>
        <w:r>
          <w:instrText xml:space="preserve"> PAGEREF _Toc11557 \h </w:instrText>
        </w:r>
        <w:r>
          <w:fldChar w:fldCharType="separate"/>
        </w:r>
        <w:r>
          <w:t>4</w:t>
        </w:r>
        <w:r>
          <w:fldChar w:fldCharType="end"/>
        </w:r>
      </w:hyperlink>
    </w:p>
    <w:p>
      <w:pPr>
        <w:pStyle w:val="TOC1"/>
        <w:tabs>
          <w:tab w:val="right" w:leader="dot" w:pos="8306"/>
        </w:tabs>
      </w:pPr>
      <w:hyperlink w:anchor="_Toc6051" w:history="1">
        <w:r>
          <w:rPr>
            <w:rFonts w:ascii="仿宋" w:eastAsia="仿宋" w:hAnsi="仿宋" w:cs="仿宋" w:hint="eastAsia"/>
            <w:lang w:eastAsia="zh-CN"/>
          </w:rPr>
          <w:t>二、市场分析、调研</w:t>
        </w:r>
        <w:r>
          <w:tab/>
        </w:r>
        <w:r>
          <w:fldChar w:fldCharType="begin"/>
        </w:r>
        <w:r>
          <w:instrText xml:space="preserve"> PAGEREF _Toc6051 \h </w:instrText>
        </w:r>
        <w:r>
          <w:fldChar w:fldCharType="separate"/>
        </w:r>
        <w:r>
          <w:t>5</w:t>
        </w:r>
        <w:r>
          <w:fldChar w:fldCharType="end"/>
        </w:r>
      </w:hyperlink>
    </w:p>
    <w:p>
      <w:pPr>
        <w:pStyle w:val="TOC2"/>
        <w:tabs>
          <w:tab w:val="right" w:leader="dot" w:pos="8306"/>
        </w:tabs>
      </w:pPr>
      <w:hyperlink w:anchor="_Toc27723" w:history="1">
        <w:r>
          <w:rPr>
            <w:rFonts w:ascii="仿宋" w:eastAsia="仿宋" w:hAnsi="仿宋" w:cs="仿宋" w:hint="eastAsia"/>
            <w:lang w:eastAsia="zh-CN"/>
          </w:rPr>
          <w:t>(一)、馏份油中压加氢改质催化剂行业分析</w:t>
        </w:r>
        <w:r>
          <w:tab/>
        </w:r>
        <w:r>
          <w:fldChar w:fldCharType="begin"/>
        </w:r>
        <w:r>
          <w:instrText xml:space="preserve"> PAGEREF _Toc27723 \h </w:instrText>
        </w:r>
        <w:r>
          <w:fldChar w:fldCharType="separate"/>
        </w:r>
        <w:r>
          <w:t>5</w:t>
        </w:r>
        <w:r>
          <w:fldChar w:fldCharType="end"/>
        </w:r>
      </w:hyperlink>
    </w:p>
    <w:p>
      <w:pPr>
        <w:pStyle w:val="TOC2"/>
        <w:tabs>
          <w:tab w:val="right" w:leader="dot" w:pos="8306"/>
        </w:tabs>
      </w:pPr>
      <w:hyperlink w:anchor="_Toc22175" w:history="1">
        <w:r>
          <w:rPr>
            <w:rFonts w:ascii="仿宋" w:eastAsia="仿宋" w:hAnsi="仿宋" w:cs="仿宋" w:hint="eastAsia"/>
            <w:lang w:eastAsia="zh-CN"/>
          </w:rPr>
          <w:t>(二)、馏份油中压加氢改质催化剂市场分析预测</w:t>
        </w:r>
        <w:r>
          <w:tab/>
        </w:r>
        <w:r>
          <w:fldChar w:fldCharType="begin"/>
        </w:r>
        <w:r>
          <w:instrText xml:space="preserve"> PAGEREF _Toc22175 \h </w:instrText>
        </w:r>
        <w:r>
          <w:fldChar w:fldCharType="separate"/>
        </w:r>
        <w:r>
          <w:t>6</w:t>
        </w:r>
        <w:r>
          <w:fldChar w:fldCharType="end"/>
        </w:r>
      </w:hyperlink>
    </w:p>
    <w:p>
      <w:pPr>
        <w:pStyle w:val="TOC1"/>
        <w:tabs>
          <w:tab w:val="right" w:leader="dot" w:pos="8306"/>
        </w:tabs>
      </w:pPr>
      <w:hyperlink w:anchor="_Toc12463" w:history="1">
        <w:r>
          <w:rPr>
            <w:rFonts w:ascii="仿宋" w:eastAsia="仿宋" w:hAnsi="仿宋" w:cs="仿宋" w:hint="eastAsia"/>
            <w:lang w:eastAsia="zh-CN"/>
          </w:rPr>
          <w:t>三、馏份油中压加氢改质催化剂项目建设单位说明</w:t>
        </w:r>
        <w:r>
          <w:tab/>
        </w:r>
        <w:r>
          <w:fldChar w:fldCharType="begin"/>
        </w:r>
        <w:r>
          <w:instrText xml:space="preserve"> PAGEREF _Toc12463 \h </w:instrText>
        </w:r>
        <w:r>
          <w:fldChar w:fldCharType="separate"/>
        </w:r>
        <w:r>
          <w:t>7</w:t>
        </w:r>
        <w:r>
          <w:fldChar w:fldCharType="end"/>
        </w:r>
      </w:hyperlink>
    </w:p>
    <w:p>
      <w:pPr>
        <w:pStyle w:val="TOC2"/>
        <w:tabs>
          <w:tab w:val="right" w:leader="dot" w:pos="8306"/>
        </w:tabs>
      </w:pPr>
      <w:hyperlink w:anchor="_Toc8585" w:history="1">
        <w:r>
          <w:rPr>
            <w:rFonts w:ascii="仿宋" w:eastAsia="仿宋" w:hAnsi="仿宋" w:cs="仿宋" w:hint="eastAsia"/>
            <w:lang w:eastAsia="zh-CN"/>
          </w:rPr>
          <w:t>(一)、馏份油中压加氢改质催化剂项目承办单位基本情况</w:t>
        </w:r>
        <w:r>
          <w:tab/>
        </w:r>
        <w:r>
          <w:fldChar w:fldCharType="begin"/>
        </w:r>
        <w:r>
          <w:instrText xml:space="preserve"> PAGEREF _Toc8585 \h </w:instrText>
        </w:r>
        <w:r>
          <w:fldChar w:fldCharType="separate"/>
        </w:r>
        <w:r>
          <w:t>7</w:t>
        </w:r>
        <w:r>
          <w:fldChar w:fldCharType="end"/>
        </w:r>
      </w:hyperlink>
    </w:p>
    <w:p>
      <w:pPr>
        <w:pStyle w:val="TOC2"/>
        <w:tabs>
          <w:tab w:val="right" w:leader="dot" w:pos="8306"/>
        </w:tabs>
      </w:pPr>
      <w:hyperlink w:anchor="_Toc13132" w:history="1">
        <w:r>
          <w:rPr>
            <w:rFonts w:ascii="仿宋" w:eastAsia="仿宋" w:hAnsi="仿宋" w:cs="仿宋" w:hint="eastAsia"/>
            <w:lang w:eastAsia="zh-CN"/>
          </w:rPr>
          <w:t>(二)、公司经济效益分析</w:t>
        </w:r>
        <w:r>
          <w:tab/>
        </w:r>
        <w:r>
          <w:fldChar w:fldCharType="begin"/>
        </w:r>
        <w:r>
          <w:instrText xml:space="preserve"> PAGEREF _Toc13132 \h </w:instrText>
        </w:r>
        <w:r>
          <w:fldChar w:fldCharType="separate"/>
        </w:r>
        <w:r>
          <w:t>7</w:t>
        </w:r>
        <w:r>
          <w:fldChar w:fldCharType="end"/>
        </w:r>
      </w:hyperlink>
    </w:p>
    <w:p>
      <w:pPr>
        <w:pStyle w:val="TOC1"/>
        <w:tabs>
          <w:tab w:val="right" w:leader="dot" w:pos="8306"/>
        </w:tabs>
      </w:pPr>
      <w:hyperlink w:anchor="_Toc27834" w:history="1">
        <w:r>
          <w:rPr>
            <w:rFonts w:ascii="仿宋" w:eastAsia="仿宋" w:hAnsi="仿宋" w:cs="仿宋" w:hint="eastAsia"/>
            <w:lang w:eastAsia="zh-CN"/>
          </w:rPr>
          <w:t>四、馏份油中压加氢改质催化剂项目绩效评估</w:t>
        </w:r>
        <w:r>
          <w:tab/>
        </w:r>
        <w:r>
          <w:fldChar w:fldCharType="begin"/>
        </w:r>
        <w:r>
          <w:instrText xml:space="preserve"> PAGEREF _Toc27834 \h </w:instrText>
        </w:r>
        <w:r>
          <w:fldChar w:fldCharType="separate"/>
        </w:r>
        <w:r>
          <w:t>8</w:t>
        </w:r>
        <w:r>
          <w:fldChar w:fldCharType="end"/>
        </w:r>
      </w:hyperlink>
    </w:p>
    <w:p>
      <w:pPr>
        <w:pStyle w:val="TOC2"/>
        <w:tabs>
          <w:tab w:val="right" w:leader="dot" w:pos="8306"/>
        </w:tabs>
      </w:pPr>
      <w:hyperlink w:anchor="_Toc24893" w:history="1">
        <w:r>
          <w:rPr>
            <w:rFonts w:ascii="仿宋" w:eastAsia="仿宋" w:hAnsi="仿宋" w:cs="仿宋" w:hint="eastAsia"/>
            <w:lang w:eastAsia="zh-CN"/>
          </w:rPr>
          <w:t>(一)、绩效评估指标</w:t>
        </w:r>
        <w:r>
          <w:tab/>
        </w:r>
        <w:r>
          <w:fldChar w:fldCharType="begin"/>
        </w:r>
        <w:r>
          <w:instrText xml:space="preserve"> PAGEREF _Toc24893 \h </w:instrText>
        </w:r>
        <w:r>
          <w:fldChar w:fldCharType="separate"/>
        </w:r>
        <w:r>
          <w:t>8</w:t>
        </w:r>
        <w:r>
          <w:fldChar w:fldCharType="end"/>
        </w:r>
      </w:hyperlink>
    </w:p>
    <w:p>
      <w:pPr>
        <w:pStyle w:val="TOC2"/>
        <w:tabs>
          <w:tab w:val="right" w:leader="dot" w:pos="8306"/>
        </w:tabs>
      </w:pPr>
      <w:hyperlink w:anchor="_Toc6782" w:history="1">
        <w:r>
          <w:rPr>
            <w:rFonts w:ascii="仿宋" w:eastAsia="仿宋" w:hAnsi="仿宋" w:cs="仿宋" w:hint="eastAsia"/>
            <w:lang w:eastAsia="zh-CN"/>
          </w:rPr>
          <w:t>(二)、绩效评估方法</w:t>
        </w:r>
        <w:r>
          <w:tab/>
        </w:r>
        <w:r>
          <w:fldChar w:fldCharType="begin"/>
        </w:r>
        <w:r>
          <w:instrText xml:space="preserve"> PAGEREF _Toc6782 \h </w:instrText>
        </w:r>
        <w:r>
          <w:fldChar w:fldCharType="separate"/>
        </w:r>
        <w:r>
          <w:t>10</w:t>
        </w:r>
        <w:r>
          <w:fldChar w:fldCharType="end"/>
        </w:r>
      </w:hyperlink>
    </w:p>
    <w:p>
      <w:pPr>
        <w:pStyle w:val="TOC2"/>
        <w:tabs>
          <w:tab w:val="right" w:leader="dot" w:pos="8306"/>
        </w:tabs>
      </w:pPr>
      <w:hyperlink w:anchor="_Toc32460" w:history="1">
        <w:r>
          <w:rPr>
            <w:rFonts w:ascii="仿宋" w:eastAsia="仿宋" w:hAnsi="仿宋" w:cs="仿宋" w:hint="eastAsia"/>
            <w:lang w:eastAsia="zh-CN"/>
          </w:rPr>
          <w:t>(三)、绩效评估周期</w:t>
        </w:r>
        <w:r>
          <w:tab/>
        </w:r>
        <w:r>
          <w:fldChar w:fldCharType="begin"/>
        </w:r>
        <w:r>
          <w:instrText xml:space="preserve"> PAGEREF _Toc32460 \h </w:instrText>
        </w:r>
        <w:r>
          <w:fldChar w:fldCharType="separate"/>
        </w:r>
        <w:r>
          <w:t>11</w:t>
        </w:r>
        <w:r>
          <w:fldChar w:fldCharType="end"/>
        </w:r>
      </w:hyperlink>
    </w:p>
    <w:p>
      <w:pPr>
        <w:pStyle w:val="TOC1"/>
        <w:tabs>
          <w:tab w:val="right" w:leader="dot" w:pos="8306"/>
        </w:tabs>
      </w:pPr>
      <w:hyperlink w:anchor="_Toc25696" w:history="1">
        <w:r>
          <w:rPr>
            <w:rFonts w:ascii="仿宋" w:eastAsia="仿宋" w:hAnsi="仿宋" w:cs="仿宋" w:hint="eastAsia"/>
            <w:lang w:eastAsia="zh-CN"/>
          </w:rPr>
          <w:t>五、工艺说明</w:t>
        </w:r>
        <w:r>
          <w:tab/>
        </w:r>
        <w:r>
          <w:fldChar w:fldCharType="begin"/>
        </w:r>
        <w:r>
          <w:instrText xml:space="preserve"> PAGEREF _Toc25696 \h </w:instrText>
        </w:r>
        <w:r>
          <w:fldChar w:fldCharType="separate"/>
        </w:r>
        <w:r>
          <w:t>12</w:t>
        </w:r>
        <w:r>
          <w:fldChar w:fldCharType="end"/>
        </w:r>
      </w:hyperlink>
    </w:p>
    <w:p>
      <w:pPr>
        <w:pStyle w:val="TOC2"/>
        <w:tabs>
          <w:tab w:val="right" w:leader="dot" w:pos="8306"/>
        </w:tabs>
      </w:pPr>
      <w:hyperlink w:anchor="_Toc29724" w:history="1">
        <w:r>
          <w:rPr>
            <w:rFonts w:ascii="仿宋" w:eastAsia="仿宋" w:hAnsi="仿宋" w:cs="仿宋" w:hint="eastAsia"/>
            <w:lang w:eastAsia="zh-CN"/>
          </w:rPr>
          <w:t>(一)、技术管理特点</w:t>
        </w:r>
        <w:r>
          <w:tab/>
        </w:r>
        <w:r>
          <w:fldChar w:fldCharType="begin"/>
        </w:r>
        <w:r>
          <w:instrText xml:space="preserve"> PAGEREF _Toc29724 \h </w:instrText>
        </w:r>
        <w:r>
          <w:fldChar w:fldCharType="separate"/>
        </w:r>
        <w:r>
          <w:t>12</w:t>
        </w:r>
        <w:r>
          <w:fldChar w:fldCharType="end"/>
        </w:r>
      </w:hyperlink>
    </w:p>
    <w:p>
      <w:pPr>
        <w:pStyle w:val="TOC2"/>
        <w:tabs>
          <w:tab w:val="right" w:leader="dot" w:pos="8306"/>
        </w:tabs>
      </w:pPr>
      <w:hyperlink w:anchor="_Toc23472" w:history="1">
        <w:r>
          <w:rPr>
            <w:rFonts w:ascii="仿宋" w:eastAsia="仿宋" w:hAnsi="仿宋" w:cs="仿宋" w:hint="eastAsia"/>
            <w:lang w:eastAsia="zh-CN"/>
          </w:rPr>
          <w:t>(二)、馏份油中压加氢改质催化剂项目工艺技术设计方案</w:t>
        </w:r>
        <w:r>
          <w:tab/>
        </w:r>
        <w:r>
          <w:fldChar w:fldCharType="begin"/>
        </w:r>
        <w:r>
          <w:instrText xml:space="preserve"> PAGEREF _Toc23472 \h </w:instrText>
        </w:r>
        <w:r>
          <w:fldChar w:fldCharType="separate"/>
        </w:r>
        <w:r>
          <w:t>13</w:t>
        </w:r>
        <w:r>
          <w:fldChar w:fldCharType="end"/>
        </w:r>
      </w:hyperlink>
    </w:p>
    <w:p>
      <w:pPr>
        <w:pStyle w:val="TOC2"/>
        <w:tabs>
          <w:tab w:val="right" w:leader="dot" w:pos="8306"/>
        </w:tabs>
      </w:pPr>
      <w:hyperlink w:anchor="_Toc6157" w:history="1">
        <w:r>
          <w:rPr>
            <w:rFonts w:ascii="仿宋" w:eastAsia="仿宋" w:hAnsi="仿宋" w:cs="仿宋" w:hint="eastAsia"/>
            <w:lang w:eastAsia="zh-CN"/>
          </w:rPr>
          <w:t>(三)、设备选型方案</w:t>
        </w:r>
        <w:r>
          <w:tab/>
        </w:r>
        <w:r>
          <w:fldChar w:fldCharType="begin"/>
        </w:r>
        <w:r>
          <w:instrText xml:space="preserve"> PAGEREF _Toc6157 \h </w:instrText>
        </w:r>
        <w:r>
          <w:fldChar w:fldCharType="separate"/>
        </w:r>
        <w:r>
          <w:t>15</w:t>
        </w:r>
        <w:r>
          <w:fldChar w:fldCharType="end"/>
        </w:r>
      </w:hyperlink>
    </w:p>
    <w:p>
      <w:pPr>
        <w:pStyle w:val="TOC1"/>
        <w:tabs>
          <w:tab w:val="right" w:leader="dot" w:pos="8306"/>
        </w:tabs>
      </w:pPr>
      <w:hyperlink w:anchor="_Toc9048" w:history="1">
        <w:r>
          <w:rPr>
            <w:rFonts w:ascii="仿宋" w:eastAsia="仿宋" w:hAnsi="仿宋" w:cs="仿宋" w:hint="eastAsia"/>
            <w:lang w:eastAsia="zh-CN"/>
          </w:rPr>
          <w:t>六、馏份油中压加氢改质催化剂项目土建工程</w:t>
        </w:r>
        <w:r>
          <w:tab/>
        </w:r>
        <w:r>
          <w:fldChar w:fldCharType="begin"/>
        </w:r>
        <w:r>
          <w:instrText xml:space="preserve"> PAGEREF _Toc9048 \h </w:instrText>
        </w:r>
        <w:r>
          <w:fldChar w:fldCharType="separate"/>
        </w:r>
        <w:r>
          <w:t>16</w:t>
        </w:r>
        <w:r>
          <w:fldChar w:fldCharType="end"/>
        </w:r>
      </w:hyperlink>
    </w:p>
    <w:p>
      <w:pPr>
        <w:pStyle w:val="TOC2"/>
        <w:tabs>
          <w:tab w:val="right" w:leader="dot" w:pos="8306"/>
        </w:tabs>
      </w:pPr>
      <w:hyperlink w:anchor="_Toc13126" w:history="1">
        <w:r>
          <w:rPr>
            <w:rFonts w:ascii="仿宋" w:eastAsia="仿宋" w:hAnsi="仿宋" w:cs="仿宋" w:hint="eastAsia"/>
            <w:lang w:eastAsia="zh-CN"/>
          </w:rPr>
          <w:t>(一)、建筑工程设计原则</w:t>
        </w:r>
        <w:r>
          <w:tab/>
        </w:r>
        <w:r>
          <w:fldChar w:fldCharType="begin"/>
        </w:r>
        <w:r>
          <w:instrText xml:space="preserve"> PAGEREF _Toc13126 \h </w:instrText>
        </w:r>
        <w:r>
          <w:fldChar w:fldCharType="separate"/>
        </w:r>
        <w:r>
          <w:t>16</w:t>
        </w:r>
        <w:r>
          <w:fldChar w:fldCharType="end"/>
        </w:r>
      </w:hyperlink>
    </w:p>
    <w:p>
      <w:pPr>
        <w:pStyle w:val="TOC2"/>
        <w:tabs>
          <w:tab w:val="right" w:leader="dot" w:pos="8306"/>
        </w:tabs>
      </w:pPr>
      <w:hyperlink w:anchor="_Toc21819" w:history="1">
        <w:r>
          <w:rPr>
            <w:rFonts w:ascii="仿宋" w:eastAsia="仿宋" w:hAnsi="仿宋" w:cs="仿宋" w:hint="eastAsia"/>
            <w:lang w:eastAsia="zh-CN"/>
          </w:rPr>
          <w:t>(二)、土建工程设计年限及安全等级</w:t>
        </w:r>
        <w:r>
          <w:tab/>
        </w:r>
        <w:r>
          <w:fldChar w:fldCharType="begin"/>
        </w:r>
        <w:r>
          <w:instrText xml:space="preserve"> PAGEREF _Toc21819 \h </w:instrText>
        </w:r>
        <w:r>
          <w:fldChar w:fldCharType="separate"/>
        </w:r>
        <w:r>
          <w:t>17</w:t>
        </w:r>
        <w:r>
          <w:fldChar w:fldCharType="end"/>
        </w:r>
      </w:hyperlink>
    </w:p>
    <w:p>
      <w:pPr>
        <w:pStyle w:val="TOC2"/>
        <w:tabs>
          <w:tab w:val="right" w:leader="dot" w:pos="8306"/>
        </w:tabs>
      </w:pPr>
      <w:hyperlink w:anchor="_Toc1165" w:history="1">
        <w:r>
          <w:rPr>
            <w:rFonts w:ascii="仿宋" w:eastAsia="仿宋" w:hAnsi="仿宋" w:cs="仿宋" w:hint="eastAsia"/>
            <w:lang w:eastAsia="zh-CN"/>
          </w:rPr>
          <w:t>(三)、建筑工程设计总体要求</w:t>
        </w:r>
        <w:r>
          <w:tab/>
        </w:r>
        <w:r>
          <w:fldChar w:fldCharType="begin"/>
        </w:r>
        <w:r>
          <w:instrText xml:space="preserve"> PAGEREF _Toc1165 \h </w:instrText>
        </w:r>
        <w:r>
          <w:fldChar w:fldCharType="separate"/>
        </w:r>
        <w:r>
          <w:t>18</w:t>
        </w:r>
        <w:r>
          <w:fldChar w:fldCharType="end"/>
        </w:r>
      </w:hyperlink>
    </w:p>
    <w:p>
      <w:pPr>
        <w:pStyle w:val="TOC2"/>
        <w:tabs>
          <w:tab w:val="right" w:leader="dot" w:pos="8306"/>
        </w:tabs>
      </w:pPr>
      <w:hyperlink w:anchor="_Toc22454" w:history="1">
        <w:r>
          <w:rPr>
            <w:rFonts w:ascii="仿宋" w:eastAsia="仿宋" w:hAnsi="仿宋" w:cs="仿宋" w:hint="eastAsia"/>
            <w:lang w:eastAsia="zh-CN"/>
          </w:rPr>
          <w:t>(四)、土建工程建设指标</w:t>
        </w:r>
        <w:r>
          <w:tab/>
        </w:r>
        <w:r>
          <w:fldChar w:fldCharType="begin"/>
        </w:r>
        <w:r>
          <w:instrText xml:space="preserve"> PAGEREF _Toc22454 \h </w:instrText>
        </w:r>
        <w:r>
          <w:fldChar w:fldCharType="separate"/>
        </w:r>
        <w:r>
          <w:t>19</w:t>
        </w:r>
        <w:r>
          <w:fldChar w:fldCharType="end"/>
        </w:r>
      </w:hyperlink>
    </w:p>
    <w:p>
      <w:pPr>
        <w:pStyle w:val="TOC1"/>
        <w:tabs>
          <w:tab w:val="right" w:leader="dot" w:pos="8306"/>
        </w:tabs>
      </w:pPr>
      <w:hyperlink w:anchor="_Toc6351" w:history="1">
        <w:r>
          <w:rPr>
            <w:rFonts w:ascii="仿宋" w:eastAsia="仿宋" w:hAnsi="仿宋" w:cs="仿宋" w:hint="eastAsia"/>
            <w:lang w:eastAsia="zh-CN"/>
          </w:rPr>
          <w:t>七、馏份油中压加氢改质催化剂项目技术管理</w:t>
        </w:r>
        <w:r>
          <w:tab/>
        </w:r>
        <w:r>
          <w:fldChar w:fldCharType="begin"/>
        </w:r>
        <w:r>
          <w:instrText xml:space="preserve"> PAGEREF _Toc6351 \h </w:instrText>
        </w:r>
        <w:r>
          <w:fldChar w:fldCharType="separate"/>
        </w:r>
        <w:r>
          <w:t>19</w:t>
        </w:r>
        <w:r>
          <w:fldChar w:fldCharType="end"/>
        </w:r>
      </w:hyperlink>
    </w:p>
    <w:p>
      <w:pPr>
        <w:pStyle w:val="TOC2"/>
        <w:tabs>
          <w:tab w:val="right" w:leader="dot" w:pos="8306"/>
        </w:tabs>
      </w:pPr>
      <w:hyperlink w:anchor="_Toc19450" w:history="1">
        <w:r>
          <w:rPr>
            <w:rFonts w:ascii="仿宋" w:eastAsia="仿宋" w:hAnsi="仿宋" w:cs="仿宋" w:hint="eastAsia"/>
            <w:lang w:eastAsia="zh-CN"/>
          </w:rPr>
          <w:t>(一)、技术方案选用方向</w:t>
        </w:r>
        <w:r>
          <w:tab/>
        </w:r>
        <w:r>
          <w:fldChar w:fldCharType="begin"/>
        </w:r>
        <w:r>
          <w:instrText xml:space="preserve"> PAGEREF _Toc19450 \h </w:instrText>
        </w:r>
        <w:r>
          <w:fldChar w:fldCharType="separate"/>
        </w:r>
        <w:r>
          <w:t>19</w:t>
        </w:r>
        <w:r>
          <w:fldChar w:fldCharType="end"/>
        </w:r>
      </w:hyperlink>
    </w:p>
    <w:p>
      <w:pPr>
        <w:pStyle w:val="TOC2"/>
        <w:tabs>
          <w:tab w:val="right" w:leader="dot" w:pos="8306"/>
        </w:tabs>
      </w:pPr>
      <w:hyperlink w:anchor="_Toc7306" w:history="1">
        <w:r>
          <w:rPr>
            <w:rFonts w:ascii="仿宋" w:eastAsia="仿宋" w:hAnsi="仿宋" w:cs="仿宋" w:hint="eastAsia"/>
            <w:lang w:eastAsia="zh-CN"/>
          </w:rPr>
          <w:t>(二)、工艺技术方案选用原则</w:t>
        </w:r>
        <w:r>
          <w:tab/>
        </w:r>
        <w:r>
          <w:fldChar w:fldCharType="begin"/>
        </w:r>
        <w:r>
          <w:instrText xml:space="preserve"> PAGEREF _Toc7306 \h </w:instrText>
        </w:r>
        <w:r>
          <w:fldChar w:fldCharType="separate"/>
        </w:r>
        <w:r>
          <w:t>21</w:t>
        </w:r>
        <w:r>
          <w:fldChar w:fldCharType="end"/>
        </w:r>
      </w:hyperlink>
    </w:p>
    <w:p>
      <w:pPr>
        <w:pStyle w:val="TOC2"/>
        <w:tabs>
          <w:tab w:val="right" w:leader="dot" w:pos="8306"/>
        </w:tabs>
      </w:pPr>
      <w:hyperlink w:anchor="_Toc17490" w:history="1">
        <w:r>
          <w:rPr>
            <w:rFonts w:ascii="仿宋" w:eastAsia="仿宋" w:hAnsi="仿宋" w:cs="仿宋" w:hint="eastAsia"/>
            <w:lang w:eastAsia="zh-CN"/>
          </w:rPr>
          <w:t>(三)、工艺技术方案要求</w:t>
        </w:r>
        <w:r>
          <w:tab/>
        </w:r>
        <w:r>
          <w:fldChar w:fldCharType="begin"/>
        </w:r>
        <w:r>
          <w:instrText xml:space="preserve"> PAGEREF _Toc17490 \h </w:instrText>
        </w:r>
        <w:r>
          <w:fldChar w:fldCharType="separate"/>
        </w:r>
        <w:r>
          <w:t>23</w:t>
        </w:r>
        <w:r>
          <w:fldChar w:fldCharType="end"/>
        </w:r>
      </w:hyperlink>
    </w:p>
    <w:p>
      <w:pPr>
        <w:pStyle w:val="TOC1"/>
        <w:tabs>
          <w:tab w:val="right" w:leader="dot" w:pos="8306"/>
        </w:tabs>
      </w:pPr>
      <w:hyperlink w:anchor="_Toc14719" w:history="1">
        <w:r>
          <w:rPr>
            <w:rFonts w:ascii="仿宋" w:eastAsia="仿宋" w:hAnsi="仿宋" w:cs="仿宋" w:hint="eastAsia"/>
            <w:lang w:eastAsia="zh-CN"/>
          </w:rPr>
          <w:t>八、馏份油中压加氢改质催化剂项目人力资源培养与发展</w:t>
        </w:r>
        <w:r>
          <w:tab/>
        </w:r>
        <w:r>
          <w:fldChar w:fldCharType="begin"/>
        </w:r>
        <w:r>
          <w:instrText xml:space="preserve"> PAGEREF _Toc14719 \h </w:instrText>
        </w:r>
        <w:r>
          <w:fldChar w:fldCharType="separate"/>
        </w:r>
        <w:r>
          <w:t>26</w:t>
        </w:r>
        <w:r>
          <w:fldChar w:fldCharType="end"/>
        </w:r>
      </w:hyperlink>
    </w:p>
    <w:p>
      <w:pPr>
        <w:pStyle w:val="TOC2"/>
        <w:tabs>
          <w:tab w:val="right" w:leader="dot" w:pos="8306"/>
        </w:tabs>
      </w:pPr>
      <w:hyperlink w:anchor="_Toc10652" w:history="1">
        <w:r>
          <w:rPr>
            <w:rFonts w:ascii="仿宋" w:eastAsia="仿宋" w:hAnsi="仿宋" w:cs="仿宋" w:hint="eastAsia"/>
            <w:lang w:eastAsia="zh-CN"/>
          </w:rPr>
          <w:t>(一)、人才需求与规划</w:t>
        </w:r>
        <w:r>
          <w:tab/>
        </w:r>
        <w:r>
          <w:fldChar w:fldCharType="begin"/>
        </w:r>
        <w:r>
          <w:instrText xml:space="preserve"> PAGEREF _Toc10652 \h </w:instrText>
        </w:r>
        <w:r>
          <w:fldChar w:fldCharType="separate"/>
        </w:r>
        <w:r>
          <w:t>26</w:t>
        </w:r>
        <w:r>
          <w:fldChar w:fldCharType="end"/>
        </w:r>
      </w:hyperlink>
    </w:p>
    <w:p>
      <w:pPr>
        <w:pStyle w:val="TOC2"/>
        <w:tabs>
          <w:tab w:val="right" w:leader="dot" w:pos="8306"/>
        </w:tabs>
      </w:pPr>
      <w:hyperlink w:anchor="_Toc27334" w:history="1">
        <w:r>
          <w:rPr>
            <w:rFonts w:ascii="仿宋" w:eastAsia="仿宋" w:hAnsi="仿宋" w:cs="仿宋" w:hint="eastAsia"/>
            <w:lang w:eastAsia="zh-CN"/>
          </w:rPr>
          <w:t>(二)、培训与发展计划</w:t>
        </w:r>
        <w:r>
          <w:tab/>
        </w:r>
        <w:r>
          <w:fldChar w:fldCharType="begin"/>
        </w:r>
        <w:r>
          <w:instrText xml:space="preserve"> PAGEREF _Toc27334 \h </w:instrText>
        </w:r>
        <w:r>
          <w:fldChar w:fldCharType="separate"/>
        </w:r>
        <w:r>
          <w:t>26</w:t>
        </w:r>
        <w:r>
          <w:fldChar w:fldCharType="end"/>
        </w:r>
      </w:hyperlink>
    </w:p>
    <w:p>
      <w:pPr>
        <w:pStyle w:val="TOC1"/>
        <w:tabs>
          <w:tab w:val="right" w:leader="dot" w:pos="8306"/>
        </w:tabs>
      </w:pPr>
      <w:hyperlink w:anchor="_Toc12664" w:history="1">
        <w:r>
          <w:rPr>
            <w:rFonts w:ascii="仿宋" w:eastAsia="仿宋" w:hAnsi="仿宋" w:cs="仿宋" w:hint="eastAsia"/>
            <w:lang w:eastAsia="zh-CN"/>
          </w:rPr>
          <w:t>九、馏份油中压加氢改质催化剂项目环境影响分析</w:t>
        </w:r>
        <w:r>
          <w:tab/>
        </w:r>
        <w:r>
          <w:fldChar w:fldCharType="begin"/>
        </w:r>
        <w:r>
          <w:instrText xml:space="preserve"> PAGEREF _Toc12664 \h </w:instrText>
        </w:r>
        <w:r>
          <w:fldChar w:fldCharType="separate"/>
        </w:r>
        <w:r>
          <w:t>27</w:t>
        </w:r>
        <w:r>
          <w:fldChar w:fldCharType="end"/>
        </w:r>
      </w:hyperlink>
    </w:p>
    <w:p>
      <w:pPr>
        <w:pStyle w:val="TOC2"/>
        <w:tabs>
          <w:tab w:val="right" w:leader="dot" w:pos="8306"/>
        </w:tabs>
      </w:pPr>
      <w:hyperlink w:anchor="_Toc17089" w:history="1">
        <w:r>
          <w:rPr>
            <w:rFonts w:ascii="仿宋" w:eastAsia="仿宋" w:hAnsi="仿宋" w:cs="仿宋" w:hint="eastAsia"/>
            <w:lang w:eastAsia="zh-CN"/>
          </w:rPr>
          <w:t>(一)、建设区域环境质量现状</w:t>
        </w:r>
        <w:r>
          <w:tab/>
        </w:r>
        <w:r>
          <w:fldChar w:fldCharType="begin"/>
        </w:r>
        <w:r>
          <w:instrText xml:space="preserve"> PAGEREF _Toc17089 \h </w:instrText>
        </w:r>
        <w:r>
          <w:fldChar w:fldCharType="separate"/>
        </w:r>
        <w:r>
          <w:t>27</w:t>
        </w:r>
        <w:r>
          <w:fldChar w:fldCharType="end"/>
        </w:r>
      </w:hyperlink>
    </w:p>
    <w:p>
      <w:pPr>
        <w:pStyle w:val="TOC2"/>
        <w:tabs>
          <w:tab w:val="right" w:leader="dot" w:pos="8306"/>
        </w:tabs>
      </w:pPr>
      <w:hyperlink w:anchor="_Toc4858" w:history="1">
        <w:r>
          <w:rPr>
            <w:rFonts w:ascii="仿宋" w:eastAsia="仿宋" w:hAnsi="仿宋" w:cs="仿宋" w:hint="eastAsia"/>
            <w:lang w:eastAsia="zh-CN"/>
          </w:rPr>
          <w:t>(二)、建设期环境保护</w:t>
        </w:r>
        <w:r>
          <w:tab/>
        </w:r>
        <w:r>
          <w:fldChar w:fldCharType="begin"/>
        </w:r>
        <w:r>
          <w:instrText xml:space="preserve"> PAGEREF _Toc4858 \h </w:instrText>
        </w:r>
        <w:r>
          <w:fldChar w:fldCharType="separate"/>
        </w:r>
        <w:r>
          <w:t>28</w:t>
        </w:r>
        <w:r>
          <w:fldChar w:fldCharType="end"/>
        </w:r>
      </w:hyperlink>
    </w:p>
    <w:p>
      <w:pPr>
        <w:pStyle w:val="TOC2"/>
        <w:tabs>
          <w:tab w:val="right" w:leader="dot" w:pos="8306"/>
        </w:tabs>
      </w:pPr>
      <w:hyperlink w:anchor="_Toc14728" w:history="1">
        <w:r>
          <w:rPr>
            <w:rFonts w:ascii="仿宋" w:eastAsia="仿宋" w:hAnsi="仿宋" w:cs="仿宋" w:hint="eastAsia"/>
            <w:lang w:eastAsia="zh-CN"/>
          </w:rPr>
          <w:t>(三)、运营期环境保护</w:t>
        </w:r>
        <w:r>
          <w:tab/>
        </w:r>
        <w:r>
          <w:fldChar w:fldCharType="begin"/>
        </w:r>
        <w:r>
          <w:instrText xml:space="preserve"> PAGEREF _Toc14728 \h </w:instrText>
        </w:r>
        <w:r>
          <w:fldChar w:fldCharType="separate"/>
        </w:r>
        <w:r>
          <w:t>30</w:t>
        </w:r>
        <w:r>
          <w:fldChar w:fldCharType="end"/>
        </w:r>
      </w:hyperlink>
    </w:p>
    <w:p>
      <w:pPr>
        <w:pStyle w:val="TOC2"/>
        <w:tabs>
          <w:tab w:val="right" w:leader="dot" w:pos="8306"/>
        </w:tabs>
      </w:pPr>
      <w:hyperlink w:anchor="_Toc21985" w:history="1">
        <w:r>
          <w:rPr>
            <w:rFonts w:ascii="仿宋" w:eastAsia="仿宋" w:hAnsi="仿宋" w:cs="仿宋" w:hint="eastAsia"/>
            <w:lang w:eastAsia="zh-CN"/>
          </w:rPr>
          <w:t>(四)、馏份油中压加氢改质催化剂项目建设对区域经济的影响</w:t>
        </w:r>
        <w:r>
          <w:tab/>
        </w:r>
        <w:r>
          <w:fldChar w:fldCharType="begin"/>
        </w:r>
        <w:r>
          <w:instrText xml:space="preserve"> PAGEREF _Toc21985 \h </w:instrText>
        </w:r>
        <w:r>
          <w:fldChar w:fldCharType="separate"/>
        </w:r>
        <w:r>
          <w:t>31</w:t>
        </w:r>
        <w:r>
          <w:fldChar w:fldCharType="end"/>
        </w:r>
      </w:hyperlink>
    </w:p>
    <w:p>
      <w:pPr>
        <w:pStyle w:val="TOC2"/>
        <w:tabs>
          <w:tab w:val="right" w:leader="dot" w:pos="8306"/>
        </w:tabs>
      </w:pPr>
      <w:hyperlink w:anchor="_Toc4027" w:history="1">
        <w:r>
          <w:rPr>
            <w:rFonts w:ascii="仿宋" w:eastAsia="仿宋" w:hAnsi="仿宋" w:cs="仿宋" w:hint="eastAsia"/>
            <w:lang w:eastAsia="zh-CN"/>
          </w:rPr>
          <w:t>(五)、废弃物处理</w:t>
        </w:r>
        <w:r>
          <w:tab/>
        </w:r>
        <w:r>
          <w:fldChar w:fldCharType="begin"/>
        </w:r>
        <w:r>
          <w:instrText xml:space="preserve"> PAGEREF _Toc4027 \h </w:instrText>
        </w:r>
        <w:r>
          <w:fldChar w:fldCharType="separate"/>
        </w:r>
        <w:r>
          <w:t>33</w:t>
        </w:r>
        <w:r>
          <w:fldChar w:fldCharType="end"/>
        </w:r>
      </w:hyperlink>
    </w:p>
    <w:p>
      <w:pPr>
        <w:pStyle w:val="TOC2"/>
        <w:tabs>
          <w:tab w:val="right" w:leader="dot" w:pos="8306"/>
        </w:tabs>
      </w:pPr>
      <w:hyperlink w:anchor="_Toc14503" w:history="1">
        <w:r>
          <w:rPr>
            <w:rFonts w:ascii="仿宋" w:eastAsia="仿宋" w:hAnsi="仿宋" w:cs="仿宋" w:hint="eastAsia"/>
            <w:lang w:eastAsia="zh-CN"/>
          </w:rPr>
          <w:t>(六)、特殊环境影响分析</w:t>
        </w:r>
        <w:r>
          <w:tab/>
        </w:r>
        <w:r>
          <w:fldChar w:fldCharType="begin"/>
        </w:r>
        <w:r>
          <w:instrText xml:space="preserve"> PAGEREF _Toc14503 \h </w:instrText>
        </w:r>
        <w:r>
          <w:fldChar w:fldCharType="separate"/>
        </w:r>
        <w:r>
          <w:t>35</w:t>
        </w:r>
        <w:r>
          <w:fldChar w:fldCharType="end"/>
        </w:r>
      </w:hyperlink>
    </w:p>
    <w:p>
      <w:pPr>
        <w:pStyle w:val="TOC2"/>
        <w:tabs>
          <w:tab w:val="right" w:leader="dot" w:pos="8306"/>
        </w:tabs>
      </w:pPr>
      <w:hyperlink w:anchor="_Toc28899" w:history="1">
        <w:r>
          <w:rPr>
            <w:rFonts w:ascii="仿宋" w:eastAsia="仿宋" w:hAnsi="仿宋" w:cs="仿宋" w:hint="eastAsia"/>
            <w:lang w:eastAsia="zh-CN"/>
          </w:rPr>
          <w:t>(七)、清洁生产</w:t>
        </w:r>
        <w:r>
          <w:tab/>
        </w:r>
        <w:r>
          <w:fldChar w:fldCharType="begin"/>
        </w:r>
        <w:r>
          <w:instrText xml:space="preserve"> PAGEREF _Toc28899 \h </w:instrText>
        </w:r>
        <w:r>
          <w:fldChar w:fldCharType="separate"/>
        </w:r>
        <w:r>
          <w:t>36</w:t>
        </w:r>
        <w:r>
          <w:fldChar w:fldCharType="end"/>
        </w:r>
      </w:hyperlink>
    </w:p>
    <w:p>
      <w:pPr>
        <w:pStyle w:val="TOC2"/>
        <w:tabs>
          <w:tab w:val="right" w:leader="dot" w:pos="8306"/>
        </w:tabs>
      </w:pPr>
      <w:hyperlink w:anchor="_Toc19426" w:history="1">
        <w:r>
          <w:rPr>
            <w:rFonts w:ascii="仿宋" w:eastAsia="仿宋" w:hAnsi="仿宋" w:cs="仿宋" w:hint="eastAsia"/>
            <w:lang w:eastAsia="zh-CN"/>
          </w:rPr>
          <w:t>(八)、环境保护综合评价</w:t>
        </w:r>
        <w:r>
          <w:tab/>
        </w:r>
        <w:r>
          <w:fldChar w:fldCharType="begin"/>
        </w:r>
        <w:r>
          <w:instrText xml:space="preserve"> PAGEREF _Toc19426 \h </w:instrText>
        </w:r>
        <w:r>
          <w:fldChar w:fldCharType="separate"/>
        </w:r>
        <w:r>
          <w:t>37</w:t>
        </w:r>
        <w:r>
          <w:fldChar w:fldCharType="end"/>
        </w:r>
      </w:hyperlink>
    </w:p>
    <w:p>
      <w:pPr>
        <w:pStyle w:val="TOC1"/>
        <w:tabs>
          <w:tab w:val="right" w:leader="dot" w:pos="8306"/>
        </w:tabs>
      </w:pPr>
      <w:hyperlink w:anchor="_Toc6591" w:history="1">
        <w:r>
          <w:rPr>
            <w:rFonts w:ascii="仿宋" w:eastAsia="仿宋" w:hAnsi="仿宋" w:cs="仿宋" w:hint="eastAsia"/>
            <w:lang w:eastAsia="zh-CN"/>
          </w:rPr>
          <w:t>十、馏份油中压加氢改质催化剂项目财务管理</w:t>
        </w:r>
        <w:r>
          <w:tab/>
        </w:r>
        <w:r>
          <w:fldChar w:fldCharType="begin"/>
        </w:r>
        <w:r>
          <w:instrText xml:space="preserve"> PAGEREF _Toc6591 \h </w:instrText>
        </w:r>
        <w:r>
          <w:fldChar w:fldCharType="separate"/>
        </w:r>
        <w:r>
          <w:t>39</w:t>
        </w:r>
        <w:r>
          <w:fldChar w:fldCharType="end"/>
        </w:r>
      </w:hyperlink>
    </w:p>
    <w:p>
      <w:pPr>
        <w:pStyle w:val="TOC2"/>
        <w:tabs>
          <w:tab w:val="right" w:leader="dot" w:pos="8306"/>
        </w:tabs>
      </w:pPr>
      <w:hyperlink w:anchor="_Toc5577" w:history="1">
        <w:r>
          <w:rPr>
            <w:rFonts w:ascii="仿宋" w:eastAsia="仿宋" w:hAnsi="仿宋" w:cs="仿宋" w:hint="eastAsia"/>
            <w:lang w:eastAsia="zh-CN"/>
          </w:rPr>
          <w:t>(一)、资金需求大</w:t>
        </w:r>
        <w:r>
          <w:tab/>
        </w:r>
        <w:r>
          <w:fldChar w:fldCharType="begin"/>
        </w:r>
        <w:r>
          <w:instrText xml:space="preserve"> PAGEREF _Toc5577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10" w:history="1">
        <w:r>
          <w:rPr>
            <w:rFonts w:ascii="仿宋" w:eastAsia="仿宋" w:hAnsi="仿宋" w:cs="仿宋" w:hint="eastAsia"/>
            <w:lang w:eastAsia="zh-CN"/>
          </w:rPr>
          <w:t>(二)、研发周期长</w:t>
        </w:r>
        <w:r>
          <w:tab/>
        </w:r>
        <w:r>
          <w:fldChar w:fldCharType="begin"/>
        </w:r>
        <w:r>
          <w:instrText xml:space="preserve"> PAGEREF _Toc10810 \h </w:instrText>
        </w:r>
        <w:r>
          <w:fldChar w:fldCharType="separate"/>
        </w:r>
        <w:r>
          <w:t>40</w:t>
        </w:r>
        <w:r>
          <w:fldChar w:fldCharType="end"/>
        </w:r>
      </w:hyperlink>
    </w:p>
    <w:p>
      <w:pPr>
        <w:pStyle w:val="TOC2"/>
        <w:tabs>
          <w:tab w:val="right" w:leader="dot" w:pos="8306"/>
        </w:tabs>
      </w:pPr>
      <w:hyperlink w:anchor="_Toc26340" w:history="1">
        <w:r>
          <w:rPr>
            <w:rFonts w:ascii="仿宋" w:eastAsia="仿宋" w:hAnsi="仿宋" w:cs="仿宋" w:hint="eastAsia"/>
            <w:lang w:eastAsia="zh-CN"/>
          </w:rPr>
          <w:t>(三)、市场风险大</w:t>
        </w:r>
        <w:r>
          <w:tab/>
        </w:r>
        <w:r>
          <w:fldChar w:fldCharType="begin"/>
        </w:r>
        <w:r>
          <w:instrText xml:space="preserve"> PAGEREF _Toc26340 \h </w:instrText>
        </w:r>
        <w:r>
          <w:fldChar w:fldCharType="separate"/>
        </w:r>
        <w:r>
          <w:t>41</w:t>
        </w:r>
        <w:r>
          <w:fldChar w:fldCharType="end"/>
        </w:r>
      </w:hyperlink>
    </w:p>
    <w:p>
      <w:pPr>
        <w:pStyle w:val="TOC2"/>
        <w:tabs>
          <w:tab w:val="right" w:leader="dot" w:pos="8306"/>
        </w:tabs>
      </w:pPr>
      <w:hyperlink w:anchor="_Toc18402" w:history="1">
        <w:r>
          <w:rPr>
            <w:rFonts w:ascii="仿宋" w:eastAsia="仿宋" w:hAnsi="仿宋" w:cs="仿宋" w:hint="eastAsia"/>
            <w:lang w:eastAsia="zh-CN"/>
          </w:rPr>
          <w:t>(四)、利润率高</w:t>
        </w:r>
        <w:r>
          <w:tab/>
        </w:r>
        <w:r>
          <w:fldChar w:fldCharType="begin"/>
        </w:r>
        <w:r>
          <w:instrText xml:space="preserve"> PAGEREF _Toc18402 \h </w:instrText>
        </w:r>
        <w:r>
          <w:fldChar w:fldCharType="separate"/>
        </w:r>
        <w:r>
          <w:t>44</w:t>
        </w:r>
        <w:r>
          <w:fldChar w:fldCharType="end"/>
        </w:r>
      </w:hyperlink>
    </w:p>
    <w:p>
      <w:pPr>
        <w:pStyle w:val="TOC1"/>
        <w:tabs>
          <w:tab w:val="right" w:leader="dot" w:pos="8306"/>
        </w:tabs>
      </w:pPr>
      <w:hyperlink w:anchor="_Toc4392" w:history="1">
        <w:r>
          <w:rPr>
            <w:rFonts w:ascii="仿宋" w:eastAsia="仿宋" w:hAnsi="仿宋" w:cs="仿宋" w:hint="eastAsia"/>
            <w:lang w:eastAsia="zh-CN"/>
          </w:rPr>
          <w:t>十一、馏份油中压加氢改质催化剂项目投资规划</w:t>
        </w:r>
        <w:r>
          <w:tab/>
        </w:r>
        <w:r>
          <w:fldChar w:fldCharType="begin"/>
        </w:r>
        <w:r>
          <w:instrText xml:space="preserve"> PAGEREF _Toc4392 \h </w:instrText>
        </w:r>
        <w:r>
          <w:fldChar w:fldCharType="separate"/>
        </w:r>
        <w:r>
          <w:t>46</w:t>
        </w:r>
        <w:r>
          <w:fldChar w:fldCharType="end"/>
        </w:r>
      </w:hyperlink>
    </w:p>
    <w:p>
      <w:pPr>
        <w:pStyle w:val="TOC2"/>
        <w:tabs>
          <w:tab w:val="right" w:leader="dot" w:pos="8306"/>
        </w:tabs>
      </w:pPr>
      <w:hyperlink w:anchor="_Toc7428" w:history="1">
        <w:r>
          <w:rPr>
            <w:rFonts w:ascii="仿宋" w:eastAsia="仿宋" w:hAnsi="仿宋" w:cs="仿宋" w:hint="eastAsia"/>
            <w:lang w:eastAsia="zh-CN"/>
          </w:rPr>
          <w:t>(一)、馏份油中压加氢改质催化剂项目总投资估算</w:t>
        </w:r>
        <w:r>
          <w:tab/>
        </w:r>
        <w:r>
          <w:fldChar w:fldCharType="begin"/>
        </w:r>
        <w:r>
          <w:instrText xml:space="preserve"> PAGEREF _Toc7428 \h </w:instrText>
        </w:r>
        <w:r>
          <w:fldChar w:fldCharType="separate"/>
        </w:r>
        <w:r>
          <w:t>46</w:t>
        </w:r>
        <w:r>
          <w:fldChar w:fldCharType="end"/>
        </w:r>
      </w:hyperlink>
    </w:p>
    <w:p>
      <w:pPr>
        <w:pStyle w:val="TOC2"/>
        <w:tabs>
          <w:tab w:val="right" w:leader="dot" w:pos="8306"/>
        </w:tabs>
      </w:pPr>
      <w:hyperlink w:anchor="_Toc32020" w:history="1">
        <w:r>
          <w:rPr>
            <w:rFonts w:ascii="仿宋" w:eastAsia="仿宋" w:hAnsi="仿宋" w:cs="仿宋" w:hint="eastAsia"/>
            <w:lang w:eastAsia="zh-CN"/>
          </w:rPr>
          <w:t>(二)、资金筹措</w:t>
        </w:r>
        <w:r>
          <w:tab/>
        </w:r>
        <w:r>
          <w:fldChar w:fldCharType="begin"/>
        </w:r>
        <w:r>
          <w:instrText xml:space="preserve"> PAGEREF _Toc32020 \h </w:instrText>
        </w:r>
        <w:r>
          <w:fldChar w:fldCharType="separate"/>
        </w:r>
        <w:r>
          <w:t>48</w:t>
        </w:r>
        <w:r>
          <w:fldChar w:fldCharType="end"/>
        </w:r>
      </w:hyperlink>
    </w:p>
    <w:p>
      <w:pPr>
        <w:pStyle w:val="TOC1"/>
        <w:tabs>
          <w:tab w:val="right" w:leader="dot" w:pos="8306"/>
        </w:tabs>
      </w:pPr>
      <w:hyperlink w:anchor="_Toc25066" w:history="1">
        <w:r>
          <w:rPr>
            <w:rFonts w:ascii="仿宋" w:eastAsia="仿宋" w:hAnsi="仿宋" w:cs="仿宋" w:hint="eastAsia"/>
            <w:lang w:eastAsia="zh-CN"/>
          </w:rPr>
          <w:t>十二、馏份油中压加氢改质催化剂项目计划安排</w:t>
        </w:r>
        <w:r>
          <w:tab/>
        </w:r>
        <w:r>
          <w:fldChar w:fldCharType="begin"/>
        </w:r>
        <w:r>
          <w:instrText xml:space="preserve"> PAGEREF _Toc25066 \h </w:instrText>
        </w:r>
        <w:r>
          <w:fldChar w:fldCharType="separate"/>
        </w:r>
        <w:r>
          <w:t>48</w:t>
        </w:r>
        <w:r>
          <w:fldChar w:fldCharType="end"/>
        </w:r>
      </w:hyperlink>
    </w:p>
    <w:p>
      <w:pPr>
        <w:pStyle w:val="TOC2"/>
        <w:tabs>
          <w:tab w:val="right" w:leader="dot" w:pos="8306"/>
        </w:tabs>
      </w:pPr>
      <w:hyperlink w:anchor="_Toc13445" w:history="1">
        <w:r>
          <w:rPr>
            <w:rFonts w:ascii="仿宋" w:eastAsia="仿宋" w:hAnsi="仿宋" w:cs="仿宋" w:hint="eastAsia"/>
            <w:lang w:eastAsia="zh-CN"/>
          </w:rPr>
          <w:t>(一)、建设周期</w:t>
        </w:r>
        <w:r>
          <w:tab/>
        </w:r>
        <w:r>
          <w:fldChar w:fldCharType="begin"/>
        </w:r>
        <w:r>
          <w:instrText xml:space="preserve"> PAGEREF _Toc13445 \h </w:instrText>
        </w:r>
        <w:r>
          <w:fldChar w:fldCharType="separate"/>
        </w:r>
        <w:r>
          <w:t>48</w:t>
        </w:r>
        <w:r>
          <w:fldChar w:fldCharType="end"/>
        </w:r>
      </w:hyperlink>
    </w:p>
    <w:p>
      <w:pPr>
        <w:pStyle w:val="TOC2"/>
        <w:tabs>
          <w:tab w:val="right" w:leader="dot" w:pos="8306"/>
        </w:tabs>
      </w:pPr>
      <w:hyperlink w:anchor="_Toc18637" w:history="1">
        <w:r>
          <w:rPr>
            <w:rFonts w:ascii="仿宋" w:eastAsia="仿宋" w:hAnsi="仿宋" w:cs="仿宋" w:hint="eastAsia"/>
            <w:lang w:eastAsia="zh-CN"/>
          </w:rPr>
          <w:t>(二)、建设进度</w:t>
        </w:r>
        <w:r>
          <w:tab/>
        </w:r>
        <w:r>
          <w:fldChar w:fldCharType="begin"/>
        </w:r>
        <w:r>
          <w:instrText xml:space="preserve"> PAGEREF _Toc18637 \h </w:instrText>
        </w:r>
        <w:r>
          <w:fldChar w:fldCharType="separate"/>
        </w:r>
        <w:r>
          <w:t>49</w:t>
        </w:r>
        <w:r>
          <w:fldChar w:fldCharType="end"/>
        </w:r>
      </w:hyperlink>
    </w:p>
    <w:p>
      <w:pPr>
        <w:pStyle w:val="TOC2"/>
        <w:tabs>
          <w:tab w:val="right" w:leader="dot" w:pos="8306"/>
        </w:tabs>
      </w:pPr>
      <w:hyperlink w:anchor="_Toc31068" w:history="1">
        <w:r>
          <w:rPr>
            <w:rFonts w:ascii="仿宋" w:eastAsia="仿宋" w:hAnsi="仿宋" w:cs="仿宋" w:hint="eastAsia"/>
            <w:lang w:eastAsia="zh-CN"/>
          </w:rPr>
          <w:t>(三)、进度安排注意事项</w:t>
        </w:r>
        <w:r>
          <w:tab/>
        </w:r>
        <w:r>
          <w:fldChar w:fldCharType="begin"/>
        </w:r>
        <w:r>
          <w:instrText xml:space="preserve"> PAGEREF _Toc31068 \h </w:instrText>
        </w:r>
        <w:r>
          <w:fldChar w:fldCharType="separate"/>
        </w:r>
        <w:r>
          <w:t>50</w:t>
        </w:r>
        <w:r>
          <w:fldChar w:fldCharType="end"/>
        </w:r>
      </w:hyperlink>
    </w:p>
    <w:p>
      <w:pPr>
        <w:pStyle w:val="TOC2"/>
        <w:tabs>
          <w:tab w:val="right" w:leader="dot" w:pos="8306"/>
        </w:tabs>
      </w:pPr>
      <w:hyperlink w:anchor="_Toc10862" w:history="1">
        <w:r>
          <w:rPr>
            <w:rFonts w:ascii="仿宋" w:eastAsia="仿宋" w:hAnsi="仿宋" w:cs="仿宋" w:hint="eastAsia"/>
            <w:lang w:eastAsia="zh-CN"/>
          </w:rPr>
          <w:t>(四)、人力资源配置</w:t>
        </w:r>
        <w:r>
          <w:tab/>
        </w:r>
        <w:r>
          <w:fldChar w:fldCharType="begin"/>
        </w:r>
        <w:r>
          <w:instrText xml:space="preserve"> PAGEREF _Toc10862 \h </w:instrText>
        </w:r>
        <w:r>
          <w:fldChar w:fldCharType="separate"/>
        </w:r>
        <w:r>
          <w:t>52</w:t>
        </w:r>
        <w:r>
          <w:fldChar w:fldCharType="end"/>
        </w:r>
      </w:hyperlink>
    </w:p>
    <w:p>
      <w:pPr>
        <w:pStyle w:val="TOC1"/>
        <w:tabs>
          <w:tab w:val="right" w:leader="dot" w:pos="8306"/>
        </w:tabs>
      </w:pPr>
      <w:hyperlink w:anchor="_Toc28205" w:history="1">
        <w:r>
          <w:rPr>
            <w:rFonts w:ascii="仿宋" w:eastAsia="仿宋" w:hAnsi="仿宋" w:cs="仿宋" w:hint="eastAsia"/>
            <w:lang w:eastAsia="zh-CN"/>
          </w:rPr>
          <w:t>十三、馏份油中压加氢改质催化剂项目实施时间节点</w:t>
        </w:r>
        <w:r>
          <w:tab/>
        </w:r>
        <w:r>
          <w:fldChar w:fldCharType="begin"/>
        </w:r>
        <w:r>
          <w:instrText xml:space="preserve"> PAGEREF _Toc28205 \h </w:instrText>
        </w:r>
        <w:r>
          <w:fldChar w:fldCharType="separate"/>
        </w:r>
        <w:r>
          <w:t>53</w:t>
        </w:r>
        <w:r>
          <w:fldChar w:fldCharType="end"/>
        </w:r>
      </w:hyperlink>
    </w:p>
    <w:p>
      <w:pPr>
        <w:pStyle w:val="TOC2"/>
        <w:tabs>
          <w:tab w:val="right" w:leader="dot" w:pos="8306"/>
        </w:tabs>
      </w:pPr>
      <w:hyperlink w:anchor="_Toc125" w:history="1">
        <w:r>
          <w:rPr>
            <w:rFonts w:ascii="仿宋" w:eastAsia="仿宋" w:hAnsi="仿宋" w:cs="仿宋" w:hint="eastAsia"/>
            <w:lang w:eastAsia="zh-CN"/>
          </w:rPr>
          <w:t>(一)、馏份油中压加氢改质催化剂项目启动阶段时间节点</w:t>
        </w:r>
        <w:r>
          <w:tab/>
        </w:r>
        <w:r>
          <w:fldChar w:fldCharType="begin"/>
        </w:r>
        <w:r>
          <w:instrText xml:space="preserve"> PAGEREF _Toc125 \h </w:instrText>
        </w:r>
        <w:r>
          <w:fldChar w:fldCharType="separate"/>
        </w:r>
        <w:r>
          <w:t>53</w:t>
        </w:r>
        <w:r>
          <w:fldChar w:fldCharType="end"/>
        </w:r>
      </w:hyperlink>
    </w:p>
    <w:p>
      <w:pPr>
        <w:pStyle w:val="TOC2"/>
        <w:tabs>
          <w:tab w:val="right" w:leader="dot" w:pos="8306"/>
        </w:tabs>
      </w:pPr>
      <w:hyperlink w:anchor="_Toc18833" w:history="1">
        <w:r>
          <w:rPr>
            <w:rFonts w:ascii="仿宋" w:eastAsia="仿宋" w:hAnsi="仿宋" w:cs="仿宋" w:hint="eastAsia"/>
            <w:lang w:eastAsia="zh-CN"/>
          </w:rPr>
          <w:t>(二)、馏份油中压加氢改质催化剂项目执行阶段时间节点</w:t>
        </w:r>
        <w:r>
          <w:tab/>
        </w:r>
        <w:r>
          <w:fldChar w:fldCharType="begin"/>
        </w:r>
        <w:r>
          <w:instrText xml:space="preserve"> PAGEREF _Toc18833 \h </w:instrText>
        </w:r>
        <w:r>
          <w:fldChar w:fldCharType="separate"/>
        </w:r>
        <w:r>
          <w:t>54</w:t>
        </w:r>
        <w:r>
          <w:fldChar w:fldCharType="end"/>
        </w:r>
      </w:hyperlink>
    </w:p>
    <w:p>
      <w:pPr>
        <w:pStyle w:val="TOC2"/>
        <w:tabs>
          <w:tab w:val="right" w:leader="dot" w:pos="8306"/>
        </w:tabs>
      </w:pPr>
      <w:hyperlink w:anchor="_Toc25656" w:history="1">
        <w:r>
          <w:rPr>
            <w:rFonts w:ascii="仿宋" w:eastAsia="仿宋" w:hAnsi="仿宋" w:cs="仿宋" w:hint="eastAsia"/>
            <w:lang w:eastAsia="zh-CN"/>
          </w:rPr>
          <w:t>(三)、馏份油中压加氢改质催化剂项目完成阶段时间节点</w:t>
        </w:r>
        <w:r>
          <w:tab/>
        </w:r>
        <w:r>
          <w:fldChar w:fldCharType="begin"/>
        </w:r>
        <w:r>
          <w:instrText xml:space="preserve"> PAGEREF _Toc25656 \h </w:instrText>
        </w:r>
        <w:r>
          <w:fldChar w:fldCharType="separate"/>
        </w:r>
        <w:r>
          <w:t>56</w:t>
        </w:r>
        <w:r>
          <w:fldChar w:fldCharType="end"/>
        </w:r>
      </w:hyperlink>
    </w:p>
    <w:p>
      <w:pPr>
        <w:pStyle w:val="TOC1"/>
        <w:tabs>
          <w:tab w:val="right" w:leader="dot" w:pos="8306"/>
        </w:tabs>
      </w:pPr>
      <w:hyperlink w:anchor="_Toc4302" w:history="1">
        <w:r>
          <w:rPr>
            <w:rFonts w:ascii="仿宋" w:eastAsia="仿宋" w:hAnsi="仿宋" w:cs="仿宋" w:hint="eastAsia"/>
            <w:lang w:eastAsia="zh-CN"/>
          </w:rPr>
          <w:t>十四、馏份油中压加氢改质催化剂项目工程方案分析</w:t>
        </w:r>
        <w:r>
          <w:tab/>
        </w:r>
        <w:r>
          <w:fldChar w:fldCharType="begin"/>
        </w:r>
        <w:r>
          <w:instrText xml:space="preserve"> PAGEREF _Toc4302 \h </w:instrText>
        </w:r>
        <w:r>
          <w:fldChar w:fldCharType="separate"/>
        </w:r>
        <w:r>
          <w:t>57</w:t>
        </w:r>
        <w:r>
          <w:fldChar w:fldCharType="end"/>
        </w:r>
      </w:hyperlink>
    </w:p>
    <w:p>
      <w:pPr>
        <w:pStyle w:val="TOC2"/>
        <w:tabs>
          <w:tab w:val="right" w:leader="dot" w:pos="8306"/>
        </w:tabs>
      </w:pPr>
      <w:hyperlink w:anchor="_Toc15069" w:history="1">
        <w:r>
          <w:rPr>
            <w:rFonts w:ascii="仿宋" w:eastAsia="仿宋" w:hAnsi="仿宋" w:cs="仿宋" w:hint="eastAsia"/>
            <w:lang w:eastAsia="zh-CN"/>
          </w:rPr>
          <w:t>(一)、建筑工程设计原则</w:t>
        </w:r>
        <w:r>
          <w:tab/>
        </w:r>
        <w:r>
          <w:fldChar w:fldCharType="begin"/>
        </w:r>
        <w:r>
          <w:instrText xml:space="preserve"> PAGEREF _Toc15069 \h </w:instrText>
        </w:r>
        <w:r>
          <w:fldChar w:fldCharType="separate"/>
        </w:r>
        <w:r>
          <w:t>57</w:t>
        </w:r>
        <w:r>
          <w:fldChar w:fldCharType="end"/>
        </w:r>
      </w:hyperlink>
    </w:p>
    <w:p>
      <w:pPr>
        <w:pStyle w:val="TOC2"/>
        <w:tabs>
          <w:tab w:val="right" w:leader="dot" w:pos="8306"/>
        </w:tabs>
      </w:pPr>
      <w:hyperlink w:anchor="_Toc31982" w:history="1">
        <w:r>
          <w:rPr>
            <w:rFonts w:ascii="仿宋" w:eastAsia="仿宋" w:hAnsi="仿宋" w:cs="仿宋" w:hint="eastAsia"/>
            <w:lang w:eastAsia="zh-CN"/>
          </w:rPr>
          <w:t>(二)、土建工程建设指标</w:t>
        </w:r>
        <w:r>
          <w:tab/>
        </w:r>
        <w:r>
          <w:fldChar w:fldCharType="begin"/>
        </w:r>
        <w:r>
          <w:instrText xml:space="preserve"> PAGEREF _Toc31982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90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131"/>
      <w:r>
        <w:rPr>
          <w:rFonts w:ascii="仿宋" w:eastAsia="仿宋" w:hAnsi="仿宋" w:cs="仿宋" w:hint="eastAsia"/>
          <w:sz w:val="28"/>
          <w:lang w:eastAsia="zh-CN"/>
        </w:rPr>
        <w:t>一、馏份油中压加氢改质催化剂项目可持续发展</w:t>
      </w:r>
      <w:bookmarkEnd w:id="2"/>
    </w:p>
    <w:p>
      <w:pPr>
        <w:pStyle w:val="Heading2"/>
        <w:rPr>
          <w:rFonts w:ascii="仿宋" w:eastAsia="仿宋" w:hAnsi="仿宋" w:cs="仿宋" w:hint="eastAsia"/>
          <w:lang w:eastAsia="zh-CN"/>
        </w:rPr>
      </w:pPr>
      <w:bookmarkStart w:id="3" w:name="_Toc18531"/>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馏份油中压加氢改质催化剂项目中，馏份油中压加氢改质催化剂项目团队着眼于未来，明确了可持续发展的战略方向。制定的具体可持续发展目标包括降低资源使用、采用环保技术、最大化社会效益等。这一步骤不仅有助于馏份油中压加氢改质催化剂项目在环保和社会责任方面达到最高标准，也为未来提供了明确的指引，确保馏份油中压加氢改质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可持续实践的融入馏份油中压加氢改质催化剂项目管理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馏份油中压加氢改质催化剂项目管理周期。从馏份油中压加氢改质催化剂项目规划开始，馏份油中压加氢改质催化剂项目团队就考虑了环境和社会的因素。在执行阶段，馏份油中压加氢改质催化剂项目团队积极推动绿色技术的应用，优化资源利用。此外，关注员工的社会责任，通过培训和沟通活动提高员工对可持续发展的认知，使他们能够在日常工作中践行可持续实践。这些举措不仅为馏份油中压加氢改质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55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馏份油中压加氢改质催化剂项目的可持续发展理念，我们深信环保与社会责任是馏份油中压加氢改质催化剂项目成功的关键支柱。在馏份油中压加氢改质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团队通过引入先进的环保技术、建立高效的废物处理系统以及推动能源节约措施，积极履行环保责任。定期的环保监测和评估确保馏份油中压加氢改质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不仅致力于自身可持续发展，还注重对社会的回馈。通过支持社区馏份油中压加氢改质催化剂项目、参与慈善事业、提供培训机会等方式，馏份油中压加氢改质催化剂项目积极履行社会责任。与当地社区建立积极互动，关注员工的工作与生活平衡，以及员工的身心健康，是馏份油中压加氢改质催化剂项目在社会责任层面的关键举措。这样的实践不仅增强了馏份油中压加氢改质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05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7723"/>
      <w:r>
        <w:rPr>
          <w:rFonts w:ascii="仿宋" w:eastAsia="仿宋" w:hAnsi="仿宋" w:cs="仿宋" w:hint="eastAsia"/>
          <w:lang w:eastAsia="zh-CN"/>
        </w:rPr>
        <w:t>(一)、馏份油中压加氢改质催化剂行业分析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行业一直以来都是市场的关注焦点。行业内的发展趋势、竞争态势以及潜在机会都对馏份油中压加氢改质催化剂项目的推进产生深远的影响。通过深入研究行业的整体概貌，我们将更好地理解行业的核心特征，为馏份油中压加氢改质催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馏份油中压加氢改质催化剂行业，技术一直是推动创新和发展的关键因素。我们将对当前技术趋势进行详尽分析，包括但不限于人工智能、大数据应用、先进制造技术等。这有助于馏份油中压加氢改质催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馏份油中压加氢改质催化剂项目成功的基础。我们将对主要竞争对手进行深入研究，包括其市场份额、产品特点、市场定位等。通过全面了解竞争对手的优势和劣势，馏份油中压加氢改质催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2175"/>
      <w:r>
        <w:rPr>
          <w:rFonts w:ascii="仿宋" w:eastAsia="仿宋" w:hAnsi="仿宋" w:cs="仿宋" w:hint="eastAsia"/>
          <w:sz w:val="28"/>
          <w:lang w:eastAsia="zh-CN"/>
        </w:rPr>
        <w:t>(二)、馏份油中压加氢改质催化剂市场分析预测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馏份油中压加氢改质催化剂市场未来的增长趋势。这包括市场的整体规模、各细分领域的发展趋势等。馏份油中压加氢改质催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馏份油中压加氢改质催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市场风险是馏份油中压加氢改质催化剂项目实施过程中需要充分考虑的因素。我们将对市场风险进行全面评估，包括但不限于政策法规风险、市场竞争风险、技术变革风险等。通过对潜在风险的深入分析，馏份油中压加氢改质催化剂项目可以制定相应的风险缓解策略，降低不确定性对馏份油中压加氢改质催化剂项目的影响。</w:t>
      </w:r>
    </w:p>
    <w:p>
      <w:pPr>
        <w:pStyle w:val="Heading1"/>
        <w:ind w:firstLine="560" w:firstLineChars="200"/>
        <w:rPr>
          <w:rFonts w:ascii="仿宋" w:eastAsia="仿宋" w:hAnsi="仿宋" w:cs="仿宋" w:hint="eastAsia"/>
          <w:sz w:val="28"/>
          <w:lang w:eastAsia="zh-CN"/>
        </w:rPr>
      </w:pPr>
      <w:bookmarkStart w:id="8" w:name="_Toc12463"/>
      <w:r>
        <w:rPr>
          <w:rFonts w:ascii="仿宋" w:eastAsia="仿宋" w:hAnsi="仿宋" w:cs="仿宋" w:hint="eastAsia"/>
          <w:sz w:val="28"/>
          <w:lang w:eastAsia="zh-CN"/>
        </w:rPr>
        <w:t>三、馏份油中压加氢改质催化剂项目建设单位说明</w:t>
      </w:r>
      <w:bookmarkEnd w:id="8"/>
    </w:p>
    <w:p>
      <w:pPr>
        <w:pStyle w:val="Heading2"/>
        <w:rPr>
          <w:rFonts w:ascii="仿宋" w:eastAsia="仿宋" w:hAnsi="仿宋" w:cs="仿宋" w:hint="eastAsia"/>
          <w:lang w:eastAsia="zh-CN"/>
        </w:rPr>
      </w:pPr>
      <w:bookmarkStart w:id="9" w:name="_Toc8585"/>
      <w:r>
        <w:rPr>
          <w:rFonts w:ascii="仿宋" w:eastAsia="仿宋" w:hAnsi="仿宋" w:cs="仿宋" w:hint="eastAsia"/>
          <w:lang w:eastAsia="zh-CN"/>
        </w:rPr>
        <w:t>(一)、馏份油中压加氢改质催化剂项目承办单位基本情况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313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作为馏份油中压加氢改质催化剂项目承办单位的XXXX，我们着眼于实现可持续的经济效益。通过技术创新和解决方案的提供，公司预计在馏份油中压加氢改质催化剂项目执行期间将获得可观的收入增长。这一收入来源主要包括馏份油中压加氢改质催化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同时，我们注重成本控制和效率提升，以确保馏份油中压加氢改质催化剂项目的可持续盈利。透过精细的管理和资源优化，公司期望实现馏份油中压加氢改质催化剂项目利润最大化。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馏份油中压加氢改质催化剂项目实施进行全面的投资评估，包括馏份油中压加氢改质催化剂项目启动阶段的资金投入和后续运营成本。通过对馏份油中压加氢改质催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馏份油中压加氢改质催化剂项目实施过程中具备足够的资金流动性，公司将进行详尽的现金流分析。这包括资金需求的合理预测、馏份油中压加氢改质催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27834"/>
      <w:r>
        <w:rPr>
          <w:rFonts w:ascii="仿宋" w:eastAsia="仿宋" w:hAnsi="仿宋" w:cs="仿宋" w:hint="eastAsia"/>
          <w:sz w:val="28"/>
          <w:lang w:eastAsia="zh-CN"/>
        </w:rPr>
        <w:t>四、馏份油中压加氢改质催化剂项目绩效评估</w:t>
      </w:r>
      <w:bookmarkEnd w:id="11"/>
    </w:p>
    <w:p>
      <w:pPr>
        <w:pStyle w:val="Heading2"/>
        <w:rPr>
          <w:rFonts w:ascii="仿宋" w:eastAsia="仿宋" w:hAnsi="仿宋" w:cs="仿宋" w:hint="eastAsia"/>
          <w:lang w:eastAsia="zh-CN"/>
        </w:rPr>
      </w:pPr>
      <w:bookmarkStart w:id="12" w:name="_Toc2489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馏份油中压加氢改质催化剂项目中，我们设计了一套全面的绩效评估指标，以确保馏份油中压加氢改质催化剂项目的可控和成功交付。这些指标跨足馏份油中压加氢改质催化剂项目目标、成本、进度和质量等多个维度，为我们提供了全面洞察馏份油中压加氢改质催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目标达成率是我们关注的首要指标。我们设定了明确的目标，并通过定期监测和评估，迅速发现并应对潜在的目标偏差。这为馏份油中压加氢改质催化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成本绩效是另一个核心关注点。通过实际成本与预算成本的对比分析，我们深入了解成本差异的原因，及时调整资源分配，保持馏份油中压加氢改质催化剂项目在经济效益方面的合理水平。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进度作为关键的绩效指标之一，得到了精心的关注。我们制定了详细的馏份油中压加氢改质催化剂项目进度计划，并设立了进度符合度指标，确保实际进度与计划进度保持一致。这使我们能够快速发现和解决潜在的进度问题，保持馏份油中压加氢改质催化剂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馏份油中压加氢改质催化剂项目绩效的不可或缺的一环。我们引入了一系列的质量标准和客户满意度指标，以确保馏份油中压加氢改质催化剂项目交付的成果在质量上达到或超越预期水平。通过持续监测这些指标，我们努力提升馏份油中压加氢改质催化剂项目整体质量水平，为馏份油中压加氢改质催化剂项目的成功交付提供有力保障。通过这些科学且全面的绩效评估，我们能够更好地引导馏份油中压加氢改质催化剂项目的持续改进，确保馏份油中压加氢改质催化剂项目目标的顺利达成。</w:t>
      </w:r>
    </w:p>
    <w:p>
      <w:pPr>
        <w:pStyle w:val="Heading2"/>
        <w:ind w:firstLine="560" w:firstLineChars="200"/>
        <w:rPr>
          <w:rFonts w:ascii="仿宋" w:eastAsia="仿宋" w:hAnsi="仿宋" w:cs="仿宋" w:hint="eastAsia"/>
          <w:sz w:val="28"/>
          <w:lang w:eastAsia="zh-CN"/>
        </w:rPr>
      </w:pPr>
      <w:bookmarkStart w:id="13" w:name="_Toc678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绩效评估是馏份油中压加氢改质催化剂项目中的关键环节，为确保馏份油中压加氢改质催化剂项目达到预期目标，我们采用了多层次、多维度的绩效评估方法。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馏份油中压加氢改质催化剂项目的战略目标对齐，确保每个决策和行动都与馏份油中压加氢改质催化剂项目整体目标保持一致。团队会定期召开战略对齐会议，审视当前工作与馏份油中压加氢改质催化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馏份油中压加氢改质催化剂项目进度、质量、成本和风险等方面。这些指标通过数据收集和分析，为馏份油中压加氢改质催化剂项目管理团队提供了客观的评估依据。例如，我们通过馏份油中压加氢改质催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馏份油中压加氢改质催化剂项目内部，还考虑了馏份油中压加氢改质催化剂项目对外部环境的影响。我们定期进行干系人满意度调查，以了解各利益相关方对馏份油中压加氢改质催化剂项目的期望和满意度，并及时做出调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这种多层次、多角度的绩效评估方法，使得我们能够全面了解馏份油中压加氢改质催化剂项目的运行状态，及时做出调整，确保馏份油中压加氢改质催化剂项目在不断变化的环境中保持稳健前行。</w:t>
      </w:r>
    </w:p>
    <w:p>
      <w:pPr>
        <w:pStyle w:val="Heading2"/>
        <w:ind w:firstLine="560" w:firstLineChars="200"/>
        <w:rPr>
          <w:rFonts w:ascii="仿宋" w:eastAsia="仿宋" w:hAnsi="仿宋" w:cs="仿宋" w:hint="eastAsia"/>
          <w:sz w:val="28"/>
          <w:lang w:eastAsia="zh-CN"/>
        </w:rPr>
      </w:pPr>
      <w:bookmarkStart w:id="14" w:name="_Toc3246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为了确保馏份油中压加氢改质催化剂项目的有效管理和不断优化，我们采用了精心设计的绩效评估周期。这个周期旨在实现灵活、实时和全面的评估，以适应馏份油中压加氢改质催化剂项目执行中的各种挑战。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馏份油中压加氢改质催化剂项目的不同需求，分为短期、中期和长期。短期评估关注每个迭代或工作周期，以及时发现和解决当前任务中的问题。中期评估涵盖几个迭代，深入了解整体馏份油中压加氢改质催化剂项目的趋势和性能。长期评估则着眼于整个馏份油中压加氢改质催化剂项目阶段，确保馏份油中压加氢改质催化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强调实时性的信息反馈，通过采用先进的馏份油中压加氢改质催化剂项目管理工具和协作平台，团队成员能够随时更新和分享馏份油中压加氢改质催化剂项目数据。这种实时性的反馈机制使我们能够及时察觉潜在问题，快速调整，保持馏份油中压加氢改质催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馏份油中压加氢改质催化剂项目的决策制定密不可分。每个周期的馏份油中压加氢改质催化剂项目回顾会议成为集体总结经验、识别问题深层次原因并找到创新解决方案的平台。这种定期的反思与调整机制使馏份油中压加氢改质催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5696"/>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972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馏份油中压加氢改质催化剂项目的技术管理特点体现在其创新导向。通过引入最先进的技术趋势和解决方案，馏份油中压加氢改质催化剂项目致力于提升科技含量、提高质量和效率水平。这意味着我们将采用最新的工具和方法，确保馏份油中压加氢改质催化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馏份油中压加氢改质催化剂项目技术管理的显著特征。通过整合不同领域的技术资源，我们实现了跨学科的协同工作。这有助于优化技术架构，提高整体效能。此外，整合性策略还促进了不同技术团队之间的紧密沟通和高效合作，确保馏份油中压加氢改质催化剂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馏份油中压加氢改质催化剂项目所采用的技术。通过不断优化技术方案，馏份油中压加氢改质催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馏份油中压加氢改质催化剂项目团队将在馏份油中压加氢改质催化剂项目初期识别可能的技术风险，并采取相应的预防和应对措施。通过建立健全的风险评估机制，馏份油中压加氢改质催化剂项目能够在实施过程中及时发现并解决潜在的技术问题，保障馏份油中压加氢改质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馏份油中压加氢改质催化剂项目中，技术将成为馏份油中压加氢改质催化剂项目成功的有力支持。这一深度剖析揭示了技术管理在馏份油中压加氢改质催化剂项目实施中的关键作用，为馏份油中压加氢改质催化剂项目的技术基础奠定了坚实的基础。</w:t>
      </w:r>
    </w:p>
    <w:p>
      <w:pPr>
        <w:pStyle w:val="Heading2"/>
        <w:ind w:firstLine="560" w:firstLineChars="200"/>
        <w:rPr>
          <w:rFonts w:ascii="仿宋" w:eastAsia="仿宋" w:hAnsi="仿宋" w:cs="仿宋" w:hint="eastAsia"/>
          <w:sz w:val="28"/>
          <w:lang w:eastAsia="zh-CN"/>
        </w:rPr>
      </w:pPr>
      <w:bookmarkStart w:id="17" w:name="_Toc23472"/>
      <w:r>
        <w:rPr>
          <w:rFonts w:ascii="仿宋" w:eastAsia="仿宋" w:hAnsi="仿宋" w:cs="仿宋" w:hint="eastAsia"/>
          <w:sz w:val="28"/>
          <w:lang w:eastAsia="zh-CN"/>
        </w:rPr>
        <w:t>(二)、馏份油中压加氢改质催化剂项目工艺技术设计方案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馏份油中压加氢改质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馏份油中压加氢改质催化剂项目将严格按照相关行业规范要求进行组织。通过有效控制产品质量，馏份油中压加氢改质催化剂项目将致力于为顾客提供优质的馏份油中压加氢改质催化剂项目产品和良好的服务。这体现了馏份油中压加氢改质催化剂项目对于生产活动合规性和质量标准的高度重视，为馏份油中压加氢改质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馏份油中压加氢改质催化剂项目注重生态效益和清洁生产原则。馏份油中压加氢改质催化剂项目建设将紧密结合地方特色经济发展，与社会经济发展规划和区域环境保护规划方案相协调一致。通过与当地区域自然生态系统的结合，馏份油中压加氢改质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馏份油中压加氢改质催化剂项目产品具有多样化的客户需求和个性化的特点。因此，馏份油中压加氢改质催化剂项目产品规格品种多样，且单批生产数量较小。为满足这一特点，馏份油中压加氢改质催化剂项目承办单位将建设先进的柔性制造生产线。通过广泛应用柔性制造技术，馏份油中压加氢改质催化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总体而言，馏份油中压加氢改质催化剂项目采用的技术具有较高的技术含量和自动化水平，处于国内先进水平。这一技术选用不仅体现了对生产效率、质量和环境友好性的高标准要求，同时为馏份油中压加氢改质催化剂项目的可持续发展奠定了坚实的基础。</w:t>
      </w:r>
    </w:p>
    <w:p>
      <w:pPr>
        <w:pStyle w:val="Heading2"/>
        <w:ind w:firstLine="560" w:firstLineChars="200"/>
        <w:rPr>
          <w:rFonts w:ascii="仿宋" w:eastAsia="仿宋" w:hAnsi="仿宋" w:cs="仿宋" w:hint="eastAsia"/>
          <w:sz w:val="28"/>
          <w:lang w:eastAsia="zh-CN"/>
        </w:rPr>
      </w:pPr>
      <w:bookmarkStart w:id="18" w:name="_Toc615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为确保馏份油中压加氢改质催化剂项目的高效生产和技术实施，我们制定了一套精心设计的设备选型方案，以满足馏份油中压加氢改质催化剂项目生产、质量和环保的要求。该方案的主要特点如下：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馏份油中压加氢改质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馏份油中压加氢改质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9048"/>
      <w:r>
        <w:rPr>
          <w:rFonts w:ascii="仿宋" w:eastAsia="仿宋" w:hAnsi="仿宋" w:cs="仿宋" w:hint="eastAsia"/>
          <w:sz w:val="28"/>
          <w:lang w:eastAsia="zh-CN"/>
        </w:rPr>
        <w:t>六、馏份油中压加氢改质催化剂项目土建工程</w:t>
      </w:r>
      <w:bookmarkEnd w:id="19"/>
    </w:p>
    <w:p>
      <w:pPr>
        <w:pStyle w:val="Heading2"/>
        <w:rPr>
          <w:rFonts w:ascii="仿宋" w:eastAsia="仿宋" w:hAnsi="仿宋" w:cs="仿宋" w:hint="eastAsia"/>
          <w:lang w:eastAsia="zh-CN"/>
        </w:rPr>
      </w:pPr>
      <w:bookmarkStart w:id="20" w:name="_Toc13126"/>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在馏份油中压加氢改质催化剂项目的建筑工程设计中，我们将秉承一系列重要的设计原则，以确保馏份油中压加氢改质催化剂项目建筑在功能、美观、可持续性等方面达到最佳效果。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首要原则是确保建筑的功能性得到最大化的发挥。我们将充分理解馏份油中压加氢改质催化剂项目的实际需求，合理布局各个功能区域，保证建筑在满足业务需求的同时，提供高效的工作环境。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https://d.book118.com/235231113133011122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馏份油中压加氢改质催化剂项目规划设计纲要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F1753C"/>
    <w:rsid w:val="52F175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231113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2024-03-02T07:44:00Z</dcterms:created>
  <dcterms:modified xsi:type="dcterms:W3CDTF">2024-03-02T07:45:03Z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4F78ACDC7DC2427787439637EBE6AE12_11</vt:lpwstr>
  </property>
  <property fmtid="{D5CDD505-2E9C-101B-9397-08002B2CF9AE}" pid="3" name="KSOProductBuildVer">
    <vt:lpwstr>2052-12.1.0.16388</vt:lpwstr>
  </property>
</Properties>
</file>