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超细碳化钨粉及超细晶粒硬质合金项目规划设计方案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497" w:history="1">
        <w:r>
          <w:rPr>
            <w:rFonts w:ascii="仿宋" w:eastAsia="仿宋" w:hAnsi="仿宋" w:cs="仿宋" w:hint="eastAsia"/>
            <w:lang w:eastAsia="zh-CN"/>
          </w:rPr>
          <w:t>前言</w:t>
        </w:r>
        <w:r>
          <w:tab/>
        </w:r>
        <w:r>
          <w:fldChar w:fldCharType="begin"/>
        </w:r>
        <w:r>
          <w:instrText xml:space="preserve"> PAGEREF _Toc6497 \h </w:instrText>
        </w:r>
        <w:r>
          <w:fldChar w:fldCharType="separate"/>
        </w:r>
        <w:r>
          <w:t>3</w:t>
        </w:r>
        <w:r>
          <w:fldChar w:fldCharType="end"/>
        </w:r>
      </w:hyperlink>
    </w:p>
    <w:p>
      <w:pPr>
        <w:pStyle w:val="TOC1"/>
        <w:tabs>
          <w:tab w:val="right" w:leader="dot" w:pos="8306"/>
        </w:tabs>
      </w:pPr>
      <w:hyperlink w:anchor="_Toc1186" w:history="1">
        <w:r>
          <w:rPr>
            <w:rFonts w:ascii="仿宋" w:eastAsia="仿宋" w:hAnsi="仿宋" w:cs="仿宋" w:hint="eastAsia"/>
            <w:lang w:eastAsia="zh-CN"/>
          </w:rPr>
          <w:t>一、超细碳化钨粉及超细晶粒硬质合金项目土建工程</w:t>
        </w:r>
        <w:r>
          <w:tab/>
        </w:r>
        <w:r>
          <w:fldChar w:fldCharType="begin"/>
        </w:r>
        <w:r>
          <w:instrText xml:space="preserve"> PAGEREF _Toc1186 \h </w:instrText>
        </w:r>
        <w:r>
          <w:fldChar w:fldCharType="separate"/>
        </w:r>
        <w:r>
          <w:t>3</w:t>
        </w:r>
        <w:r>
          <w:fldChar w:fldCharType="end"/>
        </w:r>
      </w:hyperlink>
    </w:p>
    <w:p>
      <w:pPr>
        <w:pStyle w:val="TOC2"/>
        <w:tabs>
          <w:tab w:val="right" w:leader="dot" w:pos="8306"/>
        </w:tabs>
      </w:pPr>
      <w:hyperlink w:anchor="_Toc5878" w:history="1">
        <w:r>
          <w:rPr>
            <w:rFonts w:ascii="仿宋" w:eastAsia="仿宋" w:hAnsi="仿宋" w:cs="仿宋" w:hint="eastAsia"/>
            <w:lang w:eastAsia="zh-CN"/>
          </w:rPr>
          <w:t>(一)、建筑工程设计原则</w:t>
        </w:r>
        <w:r>
          <w:tab/>
        </w:r>
        <w:r>
          <w:fldChar w:fldCharType="begin"/>
        </w:r>
        <w:r>
          <w:instrText xml:space="preserve"> PAGEREF _Toc5878 \h </w:instrText>
        </w:r>
        <w:r>
          <w:fldChar w:fldCharType="separate"/>
        </w:r>
        <w:r>
          <w:t>3</w:t>
        </w:r>
        <w:r>
          <w:fldChar w:fldCharType="end"/>
        </w:r>
      </w:hyperlink>
    </w:p>
    <w:p>
      <w:pPr>
        <w:pStyle w:val="TOC2"/>
        <w:tabs>
          <w:tab w:val="right" w:leader="dot" w:pos="8306"/>
        </w:tabs>
      </w:pPr>
      <w:hyperlink w:anchor="_Toc28006" w:history="1">
        <w:r>
          <w:rPr>
            <w:rFonts w:ascii="仿宋" w:eastAsia="仿宋" w:hAnsi="仿宋" w:cs="仿宋" w:hint="eastAsia"/>
            <w:lang w:eastAsia="zh-CN"/>
          </w:rPr>
          <w:t>(二)、土建工程设计年限及安全等级</w:t>
        </w:r>
        <w:r>
          <w:tab/>
        </w:r>
        <w:r>
          <w:fldChar w:fldCharType="begin"/>
        </w:r>
        <w:r>
          <w:instrText xml:space="preserve"> PAGEREF _Toc28006 \h </w:instrText>
        </w:r>
        <w:r>
          <w:fldChar w:fldCharType="separate"/>
        </w:r>
        <w:r>
          <w:t>4</w:t>
        </w:r>
        <w:r>
          <w:fldChar w:fldCharType="end"/>
        </w:r>
      </w:hyperlink>
    </w:p>
    <w:p>
      <w:pPr>
        <w:pStyle w:val="TOC2"/>
        <w:tabs>
          <w:tab w:val="right" w:leader="dot" w:pos="8306"/>
        </w:tabs>
      </w:pPr>
      <w:hyperlink w:anchor="_Toc25794" w:history="1">
        <w:r>
          <w:rPr>
            <w:rFonts w:ascii="仿宋" w:eastAsia="仿宋" w:hAnsi="仿宋" w:cs="仿宋" w:hint="eastAsia"/>
            <w:lang w:eastAsia="zh-CN"/>
          </w:rPr>
          <w:t>(三)、建筑工程设计总体要求</w:t>
        </w:r>
        <w:r>
          <w:tab/>
        </w:r>
        <w:r>
          <w:fldChar w:fldCharType="begin"/>
        </w:r>
        <w:r>
          <w:instrText xml:space="preserve"> PAGEREF _Toc25794 \h </w:instrText>
        </w:r>
        <w:r>
          <w:fldChar w:fldCharType="separate"/>
        </w:r>
        <w:r>
          <w:t>6</w:t>
        </w:r>
        <w:r>
          <w:fldChar w:fldCharType="end"/>
        </w:r>
      </w:hyperlink>
    </w:p>
    <w:p>
      <w:pPr>
        <w:pStyle w:val="TOC2"/>
        <w:tabs>
          <w:tab w:val="right" w:leader="dot" w:pos="8306"/>
        </w:tabs>
      </w:pPr>
      <w:hyperlink w:anchor="_Toc26072" w:history="1">
        <w:r>
          <w:rPr>
            <w:rFonts w:ascii="仿宋" w:eastAsia="仿宋" w:hAnsi="仿宋" w:cs="仿宋" w:hint="eastAsia"/>
            <w:lang w:eastAsia="zh-CN"/>
          </w:rPr>
          <w:t>(四)、土建工程建设指标</w:t>
        </w:r>
        <w:r>
          <w:tab/>
        </w:r>
        <w:r>
          <w:fldChar w:fldCharType="begin"/>
        </w:r>
        <w:r>
          <w:instrText xml:space="preserve"> PAGEREF _Toc26072 \h </w:instrText>
        </w:r>
        <w:r>
          <w:fldChar w:fldCharType="separate"/>
        </w:r>
        <w:r>
          <w:t>6</w:t>
        </w:r>
        <w:r>
          <w:fldChar w:fldCharType="end"/>
        </w:r>
      </w:hyperlink>
    </w:p>
    <w:p>
      <w:pPr>
        <w:pStyle w:val="TOC1"/>
        <w:tabs>
          <w:tab w:val="right" w:leader="dot" w:pos="8306"/>
        </w:tabs>
      </w:pPr>
      <w:hyperlink w:anchor="_Toc26500" w:history="1">
        <w:r>
          <w:rPr>
            <w:rFonts w:ascii="仿宋" w:eastAsia="仿宋" w:hAnsi="仿宋" w:cs="仿宋" w:hint="eastAsia"/>
            <w:lang w:eastAsia="zh-CN"/>
          </w:rPr>
          <w:t>二、产品规划分析</w:t>
        </w:r>
        <w:r>
          <w:tab/>
        </w:r>
        <w:r>
          <w:fldChar w:fldCharType="begin"/>
        </w:r>
        <w:r>
          <w:instrText xml:space="preserve"> PAGEREF _Toc26500 \h </w:instrText>
        </w:r>
        <w:r>
          <w:fldChar w:fldCharType="separate"/>
        </w:r>
        <w:r>
          <w:t>7</w:t>
        </w:r>
        <w:r>
          <w:fldChar w:fldCharType="end"/>
        </w:r>
      </w:hyperlink>
    </w:p>
    <w:p>
      <w:pPr>
        <w:pStyle w:val="TOC2"/>
        <w:tabs>
          <w:tab w:val="right" w:leader="dot" w:pos="8306"/>
        </w:tabs>
      </w:pPr>
      <w:hyperlink w:anchor="_Toc25707" w:history="1">
        <w:r>
          <w:rPr>
            <w:rFonts w:ascii="仿宋" w:eastAsia="仿宋" w:hAnsi="仿宋" w:cs="仿宋" w:hint="eastAsia"/>
            <w:lang w:eastAsia="zh-CN"/>
          </w:rPr>
          <w:t>(一)、产品规划</w:t>
        </w:r>
        <w:r>
          <w:tab/>
        </w:r>
        <w:r>
          <w:fldChar w:fldCharType="begin"/>
        </w:r>
        <w:r>
          <w:instrText xml:space="preserve"> PAGEREF _Toc25707 \h </w:instrText>
        </w:r>
        <w:r>
          <w:fldChar w:fldCharType="separate"/>
        </w:r>
        <w:r>
          <w:t>7</w:t>
        </w:r>
        <w:r>
          <w:fldChar w:fldCharType="end"/>
        </w:r>
      </w:hyperlink>
    </w:p>
    <w:p>
      <w:pPr>
        <w:pStyle w:val="TOC2"/>
        <w:tabs>
          <w:tab w:val="right" w:leader="dot" w:pos="8306"/>
        </w:tabs>
      </w:pPr>
      <w:hyperlink w:anchor="_Toc30180" w:history="1">
        <w:r>
          <w:rPr>
            <w:rFonts w:ascii="仿宋" w:eastAsia="仿宋" w:hAnsi="仿宋" w:cs="仿宋" w:hint="eastAsia"/>
            <w:lang w:eastAsia="zh-CN"/>
          </w:rPr>
          <w:t>(二)、建设规模</w:t>
        </w:r>
        <w:r>
          <w:tab/>
        </w:r>
        <w:r>
          <w:fldChar w:fldCharType="begin"/>
        </w:r>
        <w:r>
          <w:instrText xml:space="preserve"> PAGEREF _Toc30180 \h </w:instrText>
        </w:r>
        <w:r>
          <w:fldChar w:fldCharType="separate"/>
        </w:r>
        <w:r>
          <w:t>8</w:t>
        </w:r>
        <w:r>
          <w:fldChar w:fldCharType="end"/>
        </w:r>
      </w:hyperlink>
    </w:p>
    <w:p>
      <w:pPr>
        <w:pStyle w:val="TOC1"/>
        <w:tabs>
          <w:tab w:val="right" w:leader="dot" w:pos="8306"/>
        </w:tabs>
      </w:pPr>
      <w:hyperlink w:anchor="_Toc16155" w:history="1">
        <w:r>
          <w:rPr>
            <w:rFonts w:ascii="仿宋" w:eastAsia="仿宋" w:hAnsi="仿宋" w:cs="仿宋" w:hint="eastAsia"/>
            <w:lang w:eastAsia="zh-CN"/>
          </w:rPr>
          <w:t>三、市场分析、调研</w:t>
        </w:r>
        <w:r>
          <w:tab/>
        </w:r>
        <w:r>
          <w:fldChar w:fldCharType="begin"/>
        </w:r>
        <w:r>
          <w:instrText xml:space="preserve"> PAGEREF _Toc16155 \h </w:instrText>
        </w:r>
        <w:r>
          <w:fldChar w:fldCharType="separate"/>
        </w:r>
        <w:r>
          <w:t>9</w:t>
        </w:r>
        <w:r>
          <w:fldChar w:fldCharType="end"/>
        </w:r>
      </w:hyperlink>
    </w:p>
    <w:p>
      <w:pPr>
        <w:pStyle w:val="TOC2"/>
        <w:tabs>
          <w:tab w:val="right" w:leader="dot" w:pos="8306"/>
        </w:tabs>
      </w:pPr>
      <w:hyperlink w:anchor="_Toc26627" w:history="1">
        <w:r>
          <w:rPr>
            <w:rFonts w:ascii="仿宋" w:eastAsia="仿宋" w:hAnsi="仿宋" w:cs="仿宋" w:hint="eastAsia"/>
            <w:lang w:eastAsia="zh-CN"/>
          </w:rPr>
          <w:t>(一)、超细碳化钨粉及超细晶粒硬质合金行业分析</w:t>
        </w:r>
        <w:r>
          <w:tab/>
        </w:r>
        <w:r>
          <w:fldChar w:fldCharType="begin"/>
        </w:r>
        <w:r>
          <w:instrText xml:space="preserve"> PAGEREF _Toc26627 \h </w:instrText>
        </w:r>
        <w:r>
          <w:fldChar w:fldCharType="separate"/>
        </w:r>
        <w:r>
          <w:t>9</w:t>
        </w:r>
        <w:r>
          <w:fldChar w:fldCharType="end"/>
        </w:r>
      </w:hyperlink>
    </w:p>
    <w:p>
      <w:pPr>
        <w:pStyle w:val="TOC2"/>
        <w:tabs>
          <w:tab w:val="right" w:leader="dot" w:pos="8306"/>
        </w:tabs>
      </w:pPr>
      <w:hyperlink w:anchor="_Toc10066" w:history="1">
        <w:r>
          <w:rPr>
            <w:rFonts w:ascii="仿宋" w:eastAsia="仿宋" w:hAnsi="仿宋" w:cs="仿宋" w:hint="eastAsia"/>
            <w:lang w:eastAsia="zh-CN"/>
          </w:rPr>
          <w:t>(二)、超细碳化钨粉及超细晶粒硬质合金市场分析预测</w:t>
        </w:r>
        <w:r>
          <w:tab/>
        </w:r>
        <w:r>
          <w:fldChar w:fldCharType="begin"/>
        </w:r>
        <w:r>
          <w:instrText xml:space="preserve"> PAGEREF _Toc10066 \h </w:instrText>
        </w:r>
        <w:r>
          <w:fldChar w:fldCharType="separate"/>
        </w:r>
        <w:r>
          <w:t>10</w:t>
        </w:r>
        <w:r>
          <w:fldChar w:fldCharType="end"/>
        </w:r>
      </w:hyperlink>
    </w:p>
    <w:p>
      <w:pPr>
        <w:pStyle w:val="TOC1"/>
        <w:tabs>
          <w:tab w:val="right" w:leader="dot" w:pos="8306"/>
        </w:tabs>
      </w:pPr>
      <w:hyperlink w:anchor="_Toc9284" w:history="1">
        <w:r>
          <w:rPr>
            <w:rFonts w:ascii="仿宋" w:eastAsia="仿宋" w:hAnsi="仿宋" w:cs="仿宋" w:hint="eastAsia"/>
            <w:lang w:eastAsia="zh-CN"/>
          </w:rPr>
          <w:t>四、超细碳化钨粉及超细晶粒硬质合金项目选址可行性分析</w:t>
        </w:r>
        <w:r>
          <w:tab/>
        </w:r>
        <w:r>
          <w:fldChar w:fldCharType="begin"/>
        </w:r>
        <w:r>
          <w:instrText xml:space="preserve"> PAGEREF _Toc9284 \h </w:instrText>
        </w:r>
        <w:r>
          <w:fldChar w:fldCharType="separate"/>
        </w:r>
        <w:r>
          <w:t>11</w:t>
        </w:r>
        <w:r>
          <w:fldChar w:fldCharType="end"/>
        </w:r>
      </w:hyperlink>
    </w:p>
    <w:p>
      <w:pPr>
        <w:pStyle w:val="TOC2"/>
        <w:tabs>
          <w:tab w:val="right" w:leader="dot" w:pos="8306"/>
        </w:tabs>
      </w:pPr>
      <w:hyperlink w:anchor="_Toc512" w:history="1">
        <w:r>
          <w:rPr>
            <w:rFonts w:ascii="仿宋" w:eastAsia="仿宋" w:hAnsi="仿宋" w:cs="仿宋" w:hint="eastAsia"/>
            <w:lang w:eastAsia="zh-CN"/>
          </w:rPr>
          <w:t>(一)、超细碳化钨粉及超细晶粒硬质合金项目选址</w:t>
        </w:r>
        <w:r>
          <w:tab/>
        </w:r>
        <w:r>
          <w:fldChar w:fldCharType="begin"/>
        </w:r>
        <w:r>
          <w:instrText xml:space="preserve"> PAGEREF _Toc512 \h </w:instrText>
        </w:r>
        <w:r>
          <w:fldChar w:fldCharType="separate"/>
        </w:r>
        <w:r>
          <w:t>11</w:t>
        </w:r>
        <w:r>
          <w:fldChar w:fldCharType="end"/>
        </w:r>
      </w:hyperlink>
    </w:p>
    <w:p>
      <w:pPr>
        <w:pStyle w:val="TOC2"/>
        <w:tabs>
          <w:tab w:val="right" w:leader="dot" w:pos="8306"/>
        </w:tabs>
      </w:pPr>
      <w:hyperlink w:anchor="_Toc7048" w:history="1">
        <w:r>
          <w:rPr>
            <w:rFonts w:ascii="仿宋" w:eastAsia="仿宋" w:hAnsi="仿宋" w:cs="仿宋" w:hint="eastAsia"/>
            <w:lang w:eastAsia="zh-CN"/>
          </w:rPr>
          <w:t>(二)、用地控制指标</w:t>
        </w:r>
        <w:r>
          <w:tab/>
        </w:r>
        <w:r>
          <w:fldChar w:fldCharType="begin"/>
        </w:r>
        <w:r>
          <w:instrText xml:space="preserve"> PAGEREF _Toc7048 \h </w:instrText>
        </w:r>
        <w:r>
          <w:fldChar w:fldCharType="separate"/>
        </w:r>
        <w:r>
          <w:t>11</w:t>
        </w:r>
        <w:r>
          <w:fldChar w:fldCharType="end"/>
        </w:r>
      </w:hyperlink>
    </w:p>
    <w:p>
      <w:pPr>
        <w:pStyle w:val="TOC2"/>
        <w:tabs>
          <w:tab w:val="right" w:leader="dot" w:pos="8306"/>
        </w:tabs>
      </w:pPr>
      <w:hyperlink w:anchor="_Toc25963" w:history="1">
        <w:r>
          <w:rPr>
            <w:rFonts w:ascii="仿宋" w:eastAsia="仿宋" w:hAnsi="仿宋" w:cs="仿宋" w:hint="eastAsia"/>
            <w:lang w:eastAsia="zh-CN"/>
          </w:rPr>
          <w:t>(三)、节约用地措施</w:t>
        </w:r>
        <w:r>
          <w:tab/>
        </w:r>
        <w:r>
          <w:fldChar w:fldCharType="begin"/>
        </w:r>
        <w:r>
          <w:instrText xml:space="preserve"> PAGEREF _Toc25963 \h </w:instrText>
        </w:r>
        <w:r>
          <w:fldChar w:fldCharType="separate"/>
        </w:r>
        <w:r>
          <w:t>13</w:t>
        </w:r>
        <w:r>
          <w:fldChar w:fldCharType="end"/>
        </w:r>
      </w:hyperlink>
    </w:p>
    <w:p>
      <w:pPr>
        <w:pStyle w:val="TOC2"/>
        <w:tabs>
          <w:tab w:val="right" w:leader="dot" w:pos="8306"/>
        </w:tabs>
      </w:pPr>
      <w:hyperlink w:anchor="_Toc30783" w:history="1">
        <w:r>
          <w:rPr>
            <w:rFonts w:ascii="仿宋" w:eastAsia="仿宋" w:hAnsi="仿宋" w:cs="仿宋" w:hint="eastAsia"/>
            <w:lang w:eastAsia="zh-CN"/>
          </w:rPr>
          <w:t>(四)、总图布置方案</w:t>
        </w:r>
        <w:r>
          <w:tab/>
        </w:r>
        <w:r>
          <w:fldChar w:fldCharType="begin"/>
        </w:r>
        <w:r>
          <w:instrText xml:space="preserve"> PAGEREF _Toc30783 \h </w:instrText>
        </w:r>
        <w:r>
          <w:fldChar w:fldCharType="separate"/>
        </w:r>
        <w:r>
          <w:t>14</w:t>
        </w:r>
        <w:r>
          <w:fldChar w:fldCharType="end"/>
        </w:r>
      </w:hyperlink>
    </w:p>
    <w:p>
      <w:pPr>
        <w:pStyle w:val="TOC2"/>
        <w:tabs>
          <w:tab w:val="right" w:leader="dot" w:pos="8306"/>
        </w:tabs>
      </w:pPr>
      <w:hyperlink w:anchor="_Toc4737" w:history="1">
        <w:r>
          <w:rPr>
            <w:rFonts w:ascii="仿宋" w:eastAsia="仿宋" w:hAnsi="仿宋" w:cs="仿宋" w:hint="eastAsia"/>
            <w:lang w:eastAsia="zh-CN"/>
          </w:rPr>
          <w:t>(五)、选址综合评价</w:t>
        </w:r>
        <w:r>
          <w:tab/>
        </w:r>
        <w:r>
          <w:fldChar w:fldCharType="begin"/>
        </w:r>
        <w:r>
          <w:instrText xml:space="preserve"> PAGEREF _Toc4737 \h </w:instrText>
        </w:r>
        <w:r>
          <w:fldChar w:fldCharType="separate"/>
        </w:r>
        <w:r>
          <w:t>15</w:t>
        </w:r>
        <w:r>
          <w:fldChar w:fldCharType="end"/>
        </w:r>
      </w:hyperlink>
    </w:p>
    <w:p>
      <w:pPr>
        <w:pStyle w:val="TOC1"/>
        <w:tabs>
          <w:tab w:val="right" w:leader="dot" w:pos="8306"/>
        </w:tabs>
      </w:pPr>
      <w:hyperlink w:anchor="_Toc7920" w:history="1">
        <w:r>
          <w:rPr>
            <w:rFonts w:ascii="仿宋" w:eastAsia="仿宋" w:hAnsi="仿宋" w:cs="仿宋" w:hint="eastAsia"/>
            <w:lang w:eastAsia="zh-CN"/>
          </w:rPr>
          <w:t>五、超细碳化钨粉及超细晶粒硬质合金项目建设单位说明</w:t>
        </w:r>
        <w:r>
          <w:tab/>
        </w:r>
        <w:r>
          <w:fldChar w:fldCharType="begin"/>
        </w:r>
        <w:r>
          <w:instrText xml:space="preserve"> PAGEREF _Toc7920 \h </w:instrText>
        </w:r>
        <w:r>
          <w:fldChar w:fldCharType="separate"/>
        </w:r>
        <w:r>
          <w:t>17</w:t>
        </w:r>
        <w:r>
          <w:fldChar w:fldCharType="end"/>
        </w:r>
      </w:hyperlink>
    </w:p>
    <w:p>
      <w:pPr>
        <w:pStyle w:val="TOC2"/>
        <w:tabs>
          <w:tab w:val="right" w:leader="dot" w:pos="8306"/>
        </w:tabs>
      </w:pPr>
      <w:hyperlink w:anchor="_Toc11697" w:history="1">
        <w:r>
          <w:rPr>
            <w:rFonts w:ascii="仿宋" w:eastAsia="仿宋" w:hAnsi="仿宋" w:cs="仿宋" w:hint="eastAsia"/>
            <w:lang w:eastAsia="zh-CN"/>
          </w:rPr>
          <w:t>(一)、超细碳化钨粉及超细晶粒硬质合金项目承办单位基本情况</w:t>
        </w:r>
        <w:r>
          <w:tab/>
        </w:r>
        <w:r>
          <w:fldChar w:fldCharType="begin"/>
        </w:r>
        <w:r>
          <w:instrText xml:space="preserve"> PAGEREF _Toc11697 \h </w:instrText>
        </w:r>
        <w:r>
          <w:fldChar w:fldCharType="separate"/>
        </w:r>
        <w:r>
          <w:t>17</w:t>
        </w:r>
        <w:r>
          <w:fldChar w:fldCharType="end"/>
        </w:r>
      </w:hyperlink>
    </w:p>
    <w:p>
      <w:pPr>
        <w:pStyle w:val="TOC2"/>
        <w:tabs>
          <w:tab w:val="right" w:leader="dot" w:pos="8306"/>
        </w:tabs>
      </w:pPr>
      <w:hyperlink w:anchor="_Toc21553" w:history="1">
        <w:r>
          <w:rPr>
            <w:rFonts w:ascii="仿宋" w:eastAsia="仿宋" w:hAnsi="仿宋" w:cs="仿宋" w:hint="eastAsia"/>
            <w:lang w:eastAsia="zh-CN"/>
          </w:rPr>
          <w:t>(二)、公司经济效益分析</w:t>
        </w:r>
        <w:r>
          <w:tab/>
        </w:r>
        <w:r>
          <w:fldChar w:fldCharType="begin"/>
        </w:r>
        <w:r>
          <w:instrText xml:space="preserve"> PAGEREF _Toc21553 \h </w:instrText>
        </w:r>
        <w:r>
          <w:fldChar w:fldCharType="separate"/>
        </w:r>
        <w:r>
          <w:t>17</w:t>
        </w:r>
        <w:r>
          <w:fldChar w:fldCharType="end"/>
        </w:r>
      </w:hyperlink>
    </w:p>
    <w:p>
      <w:pPr>
        <w:pStyle w:val="TOC1"/>
        <w:tabs>
          <w:tab w:val="right" w:leader="dot" w:pos="8306"/>
        </w:tabs>
      </w:pPr>
      <w:hyperlink w:anchor="_Toc23447" w:history="1">
        <w:r>
          <w:rPr>
            <w:rFonts w:ascii="仿宋" w:eastAsia="仿宋" w:hAnsi="仿宋" w:cs="仿宋" w:hint="eastAsia"/>
            <w:lang w:eastAsia="zh-CN"/>
          </w:rPr>
          <w:t>六、超细碳化钨粉及超细晶粒硬质合金项目可持续发展</w:t>
        </w:r>
        <w:r>
          <w:tab/>
        </w:r>
        <w:r>
          <w:fldChar w:fldCharType="begin"/>
        </w:r>
        <w:r>
          <w:instrText xml:space="preserve"> PAGEREF _Toc23447 \h </w:instrText>
        </w:r>
        <w:r>
          <w:fldChar w:fldCharType="separate"/>
        </w:r>
        <w:r>
          <w:t>18</w:t>
        </w:r>
        <w:r>
          <w:fldChar w:fldCharType="end"/>
        </w:r>
      </w:hyperlink>
    </w:p>
    <w:p>
      <w:pPr>
        <w:pStyle w:val="TOC2"/>
        <w:tabs>
          <w:tab w:val="right" w:leader="dot" w:pos="8306"/>
        </w:tabs>
      </w:pPr>
      <w:hyperlink w:anchor="_Toc15138" w:history="1">
        <w:r>
          <w:rPr>
            <w:rFonts w:ascii="仿宋" w:eastAsia="仿宋" w:hAnsi="仿宋" w:cs="仿宋" w:hint="eastAsia"/>
            <w:lang w:eastAsia="zh-CN"/>
          </w:rPr>
          <w:t>(一)、可持续战略与实践</w:t>
        </w:r>
        <w:r>
          <w:tab/>
        </w:r>
        <w:r>
          <w:fldChar w:fldCharType="begin"/>
        </w:r>
        <w:r>
          <w:instrText xml:space="preserve"> PAGEREF _Toc15138 \h </w:instrText>
        </w:r>
        <w:r>
          <w:fldChar w:fldCharType="separate"/>
        </w:r>
        <w:r>
          <w:t>18</w:t>
        </w:r>
        <w:r>
          <w:fldChar w:fldCharType="end"/>
        </w:r>
      </w:hyperlink>
    </w:p>
    <w:p>
      <w:pPr>
        <w:pStyle w:val="TOC2"/>
        <w:tabs>
          <w:tab w:val="right" w:leader="dot" w:pos="8306"/>
        </w:tabs>
      </w:pPr>
      <w:hyperlink w:anchor="_Toc18431" w:history="1">
        <w:r>
          <w:rPr>
            <w:rFonts w:ascii="仿宋" w:eastAsia="仿宋" w:hAnsi="仿宋" w:cs="仿宋" w:hint="eastAsia"/>
            <w:lang w:eastAsia="zh-CN"/>
          </w:rPr>
          <w:t>(二)、环保与社会责任</w:t>
        </w:r>
        <w:r>
          <w:tab/>
        </w:r>
        <w:r>
          <w:fldChar w:fldCharType="begin"/>
        </w:r>
        <w:r>
          <w:instrText xml:space="preserve"> PAGEREF _Toc18431 \h </w:instrText>
        </w:r>
        <w:r>
          <w:fldChar w:fldCharType="separate"/>
        </w:r>
        <w:r>
          <w:t>19</w:t>
        </w:r>
        <w:r>
          <w:fldChar w:fldCharType="end"/>
        </w:r>
      </w:hyperlink>
    </w:p>
    <w:p>
      <w:pPr>
        <w:pStyle w:val="TOC1"/>
        <w:tabs>
          <w:tab w:val="right" w:leader="dot" w:pos="8306"/>
        </w:tabs>
      </w:pPr>
      <w:hyperlink w:anchor="_Toc14559" w:history="1">
        <w:r>
          <w:rPr>
            <w:rFonts w:ascii="仿宋" w:eastAsia="仿宋" w:hAnsi="仿宋" w:cs="仿宋" w:hint="eastAsia"/>
            <w:lang w:eastAsia="zh-CN"/>
          </w:rPr>
          <w:t>七、超细碳化钨粉及超细晶粒硬质合金项目计划安排</w:t>
        </w:r>
        <w:r>
          <w:tab/>
        </w:r>
        <w:r>
          <w:fldChar w:fldCharType="begin"/>
        </w:r>
        <w:r>
          <w:instrText xml:space="preserve"> PAGEREF _Toc14559 \h </w:instrText>
        </w:r>
        <w:r>
          <w:fldChar w:fldCharType="separate"/>
        </w:r>
        <w:r>
          <w:t>20</w:t>
        </w:r>
        <w:r>
          <w:fldChar w:fldCharType="end"/>
        </w:r>
      </w:hyperlink>
    </w:p>
    <w:p>
      <w:pPr>
        <w:pStyle w:val="TOC2"/>
        <w:tabs>
          <w:tab w:val="right" w:leader="dot" w:pos="8306"/>
        </w:tabs>
      </w:pPr>
      <w:hyperlink w:anchor="_Toc4619" w:history="1">
        <w:r>
          <w:rPr>
            <w:rFonts w:ascii="仿宋" w:eastAsia="仿宋" w:hAnsi="仿宋" w:cs="仿宋" w:hint="eastAsia"/>
            <w:lang w:eastAsia="zh-CN"/>
          </w:rPr>
          <w:t>(一)、建设周期</w:t>
        </w:r>
        <w:r>
          <w:tab/>
        </w:r>
        <w:r>
          <w:fldChar w:fldCharType="begin"/>
        </w:r>
        <w:r>
          <w:instrText xml:space="preserve"> PAGEREF _Toc4619 \h </w:instrText>
        </w:r>
        <w:r>
          <w:fldChar w:fldCharType="separate"/>
        </w:r>
        <w:r>
          <w:t>20</w:t>
        </w:r>
        <w:r>
          <w:fldChar w:fldCharType="end"/>
        </w:r>
      </w:hyperlink>
    </w:p>
    <w:p>
      <w:pPr>
        <w:pStyle w:val="TOC2"/>
        <w:tabs>
          <w:tab w:val="right" w:leader="dot" w:pos="8306"/>
        </w:tabs>
      </w:pPr>
      <w:hyperlink w:anchor="_Toc27796" w:history="1">
        <w:r>
          <w:rPr>
            <w:rFonts w:ascii="仿宋" w:eastAsia="仿宋" w:hAnsi="仿宋" w:cs="仿宋" w:hint="eastAsia"/>
            <w:lang w:eastAsia="zh-CN"/>
          </w:rPr>
          <w:t>(二)、建设进度</w:t>
        </w:r>
        <w:r>
          <w:tab/>
        </w:r>
        <w:r>
          <w:fldChar w:fldCharType="begin"/>
        </w:r>
        <w:r>
          <w:instrText xml:space="preserve"> PAGEREF _Toc27796 \h </w:instrText>
        </w:r>
        <w:r>
          <w:fldChar w:fldCharType="separate"/>
        </w:r>
        <w:r>
          <w:t>21</w:t>
        </w:r>
        <w:r>
          <w:fldChar w:fldCharType="end"/>
        </w:r>
      </w:hyperlink>
    </w:p>
    <w:p>
      <w:pPr>
        <w:pStyle w:val="TOC2"/>
        <w:tabs>
          <w:tab w:val="right" w:leader="dot" w:pos="8306"/>
        </w:tabs>
      </w:pPr>
      <w:hyperlink w:anchor="_Toc11904" w:history="1">
        <w:r>
          <w:rPr>
            <w:rFonts w:ascii="仿宋" w:eastAsia="仿宋" w:hAnsi="仿宋" w:cs="仿宋" w:hint="eastAsia"/>
            <w:lang w:eastAsia="zh-CN"/>
          </w:rPr>
          <w:t>(三)、进度安排注意事项</w:t>
        </w:r>
        <w:r>
          <w:tab/>
        </w:r>
        <w:r>
          <w:fldChar w:fldCharType="begin"/>
        </w:r>
        <w:r>
          <w:instrText xml:space="preserve"> PAGEREF _Toc11904 \h </w:instrText>
        </w:r>
        <w:r>
          <w:fldChar w:fldCharType="separate"/>
        </w:r>
        <w:r>
          <w:t>22</w:t>
        </w:r>
        <w:r>
          <w:fldChar w:fldCharType="end"/>
        </w:r>
      </w:hyperlink>
    </w:p>
    <w:p>
      <w:pPr>
        <w:pStyle w:val="TOC2"/>
        <w:tabs>
          <w:tab w:val="right" w:leader="dot" w:pos="8306"/>
        </w:tabs>
      </w:pPr>
      <w:hyperlink w:anchor="_Toc10514" w:history="1">
        <w:r>
          <w:rPr>
            <w:rFonts w:ascii="仿宋" w:eastAsia="仿宋" w:hAnsi="仿宋" w:cs="仿宋" w:hint="eastAsia"/>
            <w:lang w:eastAsia="zh-CN"/>
          </w:rPr>
          <w:t>(四)、人力资源配置</w:t>
        </w:r>
        <w:r>
          <w:tab/>
        </w:r>
        <w:r>
          <w:fldChar w:fldCharType="begin"/>
        </w:r>
        <w:r>
          <w:instrText xml:space="preserve"> PAGEREF _Toc10514 \h </w:instrText>
        </w:r>
        <w:r>
          <w:fldChar w:fldCharType="separate"/>
        </w:r>
        <w:r>
          <w:t>24</w:t>
        </w:r>
        <w:r>
          <w:fldChar w:fldCharType="end"/>
        </w:r>
      </w:hyperlink>
    </w:p>
    <w:p>
      <w:pPr>
        <w:pStyle w:val="TOC1"/>
        <w:tabs>
          <w:tab w:val="right" w:leader="dot" w:pos="8306"/>
        </w:tabs>
      </w:pPr>
      <w:hyperlink w:anchor="_Toc6536" w:history="1">
        <w:r>
          <w:rPr>
            <w:rFonts w:ascii="仿宋" w:eastAsia="仿宋" w:hAnsi="仿宋" w:cs="仿宋" w:hint="eastAsia"/>
            <w:lang w:eastAsia="zh-CN"/>
          </w:rPr>
          <w:t>八、超细碳化钨粉及超细晶粒硬质合金项目人力资源培养与发展</w:t>
        </w:r>
        <w:r>
          <w:tab/>
        </w:r>
        <w:r>
          <w:fldChar w:fldCharType="begin"/>
        </w:r>
        <w:r>
          <w:instrText xml:space="preserve"> PAGEREF _Toc6536 \h </w:instrText>
        </w:r>
        <w:r>
          <w:fldChar w:fldCharType="separate"/>
        </w:r>
        <w:r>
          <w:t>25</w:t>
        </w:r>
        <w:r>
          <w:fldChar w:fldCharType="end"/>
        </w:r>
      </w:hyperlink>
    </w:p>
    <w:p>
      <w:pPr>
        <w:pStyle w:val="TOC2"/>
        <w:tabs>
          <w:tab w:val="right" w:leader="dot" w:pos="8306"/>
        </w:tabs>
      </w:pPr>
      <w:hyperlink w:anchor="_Toc1041" w:history="1">
        <w:r>
          <w:rPr>
            <w:rFonts w:ascii="仿宋" w:eastAsia="仿宋" w:hAnsi="仿宋" w:cs="仿宋" w:hint="eastAsia"/>
            <w:lang w:eastAsia="zh-CN"/>
          </w:rPr>
          <w:t>(一)、人才需求与规划</w:t>
        </w:r>
        <w:r>
          <w:tab/>
        </w:r>
        <w:r>
          <w:fldChar w:fldCharType="begin"/>
        </w:r>
        <w:r>
          <w:instrText xml:space="preserve"> PAGEREF _Toc1041 \h </w:instrText>
        </w:r>
        <w:r>
          <w:fldChar w:fldCharType="separate"/>
        </w:r>
        <w:r>
          <w:t>25</w:t>
        </w:r>
        <w:r>
          <w:fldChar w:fldCharType="end"/>
        </w:r>
      </w:hyperlink>
    </w:p>
    <w:p>
      <w:pPr>
        <w:pStyle w:val="TOC2"/>
        <w:tabs>
          <w:tab w:val="right" w:leader="dot" w:pos="8306"/>
        </w:tabs>
      </w:pPr>
      <w:hyperlink w:anchor="_Toc15208" w:history="1">
        <w:r>
          <w:rPr>
            <w:rFonts w:ascii="仿宋" w:eastAsia="仿宋" w:hAnsi="仿宋" w:cs="仿宋" w:hint="eastAsia"/>
            <w:lang w:eastAsia="zh-CN"/>
          </w:rPr>
          <w:t>(二)、培训与发展计划</w:t>
        </w:r>
        <w:r>
          <w:tab/>
        </w:r>
        <w:r>
          <w:fldChar w:fldCharType="begin"/>
        </w:r>
        <w:r>
          <w:instrText xml:space="preserve"> PAGEREF _Toc15208 \h </w:instrText>
        </w:r>
        <w:r>
          <w:fldChar w:fldCharType="separate"/>
        </w:r>
        <w:r>
          <w:t>26</w:t>
        </w:r>
        <w:r>
          <w:fldChar w:fldCharType="end"/>
        </w:r>
      </w:hyperlink>
    </w:p>
    <w:p>
      <w:pPr>
        <w:pStyle w:val="TOC1"/>
        <w:tabs>
          <w:tab w:val="right" w:leader="dot" w:pos="8306"/>
        </w:tabs>
      </w:pPr>
      <w:hyperlink w:anchor="_Toc28805" w:history="1">
        <w:r>
          <w:rPr>
            <w:rFonts w:ascii="仿宋" w:eastAsia="仿宋" w:hAnsi="仿宋" w:cs="仿宋" w:hint="eastAsia"/>
            <w:lang w:eastAsia="zh-CN"/>
          </w:rPr>
          <w:t>九、超细碳化钨粉及超细晶粒硬质合金项目技术管理</w:t>
        </w:r>
        <w:r>
          <w:tab/>
        </w:r>
        <w:r>
          <w:fldChar w:fldCharType="begin"/>
        </w:r>
        <w:r>
          <w:instrText xml:space="preserve"> PAGEREF _Toc28805 \h </w:instrText>
        </w:r>
        <w:r>
          <w:fldChar w:fldCharType="separate"/>
        </w:r>
        <w:r>
          <w:t>26</w:t>
        </w:r>
        <w:r>
          <w:fldChar w:fldCharType="end"/>
        </w:r>
      </w:hyperlink>
    </w:p>
    <w:p>
      <w:pPr>
        <w:pStyle w:val="TOC2"/>
        <w:tabs>
          <w:tab w:val="right" w:leader="dot" w:pos="8306"/>
        </w:tabs>
      </w:pPr>
      <w:hyperlink w:anchor="_Toc16374" w:history="1">
        <w:r>
          <w:rPr>
            <w:rFonts w:ascii="仿宋" w:eastAsia="仿宋" w:hAnsi="仿宋" w:cs="仿宋" w:hint="eastAsia"/>
            <w:lang w:eastAsia="zh-CN"/>
          </w:rPr>
          <w:t>(一)、技术方案选用方向</w:t>
        </w:r>
        <w:r>
          <w:tab/>
        </w:r>
        <w:r>
          <w:fldChar w:fldCharType="begin"/>
        </w:r>
        <w:r>
          <w:instrText xml:space="preserve"> PAGEREF _Toc16374 \h </w:instrText>
        </w:r>
        <w:r>
          <w:fldChar w:fldCharType="separate"/>
        </w:r>
        <w:r>
          <w:t>26</w:t>
        </w:r>
        <w:r>
          <w:fldChar w:fldCharType="end"/>
        </w:r>
      </w:hyperlink>
    </w:p>
    <w:p>
      <w:pPr>
        <w:pStyle w:val="TOC2"/>
        <w:tabs>
          <w:tab w:val="right" w:leader="dot" w:pos="8306"/>
        </w:tabs>
      </w:pPr>
      <w:hyperlink w:anchor="_Toc17593" w:history="1">
        <w:r>
          <w:rPr>
            <w:rFonts w:ascii="仿宋" w:eastAsia="仿宋" w:hAnsi="仿宋" w:cs="仿宋" w:hint="eastAsia"/>
            <w:lang w:eastAsia="zh-CN"/>
          </w:rPr>
          <w:t>(二)、工艺技术方案选用原则</w:t>
        </w:r>
        <w:r>
          <w:tab/>
        </w:r>
        <w:r>
          <w:fldChar w:fldCharType="begin"/>
        </w:r>
        <w:r>
          <w:instrText xml:space="preserve"> PAGEREF _Toc17593 \h </w:instrText>
        </w:r>
        <w:r>
          <w:fldChar w:fldCharType="separate"/>
        </w:r>
        <w:r>
          <w:t>28</w:t>
        </w:r>
        <w:r>
          <w:fldChar w:fldCharType="end"/>
        </w:r>
      </w:hyperlink>
    </w:p>
    <w:p>
      <w:pPr>
        <w:pStyle w:val="TOC2"/>
        <w:tabs>
          <w:tab w:val="right" w:leader="dot" w:pos="8306"/>
        </w:tabs>
      </w:pPr>
      <w:hyperlink w:anchor="_Toc24289" w:history="1">
        <w:r>
          <w:rPr>
            <w:rFonts w:ascii="仿宋" w:eastAsia="仿宋" w:hAnsi="仿宋" w:cs="仿宋" w:hint="eastAsia"/>
            <w:lang w:eastAsia="zh-CN"/>
          </w:rPr>
          <w:t>(三)、工艺技术方案要求</w:t>
        </w:r>
        <w:r>
          <w:tab/>
        </w:r>
        <w:r>
          <w:fldChar w:fldCharType="begin"/>
        </w:r>
        <w:r>
          <w:instrText xml:space="preserve"> PAGEREF _Toc24289 \h </w:instrText>
        </w:r>
        <w:r>
          <w:fldChar w:fldCharType="separate"/>
        </w:r>
        <w:r>
          <w:t>31</w:t>
        </w:r>
        <w:r>
          <w:fldChar w:fldCharType="end"/>
        </w:r>
      </w:hyperlink>
    </w:p>
    <w:p>
      <w:pPr>
        <w:pStyle w:val="TOC1"/>
        <w:tabs>
          <w:tab w:val="right" w:leader="dot" w:pos="8306"/>
        </w:tabs>
      </w:pPr>
      <w:hyperlink w:anchor="_Toc20993" w:history="1">
        <w:r>
          <w:rPr>
            <w:rFonts w:ascii="仿宋" w:eastAsia="仿宋" w:hAnsi="仿宋" w:cs="仿宋" w:hint="eastAsia"/>
            <w:lang w:eastAsia="zh-CN"/>
          </w:rPr>
          <w:t>十、超细碳化钨粉及超细晶粒硬质合金项目投资规划</w:t>
        </w:r>
        <w:r>
          <w:tab/>
        </w:r>
        <w:r>
          <w:fldChar w:fldCharType="begin"/>
        </w:r>
        <w:r>
          <w:instrText xml:space="preserve"> PAGEREF _Toc20993 \h </w:instrText>
        </w:r>
        <w:r>
          <w:fldChar w:fldCharType="separate"/>
        </w:r>
        <w:r>
          <w:t>33</w:t>
        </w:r>
        <w:r>
          <w:fldChar w:fldCharType="end"/>
        </w:r>
      </w:hyperlink>
    </w:p>
    <w:p>
      <w:pPr>
        <w:pStyle w:val="TOC2"/>
        <w:tabs>
          <w:tab w:val="right" w:leader="dot" w:pos="8306"/>
        </w:tabs>
      </w:pPr>
      <w:hyperlink w:anchor="_Toc17155" w:history="1">
        <w:r>
          <w:rPr>
            <w:rFonts w:ascii="仿宋" w:eastAsia="仿宋" w:hAnsi="仿宋" w:cs="仿宋" w:hint="eastAsia"/>
            <w:lang w:eastAsia="zh-CN"/>
          </w:rPr>
          <w:t>(一)、超细碳化钨粉及超细晶粒硬质合金项目总投资估算</w:t>
        </w:r>
        <w:r>
          <w:tab/>
        </w:r>
        <w:r>
          <w:fldChar w:fldCharType="begin"/>
        </w:r>
        <w:r>
          <w:instrText xml:space="preserve"> PAGEREF _Toc17155 \h </w:instrText>
        </w:r>
        <w:r>
          <w:fldChar w:fldCharType="separate"/>
        </w:r>
        <w:r>
          <w:t>33</w:t>
        </w:r>
        <w:r>
          <w:fldChar w:fldCharType="end"/>
        </w:r>
      </w:hyperlink>
    </w:p>
    <w:p>
      <w:pPr>
        <w:pStyle w:val="TOC2"/>
        <w:tabs>
          <w:tab w:val="right" w:leader="dot" w:pos="8306"/>
        </w:tabs>
      </w:pPr>
      <w:hyperlink w:anchor="_Toc9033" w:history="1">
        <w:r>
          <w:rPr>
            <w:rFonts w:ascii="仿宋" w:eastAsia="仿宋" w:hAnsi="仿宋" w:cs="仿宋" w:hint="eastAsia"/>
            <w:lang w:eastAsia="zh-CN"/>
          </w:rPr>
          <w:t>(二)、资金筹措</w:t>
        </w:r>
        <w:r>
          <w:tab/>
        </w:r>
        <w:r>
          <w:fldChar w:fldCharType="begin"/>
        </w:r>
        <w:r>
          <w:instrText xml:space="preserve"> PAGEREF _Toc9033 \h </w:instrText>
        </w:r>
        <w:r>
          <w:fldChar w:fldCharType="separate"/>
        </w:r>
        <w:r>
          <w:t>34</w:t>
        </w:r>
        <w:r>
          <w:fldChar w:fldCharType="end"/>
        </w:r>
      </w:hyperlink>
    </w:p>
    <w:p>
      <w:pPr>
        <w:pStyle w:val="TOC1"/>
        <w:tabs>
          <w:tab w:val="right" w:leader="dot" w:pos="8306"/>
        </w:tabs>
      </w:pPr>
      <w:hyperlink w:anchor="_Toc29000" w:history="1">
        <w:r>
          <w:rPr>
            <w:rFonts w:ascii="仿宋" w:eastAsia="仿宋" w:hAnsi="仿宋" w:cs="仿宋" w:hint="eastAsia"/>
            <w:lang w:eastAsia="zh-CN"/>
          </w:rPr>
          <w:t>十一、超细碳化钨粉及超细晶粒硬质合金项目社会影响</w:t>
        </w:r>
        <w:r>
          <w:tab/>
        </w:r>
        <w:r>
          <w:fldChar w:fldCharType="begin"/>
        </w:r>
        <w:r>
          <w:instrText xml:space="preserve"> PAGEREF _Toc29000 \h </w:instrText>
        </w:r>
        <w:r>
          <w:fldChar w:fldCharType="separate"/>
        </w:r>
        <w:r>
          <w:t>35</w:t>
        </w:r>
        <w:r>
          <w:fldChar w:fldCharType="end"/>
        </w:r>
      </w:hyperlink>
    </w:p>
    <w:p>
      <w:pPr>
        <w:pStyle w:val="TOC2"/>
        <w:tabs>
          <w:tab w:val="right" w:leader="dot" w:pos="8306"/>
        </w:tabs>
      </w:pPr>
      <w:hyperlink w:anchor="_Toc24775" w:history="1">
        <w:r>
          <w:rPr>
            <w:rFonts w:ascii="仿宋" w:eastAsia="仿宋" w:hAnsi="仿宋" w:cs="仿宋" w:hint="eastAsia"/>
            <w:lang w:eastAsia="zh-CN"/>
          </w:rPr>
          <w:t>(一)、社会责任与义务</w:t>
        </w:r>
        <w:r>
          <w:tab/>
        </w:r>
        <w:r>
          <w:fldChar w:fldCharType="begin"/>
        </w:r>
        <w:r>
          <w:instrText xml:space="preserve"> PAGEREF _Toc24775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506" w:history="1">
        <w:r>
          <w:rPr>
            <w:rFonts w:ascii="仿宋" w:eastAsia="仿宋" w:hAnsi="仿宋" w:cs="仿宋" w:hint="eastAsia"/>
            <w:lang w:eastAsia="zh-CN"/>
          </w:rPr>
          <w:t>(二)、社会参与与沟通</w:t>
        </w:r>
        <w:r>
          <w:tab/>
        </w:r>
        <w:r>
          <w:fldChar w:fldCharType="begin"/>
        </w:r>
        <w:r>
          <w:instrText xml:space="preserve"> PAGEREF _Toc21506 \h </w:instrText>
        </w:r>
        <w:r>
          <w:fldChar w:fldCharType="separate"/>
        </w:r>
        <w:r>
          <w:t>36</w:t>
        </w:r>
        <w:r>
          <w:fldChar w:fldCharType="end"/>
        </w:r>
      </w:hyperlink>
    </w:p>
    <w:p>
      <w:pPr>
        <w:pStyle w:val="TOC1"/>
        <w:tabs>
          <w:tab w:val="right" w:leader="dot" w:pos="8306"/>
        </w:tabs>
      </w:pPr>
      <w:hyperlink w:anchor="_Toc2716" w:history="1">
        <w:r>
          <w:rPr>
            <w:rFonts w:ascii="仿宋" w:eastAsia="仿宋" w:hAnsi="仿宋" w:cs="仿宋" w:hint="eastAsia"/>
            <w:lang w:eastAsia="zh-CN"/>
          </w:rPr>
          <w:t>十二、超细碳化钨粉及超细晶粒硬质合金项目人力资源管理</w:t>
        </w:r>
        <w:r>
          <w:tab/>
        </w:r>
        <w:r>
          <w:fldChar w:fldCharType="begin"/>
        </w:r>
        <w:r>
          <w:instrText xml:space="preserve"> PAGEREF _Toc2716 \h </w:instrText>
        </w:r>
        <w:r>
          <w:fldChar w:fldCharType="separate"/>
        </w:r>
        <w:r>
          <w:t>37</w:t>
        </w:r>
        <w:r>
          <w:fldChar w:fldCharType="end"/>
        </w:r>
      </w:hyperlink>
    </w:p>
    <w:p>
      <w:pPr>
        <w:pStyle w:val="TOC2"/>
        <w:tabs>
          <w:tab w:val="right" w:leader="dot" w:pos="8306"/>
        </w:tabs>
      </w:pPr>
      <w:hyperlink w:anchor="_Toc30106" w:history="1">
        <w:r>
          <w:rPr>
            <w:rFonts w:ascii="仿宋" w:eastAsia="仿宋" w:hAnsi="仿宋" w:cs="仿宋" w:hint="eastAsia"/>
            <w:lang w:eastAsia="zh-CN"/>
          </w:rPr>
          <w:t>(一)、建立健全的预算管理制度</w:t>
        </w:r>
        <w:r>
          <w:tab/>
        </w:r>
        <w:r>
          <w:fldChar w:fldCharType="begin"/>
        </w:r>
        <w:r>
          <w:instrText xml:space="preserve"> PAGEREF _Toc30106 \h </w:instrText>
        </w:r>
        <w:r>
          <w:fldChar w:fldCharType="separate"/>
        </w:r>
        <w:r>
          <w:t>37</w:t>
        </w:r>
        <w:r>
          <w:fldChar w:fldCharType="end"/>
        </w:r>
      </w:hyperlink>
    </w:p>
    <w:p>
      <w:pPr>
        <w:pStyle w:val="TOC2"/>
        <w:tabs>
          <w:tab w:val="right" w:leader="dot" w:pos="8306"/>
        </w:tabs>
      </w:pPr>
      <w:hyperlink w:anchor="_Toc2350" w:history="1">
        <w:r>
          <w:rPr>
            <w:rFonts w:ascii="仿宋" w:eastAsia="仿宋" w:hAnsi="仿宋" w:cs="仿宋" w:hint="eastAsia"/>
            <w:lang w:eastAsia="zh-CN"/>
          </w:rPr>
          <w:t>(二)、加强资金流动监控</w:t>
        </w:r>
        <w:r>
          <w:tab/>
        </w:r>
        <w:r>
          <w:fldChar w:fldCharType="begin"/>
        </w:r>
        <w:r>
          <w:instrText xml:space="preserve"> PAGEREF _Toc2350 \h </w:instrText>
        </w:r>
        <w:r>
          <w:fldChar w:fldCharType="separate"/>
        </w:r>
        <w:r>
          <w:t>39</w:t>
        </w:r>
        <w:r>
          <w:fldChar w:fldCharType="end"/>
        </w:r>
      </w:hyperlink>
    </w:p>
    <w:p>
      <w:pPr>
        <w:pStyle w:val="TOC2"/>
        <w:tabs>
          <w:tab w:val="right" w:leader="dot" w:pos="8306"/>
        </w:tabs>
      </w:pPr>
      <w:hyperlink w:anchor="_Toc3577" w:history="1">
        <w:r>
          <w:rPr>
            <w:rFonts w:ascii="仿宋" w:eastAsia="仿宋" w:hAnsi="仿宋" w:cs="仿宋" w:hint="eastAsia"/>
            <w:lang w:eastAsia="zh-CN"/>
          </w:rPr>
          <w:t>(三)、制定完善的风险控制机制</w:t>
        </w:r>
        <w:r>
          <w:tab/>
        </w:r>
        <w:r>
          <w:fldChar w:fldCharType="begin"/>
        </w:r>
        <w:r>
          <w:instrText xml:space="preserve"> PAGEREF _Toc3577 \h </w:instrText>
        </w:r>
        <w:r>
          <w:fldChar w:fldCharType="separate"/>
        </w:r>
        <w:r>
          <w:t>40</w:t>
        </w:r>
        <w:r>
          <w:fldChar w:fldCharType="end"/>
        </w:r>
      </w:hyperlink>
    </w:p>
    <w:p>
      <w:pPr>
        <w:pStyle w:val="TOC2"/>
        <w:tabs>
          <w:tab w:val="right" w:leader="dot" w:pos="8306"/>
        </w:tabs>
      </w:pPr>
      <w:hyperlink w:anchor="_Toc18802" w:history="1">
        <w:r>
          <w:rPr>
            <w:rFonts w:ascii="仿宋" w:eastAsia="仿宋" w:hAnsi="仿宋" w:cs="仿宋" w:hint="eastAsia"/>
            <w:lang w:eastAsia="zh-CN"/>
          </w:rPr>
          <w:t>(四)、优化成本管理</w:t>
        </w:r>
        <w:r>
          <w:tab/>
        </w:r>
        <w:r>
          <w:fldChar w:fldCharType="begin"/>
        </w:r>
        <w:r>
          <w:instrText xml:space="preserve"> PAGEREF _Toc18802 \h </w:instrText>
        </w:r>
        <w:r>
          <w:fldChar w:fldCharType="separate"/>
        </w:r>
        <w:r>
          <w:t>42</w:t>
        </w:r>
        <w:r>
          <w:fldChar w:fldCharType="end"/>
        </w:r>
      </w:hyperlink>
    </w:p>
    <w:p>
      <w:pPr>
        <w:pStyle w:val="TOC1"/>
        <w:tabs>
          <w:tab w:val="right" w:leader="dot" w:pos="8306"/>
        </w:tabs>
      </w:pPr>
      <w:hyperlink w:anchor="_Toc24617" w:history="1">
        <w:r>
          <w:rPr>
            <w:rFonts w:ascii="仿宋" w:eastAsia="仿宋" w:hAnsi="仿宋" w:cs="仿宋" w:hint="eastAsia"/>
            <w:lang w:eastAsia="zh-CN"/>
          </w:rPr>
          <w:t>十三、超细碳化钨粉及超细晶粒硬质合金项目治理与监督</w:t>
        </w:r>
        <w:r>
          <w:tab/>
        </w:r>
        <w:r>
          <w:fldChar w:fldCharType="begin"/>
        </w:r>
        <w:r>
          <w:instrText xml:space="preserve"> PAGEREF _Toc24617 \h </w:instrText>
        </w:r>
        <w:r>
          <w:fldChar w:fldCharType="separate"/>
        </w:r>
        <w:r>
          <w:t>44</w:t>
        </w:r>
        <w:r>
          <w:fldChar w:fldCharType="end"/>
        </w:r>
      </w:hyperlink>
    </w:p>
    <w:p>
      <w:pPr>
        <w:pStyle w:val="TOC2"/>
        <w:tabs>
          <w:tab w:val="right" w:leader="dot" w:pos="8306"/>
        </w:tabs>
      </w:pPr>
      <w:hyperlink w:anchor="_Toc3213" w:history="1">
        <w:r>
          <w:rPr>
            <w:rFonts w:ascii="仿宋" w:eastAsia="仿宋" w:hAnsi="仿宋" w:cs="仿宋" w:hint="eastAsia"/>
            <w:lang w:eastAsia="zh-CN"/>
          </w:rPr>
          <w:t>(一)、超细碳化钨粉及超细晶粒硬质合金项目治理结构</w:t>
        </w:r>
        <w:r>
          <w:tab/>
        </w:r>
        <w:r>
          <w:fldChar w:fldCharType="begin"/>
        </w:r>
        <w:r>
          <w:instrText xml:space="preserve"> PAGEREF _Toc3213 \h </w:instrText>
        </w:r>
        <w:r>
          <w:fldChar w:fldCharType="separate"/>
        </w:r>
        <w:r>
          <w:t>44</w:t>
        </w:r>
        <w:r>
          <w:fldChar w:fldCharType="end"/>
        </w:r>
      </w:hyperlink>
    </w:p>
    <w:p>
      <w:pPr>
        <w:pStyle w:val="TOC2"/>
        <w:tabs>
          <w:tab w:val="right" w:leader="dot" w:pos="8306"/>
        </w:tabs>
      </w:pPr>
      <w:hyperlink w:anchor="_Toc4597" w:history="1">
        <w:r>
          <w:rPr>
            <w:rFonts w:ascii="仿宋" w:eastAsia="仿宋" w:hAnsi="仿宋" w:cs="仿宋" w:hint="eastAsia"/>
            <w:lang w:eastAsia="zh-CN"/>
          </w:rPr>
          <w:t>(二)、监督与审计</w:t>
        </w:r>
        <w:r>
          <w:tab/>
        </w:r>
        <w:r>
          <w:fldChar w:fldCharType="begin"/>
        </w:r>
        <w:r>
          <w:instrText xml:space="preserve"> PAGEREF _Toc4597 \h </w:instrText>
        </w:r>
        <w:r>
          <w:fldChar w:fldCharType="separate"/>
        </w:r>
        <w:r>
          <w:t>45</w:t>
        </w:r>
        <w:r>
          <w:fldChar w:fldCharType="end"/>
        </w:r>
      </w:hyperlink>
    </w:p>
    <w:p>
      <w:pPr>
        <w:pStyle w:val="TOC1"/>
        <w:tabs>
          <w:tab w:val="right" w:leader="dot" w:pos="8306"/>
        </w:tabs>
      </w:pPr>
      <w:hyperlink w:anchor="_Toc3441" w:history="1">
        <w:r>
          <w:rPr>
            <w:rFonts w:ascii="仿宋" w:eastAsia="仿宋" w:hAnsi="仿宋" w:cs="仿宋" w:hint="eastAsia"/>
            <w:lang w:eastAsia="zh-CN"/>
          </w:rPr>
          <w:t>十四、风险识别与分类</w:t>
        </w:r>
        <w:r>
          <w:tab/>
        </w:r>
        <w:r>
          <w:fldChar w:fldCharType="begin"/>
        </w:r>
        <w:r>
          <w:instrText xml:space="preserve"> PAGEREF _Toc3441 \h </w:instrText>
        </w:r>
        <w:r>
          <w:fldChar w:fldCharType="separate"/>
        </w:r>
        <w:r>
          <w:t>47</w:t>
        </w:r>
        <w:r>
          <w:fldChar w:fldCharType="end"/>
        </w:r>
      </w:hyperlink>
    </w:p>
    <w:p>
      <w:pPr>
        <w:pStyle w:val="TOC2"/>
        <w:tabs>
          <w:tab w:val="right" w:leader="dot" w:pos="8306"/>
        </w:tabs>
      </w:pPr>
      <w:hyperlink w:anchor="_Toc13716" w:history="1">
        <w:r>
          <w:rPr>
            <w:rFonts w:ascii="仿宋" w:eastAsia="仿宋" w:hAnsi="仿宋" w:cs="仿宋" w:hint="eastAsia"/>
            <w:lang w:eastAsia="zh-CN"/>
          </w:rPr>
          <w:t>(一)、风险识别</w:t>
        </w:r>
        <w:r>
          <w:tab/>
        </w:r>
        <w:r>
          <w:fldChar w:fldCharType="begin"/>
        </w:r>
        <w:r>
          <w:instrText xml:space="preserve"> PAGEREF _Toc13716 \h </w:instrText>
        </w:r>
        <w:r>
          <w:fldChar w:fldCharType="separate"/>
        </w:r>
        <w:r>
          <w:t>47</w:t>
        </w:r>
        <w:r>
          <w:fldChar w:fldCharType="end"/>
        </w:r>
      </w:hyperlink>
    </w:p>
    <w:p>
      <w:pPr>
        <w:pStyle w:val="TOC2"/>
        <w:tabs>
          <w:tab w:val="right" w:leader="dot" w:pos="8306"/>
        </w:tabs>
      </w:pPr>
      <w:hyperlink w:anchor="_Toc29787" w:history="1">
        <w:r>
          <w:rPr>
            <w:rFonts w:ascii="仿宋" w:eastAsia="仿宋" w:hAnsi="仿宋" w:cs="仿宋" w:hint="eastAsia"/>
            <w:lang w:eastAsia="zh-CN"/>
          </w:rPr>
          <w:t>(二)、风险分类</w:t>
        </w:r>
        <w:r>
          <w:tab/>
        </w:r>
        <w:r>
          <w:fldChar w:fldCharType="begin"/>
        </w:r>
        <w:r>
          <w:instrText xml:space="preserve"> PAGEREF _Toc29787 \h </w:instrText>
        </w:r>
        <w:r>
          <w:fldChar w:fldCharType="separate"/>
        </w:r>
        <w:r>
          <w:t>48</w:t>
        </w:r>
        <w:r>
          <w:fldChar w:fldCharType="end"/>
        </w:r>
      </w:hyperlink>
    </w:p>
    <w:p>
      <w:pPr>
        <w:pStyle w:val="TOC1"/>
        <w:tabs>
          <w:tab w:val="right" w:leader="dot" w:pos="8306"/>
        </w:tabs>
      </w:pPr>
      <w:hyperlink w:anchor="_Toc15777" w:history="1">
        <w:r>
          <w:rPr>
            <w:rFonts w:ascii="仿宋" w:eastAsia="仿宋" w:hAnsi="仿宋" w:cs="仿宋" w:hint="eastAsia"/>
            <w:lang w:eastAsia="zh-CN"/>
          </w:rPr>
          <w:t>十五、超细碳化钨粉及超细晶粒硬质合金项目实施保障措施</w:t>
        </w:r>
        <w:r>
          <w:tab/>
        </w:r>
        <w:r>
          <w:fldChar w:fldCharType="begin"/>
        </w:r>
        <w:r>
          <w:instrText xml:space="preserve"> PAGEREF _Toc15777 \h </w:instrText>
        </w:r>
        <w:r>
          <w:fldChar w:fldCharType="separate"/>
        </w:r>
        <w:r>
          <w:t>51</w:t>
        </w:r>
        <w:r>
          <w:fldChar w:fldCharType="end"/>
        </w:r>
      </w:hyperlink>
    </w:p>
    <w:p>
      <w:pPr>
        <w:pStyle w:val="TOC2"/>
        <w:tabs>
          <w:tab w:val="right" w:leader="dot" w:pos="8306"/>
        </w:tabs>
      </w:pPr>
      <w:hyperlink w:anchor="_Toc3945" w:history="1">
        <w:r>
          <w:rPr>
            <w:rFonts w:ascii="仿宋" w:eastAsia="仿宋" w:hAnsi="仿宋" w:cs="仿宋" w:hint="eastAsia"/>
            <w:lang w:eastAsia="zh-CN"/>
          </w:rPr>
          <w:t>(一)、超细碳化钨粉及超细晶粒硬质合金项目实施保障机制</w:t>
        </w:r>
        <w:r>
          <w:tab/>
        </w:r>
        <w:r>
          <w:fldChar w:fldCharType="begin"/>
        </w:r>
        <w:r>
          <w:instrText xml:space="preserve"> PAGEREF _Toc3945 \h </w:instrText>
        </w:r>
        <w:r>
          <w:fldChar w:fldCharType="separate"/>
        </w:r>
        <w:r>
          <w:t>51</w:t>
        </w:r>
        <w:r>
          <w:fldChar w:fldCharType="end"/>
        </w:r>
      </w:hyperlink>
    </w:p>
    <w:p>
      <w:pPr>
        <w:pStyle w:val="TOC2"/>
        <w:tabs>
          <w:tab w:val="right" w:leader="dot" w:pos="8306"/>
        </w:tabs>
      </w:pPr>
      <w:hyperlink w:anchor="_Toc5621" w:history="1">
        <w:r>
          <w:rPr>
            <w:rFonts w:ascii="仿宋" w:eastAsia="仿宋" w:hAnsi="仿宋" w:cs="仿宋" w:hint="eastAsia"/>
            <w:lang w:eastAsia="zh-CN"/>
          </w:rPr>
          <w:t>(二)、超细碳化钨粉及超细晶粒硬质合金项目法律合规要求</w:t>
        </w:r>
        <w:r>
          <w:tab/>
        </w:r>
        <w:r>
          <w:fldChar w:fldCharType="begin"/>
        </w:r>
        <w:r>
          <w:instrText xml:space="preserve"> PAGEREF _Toc5621 \h </w:instrText>
        </w:r>
        <w:r>
          <w:fldChar w:fldCharType="separate"/>
        </w:r>
        <w:r>
          <w:t>55</w:t>
        </w:r>
        <w:r>
          <w:fldChar w:fldCharType="end"/>
        </w:r>
      </w:hyperlink>
    </w:p>
    <w:p>
      <w:pPr>
        <w:pStyle w:val="TOC2"/>
        <w:tabs>
          <w:tab w:val="right" w:leader="dot" w:pos="8306"/>
        </w:tabs>
      </w:pPr>
      <w:hyperlink w:anchor="_Toc16533" w:history="1">
        <w:r>
          <w:rPr>
            <w:rFonts w:ascii="仿宋" w:eastAsia="仿宋" w:hAnsi="仿宋" w:cs="仿宋" w:hint="eastAsia"/>
            <w:lang w:eastAsia="zh-CN"/>
          </w:rPr>
          <w:t>(三)、超细碳化钨粉及超细晶粒硬质合金项目合同管理与法律事务</w:t>
        </w:r>
        <w:r>
          <w:tab/>
        </w:r>
        <w:r>
          <w:fldChar w:fldCharType="begin"/>
        </w:r>
        <w:r>
          <w:instrText xml:space="preserve"> PAGEREF _Toc16533 \h </w:instrText>
        </w:r>
        <w:r>
          <w:fldChar w:fldCharType="separate"/>
        </w:r>
        <w:r>
          <w:t>60</w:t>
        </w:r>
        <w:r>
          <w:fldChar w:fldCharType="end"/>
        </w:r>
      </w:hyperlink>
    </w:p>
    <w:p>
      <w:pPr>
        <w:pStyle w:val="TOC2"/>
        <w:tabs>
          <w:tab w:val="right" w:leader="dot" w:pos="8306"/>
        </w:tabs>
      </w:pPr>
      <w:hyperlink w:anchor="_Toc12311" w:history="1">
        <w:r>
          <w:rPr>
            <w:rFonts w:ascii="仿宋" w:eastAsia="仿宋" w:hAnsi="仿宋" w:cs="仿宋" w:hint="eastAsia"/>
            <w:lang w:eastAsia="zh-CN"/>
          </w:rPr>
          <w:t>(四)、超细碳化钨粉及超细晶粒硬质合金项目知识产权保护策略</w:t>
        </w:r>
        <w:r>
          <w:tab/>
        </w:r>
        <w:r>
          <w:fldChar w:fldCharType="begin"/>
        </w:r>
        <w:r>
          <w:instrText xml:space="preserve"> PAGEREF _Toc12311 \h </w:instrText>
        </w:r>
        <w:r>
          <w:fldChar w:fldCharType="separate"/>
        </w:r>
        <w:r>
          <w:t>66</w:t>
        </w:r>
        <w:r>
          <w:fldChar w:fldCharType="end"/>
        </w:r>
      </w:hyperlink>
    </w:p>
    <w:p>
      <w:pPr>
        <w:pStyle w:val="TOC1"/>
        <w:tabs>
          <w:tab w:val="right" w:leader="dot" w:pos="8306"/>
        </w:tabs>
      </w:pPr>
      <w:hyperlink w:anchor="_Toc21724" w:history="1">
        <w:r>
          <w:rPr>
            <w:rFonts w:ascii="仿宋" w:eastAsia="仿宋" w:hAnsi="仿宋" w:cs="仿宋" w:hint="eastAsia"/>
            <w:lang w:eastAsia="zh-CN"/>
          </w:rPr>
          <w:t>十六、利益相关者分析与沟通计划</w:t>
        </w:r>
        <w:r>
          <w:tab/>
        </w:r>
        <w:r>
          <w:fldChar w:fldCharType="begin"/>
        </w:r>
        <w:r>
          <w:instrText xml:space="preserve"> PAGEREF _Toc21724 \h </w:instrText>
        </w:r>
        <w:r>
          <w:fldChar w:fldCharType="separate"/>
        </w:r>
        <w:r>
          <w:t>69</w:t>
        </w:r>
        <w:r>
          <w:fldChar w:fldCharType="end"/>
        </w:r>
      </w:hyperlink>
    </w:p>
    <w:p>
      <w:pPr>
        <w:pStyle w:val="TOC2"/>
        <w:tabs>
          <w:tab w:val="right" w:leader="dot" w:pos="8306"/>
        </w:tabs>
      </w:pPr>
      <w:hyperlink w:anchor="_Toc2140" w:history="1">
        <w:r>
          <w:rPr>
            <w:rFonts w:ascii="仿宋" w:eastAsia="仿宋" w:hAnsi="仿宋" w:cs="仿宋" w:hint="eastAsia"/>
            <w:lang w:eastAsia="zh-CN"/>
          </w:rPr>
          <w:t>(一)、利益相关者分析</w:t>
        </w:r>
        <w:r>
          <w:tab/>
        </w:r>
        <w:r>
          <w:fldChar w:fldCharType="begin"/>
        </w:r>
        <w:r>
          <w:instrText xml:space="preserve"> PAGEREF _Toc2140 \h </w:instrText>
        </w:r>
        <w:r>
          <w:fldChar w:fldCharType="separate"/>
        </w:r>
        <w:r>
          <w:t>69</w:t>
        </w:r>
        <w:r>
          <w:fldChar w:fldCharType="end"/>
        </w:r>
      </w:hyperlink>
    </w:p>
    <w:p>
      <w:pPr>
        <w:pStyle w:val="TOC2"/>
        <w:tabs>
          <w:tab w:val="right" w:leader="dot" w:pos="8306"/>
        </w:tabs>
      </w:pPr>
      <w:hyperlink w:anchor="_Toc21856" w:history="1">
        <w:r>
          <w:rPr>
            <w:rFonts w:ascii="仿宋" w:eastAsia="仿宋" w:hAnsi="仿宋" w:cs="仿宋" w:hint="eastAsia"/>
            <w:lang w:eastAsia="zh-CN"/>
          </w:rPr>
          <w:t>(二)、沟通计划</w:t>
        </w:r>
        <w:r>
          <w:tab/>
        </w:r>
        <w:r>
          <w:fldChar w:fldCharType="begin"/>
        </w:r>
        <w:r>
          <w:instrText xml:space="preserve"> PAGEREF _Toc21856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49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86"/>
      <w:r>
        <w:rPr>
          <w:rFonts w:ascii="仿宋" w:eastAsia="仿宋" w:hAnsi="仿宋" w:cs="仿宋" w:hint="eastAsia"/>
          <w:sz w:val="28"/>
          <w:lang w:eastAsia="zh-CN"/>
        </w:rPr>
        <w:t>一、超细碳化钨粉及超细晶粒硬质合金项目土建工程</w:t>
      </w:r>
      <w:bookmarkEnd w:id="2"/>
    </w:p>
    <w:p>
      <w:pPr>
        <w:pStyle w:val="Heading2"/>
        <w:rPr>
          <w:rFonts w:ascii="仿宋" w:eastAsia="仿宋" w:hAnsi="仿宋" w:cs="仿宋" w:hint="eastAsia"/>
          <w:lang w:eastAsia="zh-CN"/>
        </w:rPr>
      </w:pPr>
      <w:bookmarkStart w:id="3" w:name="_Toc587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在超细碳化钨粉及超细晶粒硬质合金项目的建筑工程设计中，我们将秉承一系列重要的设计原则，以确保超细碳化钨粉及超细晶粒硬质合金项目建筑在功能、美观、可持续性等方面达到最佳效果。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首要原则是确保建筑的功能性得到最大化的发挥。我们将充分理解超细碳化钨粉及超细晶粒硬质合金项目的实际需求，合理布局各个功能区域，保证建筑在满足业务需求的同时，提供高效的工作环境。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在建筑设计中，我们将综合考虑建设和运营成本。通过精细的经济效益分析，确保设计方案在高效利用资源的同时，对超细碳化钨粉及超细晶粒硬质合金项目的长期盈利能力有积极的贡献。</w:t>
      </w:r>
    </w:p>
    <w:p>
      <w:pPr>
        <w:pStyle w:val="Heading2"/>
        <w:ind w:firstLine="560" w:firstLineChars="200"/>
        <w:rPr>
          <w:rFonts w:ascii="仿宋" w:eastAsia="仿宋" w:hAnsi="仿宋" w:cs="仿宋" w:hint="eastAsia"/>
          <w:sz w:val="28"/>
          <w:lang w:eastAsia="zh-CN"/>
        </w:rPr>
      </w:pPr>
      <w:bookmarkStart w:id="4" w:name="_Toc2800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超细碳化钨粉及超细晶粒硬质合金项目的土建工程设计中，我们将精准设定设计年限，结合超细碳化钨粉及超细晶粒硬质合金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超细碳化钨粉及超细晶粒硬质合金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579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该超细碳化钨粉及超细晶粒硬质合金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超细碳化钨粉及超细晶粒硬质合金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超细碳化钨粉及超细晶粒硬质合金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607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本期工程超细碳化钨粉及超细晶粒硬质合金项目预计总建筑面积XXX平方米，其中：计容建筑面积XXX平方米，计划建筑工程投资XX万元，占超细碳化钨粉及超细晶粒硬质合金项目总投资的XX%。</w:t>
      </w:r>
    </w:p>
    <w:p>
      <w:pPr>
        <w:pStyle w:val="Heading1"/>
        <w:ind w:firstLine="560" w:firstLineChars="200"/>
        <w:rPr>
          <w:rFonts w:ascii="仿宋" w:eastAsia="仿宋" w:hAnsi="仿宋" w:cs="仿宋" w:hint="eastAsia"/>
          <w:sz w:val="28"/>
          <w:lang w:eastAsia="zh-CN"/>
        </w:rPr>
      </w:pPr>
      <w:bookmarkStart w:id="7" w:name="_Toc26500"/>
      <w:r>
        <w:rPr>
          <w:rFonts w:ascii="仿宋" w:eastAsia="仿宋" w:hAnsi="仿宋" w:cs="仿宋" w:hint="eastAsia"/>
          <w:sz w:val="28"/>
          <w:lang w:eastAsia="zh-CN"/>
        </w:rPr>
        <w:t>二、产品规划分析</w:t>
      </w:r>
      <w:bookmarkEnd w:id="7"/>
    </w:p>
    <w:p>
      <w:pPr>
        <w:pStyle w:val="Heading2"/>
        <w:rPr>
          <w:rFonts w:ascii="仿宋" w:eastAsia="仿宋" w:hAnsi="仿宋" w:cs="仿宋" w:hint="eastAsia"/>
          <w:lang w:eastAsia="zh-CN"/>
        </w:rPr>
      </w:pPr>
      <w:bookmarkStart w:id="8" w:name="_Toc25707"/>
      <w:r>
        <w:rPr>
          <w:rFonts w:ascii="仿宋" w:eastAsia="仿宋" w:hAnsi="仿宋" w:cs="仿宋" w:hint="eastAsia"/>
          <w:lang w:eastAsia="zh-CN"/>
        </w:rPr>
        <w:t>(一)、产品规划</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超细碳化钨粉及超细晶粒硬质合金项目的主要产品是XXXX，预计年产值为XXX万元。这一产品在市场中占据着重要的地位，其广泛的应用范围使得该超细碳化钨粉及超细晶粒硬质合金项目的市场前景非常广阔。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这一产业生态系统中，超细碳化钨粉及超细晶粒硬质合金项目的xxx产品作为重要的原材料之一，将在多个领域发挥关键作用。其在建筑、交通、能源等方面的广泛应用将为整个产业链提供强大的支持，形成产业协同效应。超细碳化钨粉及超细晶粒硬质合金项目的年产值XXX万XXX万XXX万万元不仅反映了其在市场上的巨大潜力，更预示着它对国民经济的积极贡献。这种关联度高、涉及面广的产业关系，使得该超细碳化钨粉及超细晶粒硬质合金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9" w:name="_Toc30180"/>
      <w:r>
        <w:rPr>
          <w:rFonts w:ascii="仿宋" w:eastAsia="仿宋" w:hAnsi="仿宋" w:cs="仿宋" w:hint="eastAsia"/>
          <w:sz w:val="28"/>
          <w:lang w:eastAsia="zh-CN"/>
        </w:rPr>
        <w:t>(二)、建设规模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碳化钨粉及超细晶粒硬质合金项目总征地面积为XXXX平方米，相当于约XX.XX亩，其中净用地面积为XXXX平方米，红线范围内相当于约XX.XX亩。这一用地规模充分考虑了超细碳化钨粉及超细晶粒硬质合金项目的建设需求，保障了超细碳化钨粉及超细晶粒硬质合金项目在合适的空间内得以充分发展。超细碳化钨粉及超细晶粒硬质合金项目规划的总建筑面积为XXXX平方米，其中主体工程建设占XXXX平方米，计容建筑面积达XXXX平方米。预计建筑工程的投资将达到XXXX万元，为超细碳化钨粉及超细晶粒硬质合金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碳化钨粉及超细晶粒硬质合金项目计划购置的设备共计XXXX台（套），设备购置费用为XXXX万元。这一设备购置计划充分考虑到超细碳化钨粉及超细晶粒硬质合金项目的生产需求和技术要求，确保了超细碳化钨粉及超细晶粒硬质合金项目在生产运营中具备先进的技术装备和高效的生产能力。设备的合理配置将为超细碳化钨粉及超细晶粒硬质合金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细碳化钨粉及超细晶粒硬质合金项目计划总投资为XXXX万元，预计年实现营业收入为XXXX万元。这一产能规模的设定旨在确保超细碳化钨粉及超细晶粒硬质合金项目能够在投资与回报之间取得平衡，实现长期可持续的发展。超细碳化钨粉及超细晶粒硬质合金项目的总投资充分考虑到各个方面的需求，包括用地建设、设备购置等多个环节，以确保超细碳化钨粉及超细晶粒硬质合金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0" w:name="_Toc16155"/>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26627"/>
      <w:r>
        <w:rPr>
          <w:rFonts w:ascii="仿宋" w:eastAsia="仿宋" w:hAnsi="仿宋" w:cs="仿宋" w:hint="eastAsia"/>
          <w:lang w:eastAsia="zh-CN"/>
        </w:rPr>
        <w:t>(一)、超细碳化钨粉及超细晶粒硬质合金行业分析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超细碳化钨粉及超细晶粒硬质合金行业一直以来都是市场的关注焦点。行业内的发展趋势、竞争态势以及潜在机会都对超细碳化钨粉及超细晶粒硬质合金项目的推进产生深远的影响。通过深入研究行业的整体概貌，我们将更好地理解行业的核心特征，为超细碳化钨粉及超细晶粒硬质合金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超细碳化钨粉及超细晶粒硬质合金行业，技术一直是推动创新和发展的关键因素。我们将对当前技术趋势进行详尽分析，包括但不限于人工智能、大数据应用、先进制造技术等。这有助于超细碳化钨粉及超细晶粒硬质合金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超细碳化钨粉及超细晶粒硬质合金项目成功的基础。我们将对主要竞争对手进行深入研究，包括其市场份额、产品特点、市场定位等。通过全面了解竞争对手的优势和劣势，超细碳化钨粉及超细晶粒硬质合金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10066"/>
      <w:r>
        <w:rPr>
          <w:rFonts w:ascii="仿宋" w:eastAsia="仿宋" w:hAnsi="仿宋" w:cs="仿宋" w:hint="eastAsia"/>
          <w:sz w:val="28"/>
          <w:lang w:eastAsia="zh-CN"/>
        </w:rPr>
        <w:t>(二)、超细碳化钨粉及超细晶粒硬质合金市场分析预测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超细碳化钨粉及超细晶粒硬质合金市场未来的增长趋势。这包括市场的整体规模、各细分领域的发展趋势等。超细碳化钨粉及超细晶粒硬质合金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超细碳化钨粉及超细晶粒硬质合金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超细碳化钨粉及超细晶粒硬质合金项目实施过程中需要充分考虑的因素。我们将对市场风险进行全面评估，包括但不限于政策法规风险、市场竞争风险、技术变革风险等。通过对潜在风险的深入分析，超细碳化钨粉及超细晶粒硬质合金项目可以制定相应的风险缓解策略，降低不确定性对超细碳化钨粉及超细晶粒硬质合金项目的影响。</w:t>
      </w:r>
    </w:p>
    <w:p>
      <w:pPr>
        <w:pStyle w:val="Heading1"/>
        <w:ind w:firstLine="560" w:firstLineChars="200"/>
        <w:rPr>
          <w:rFonts w:ascii="仿宋" w:eastAsia="仿宋" w:hAnsi="仿宋" w:cs="仿宋" w:hint="eastAsia"/>
          <w:sz w:val="28"/>
          <w:lang w:eastAsia="zh-CN"/>
        </w:rPr>
      </w:pPr>
      <w:bookmarkStart w:id="13" w:name="_Toc9284"/>
      <w:r>
        <w:rPr>
          <w:rFonts w:ascii="仿宋" w:eastAsia="仿宋" w:hAnsi="仿宋" w:cs="仿宋" w:hint="eastAsia"/>
          <w:sz w:val="28"/>
          <w:lang w:eastAsia="zh-CN"/>
        </w:rPr>
        <w:t>四、超细碳化钨粉及超细晶粒硬质合金项目选址可行性分析</w:t>
      </w:r>
      <w:bookmarkEnd w:id="13"/>
    </w:p>
    <w:p>
      <w:pPr>
        <w:pStyle w:val="Heading2"/>
        <w:rPr>
          <w:rFonts w:ascii="仿宋" w:eastAsia="仿宋" w:hAnsi="仿宋" w:cs="仿宋" w:hint="eastAsia"/>
          <w:lang w:eastAsia="zh-CN"/>
        </w:rPr>
      </w:pPr>
      <w:bookmarkStart w:id="14" w:name="_Toc512"/>
      <w:r>
        <w:rPr>
          <w:rFonts w:ascii="仿宋" w:eastAsia="仿宋" w:hAnsi="仿宋" w:cs="仿宋" w:hint="eastAsia"/>
          <w:lang w:eastAsia="zh-CN"/>
        </w:rPr>
        <w:t>(一)、超细碳化钨粉及超细晶粒硬质合金项目选址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该超细碳化钨粉及超细晶粒硬质合金项目选址位于XX省XX市XX区XXX街道</w:t>
      </w:r>
    </w:p>
    <w:p>
      <w:pPr>
        <w:pStyle w:val="Heading2"/>
        <w:ind w:firstLine="560" w:firstLineChars="200"/>
        <w:rPr>
          <w:rFonts w:ascii="仿宋" w:eastAsia="仿宋" w:hAnsi="仿宋" w:cs="仿宋" w:hint="eastAsia"/>
          <w:sz w:val="28"/>
          <w:lang w:eastAsia="zh-CN"/>
        </w:rPr>
      </w:pPr>
      <w:bookmarkStart w:id="15" w:name="_Toc7048"/>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超细碳化钨粉及超细晶粒硬质合金项目的征地面积将根据超细碳化钨粉及超细晶粒硬质合金项目的实际规模和需求进行精确规划。具体面积XXX平方米，旨在确保超细碳化钨粉及超细晶粒硬质合金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净用地面积是在征地面积基础上去除不可利用面积后的实际可开发用地。具体面积XXX平方米，考虑到环保、交通、安全等多方面因素，以确保超细碳化钨粉及超细晶粒硬质合金项目在整体利用效率上达到最优。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超细碳化钨粉及超细晶粒硬质合金项目计划建设的建筑总规模具体面积XXX平方米。这一规模的确定综合考虑了超细碳化钨粉及超细晶粒硬质合金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超细碳化钨粉及超细晶粒硬质合金项目用地中被规划为绿地的比例。具体面积XXX平方米，旨在通过合理规划绿地，改善超细碳化钨粉及超细晶粒硬质合金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容积率是用地上可以建设的建筑总体积与用地面积之比。具体面积XXX，通过合理的容积率规划，确保超细碳化钨粉及超细晶粒硬质合金项目建筑规模与周边环境和谐共生。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超细碳化钨粉及超细晶粒硬质合金项目选址与当地城市规划相一致，具体面积XXX平方米。通过与城市规划部门深入沟通，确保超细碳化钨粉及超细晶粒硬质合金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超细碳化钨粉及超细晶粒硬质合金项目选址符合当地产业政策，具体面积XXX平方米。这包括超细碳化钨粉及超细晶粒硬质合金项目对当地经济的促进作用，以及对相关产业的带动效应，确保超细碳化钨粉及超细晶粒硬质合金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超细碳化钨粉及超细晶粒硬质合金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超细碳化钨粉及超细晶粒硬质合金项目选址具备必要的公共设施配套，具体面积XXX平方米。这包括交通便利性、教育、医疗等基础设施，以提高居民生活品质，使得超细碳化钨粉及超细晶粒硬质合金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考虑用地总体要求对当地社会稳定性的影响，具体面积XXX平方米。通过深入了解当地社区反馈，确保超细碳化钨粉及超细晶粒硬质合金项目的选址和建设过程对当地社会和谐稳定产生积极作用。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超细碳化钨粉及超细晶粒硬质合金项目选址不仅符合法规和规划，还在实际操作中具有可行性。这一全面规划将为超细碳化钨粉及超细晶粒硬质合金项目的成功实施提供坚实的基础，确保超细碳化钨粉及超细晶粒硬质合金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25963"/>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超细碳化钨粉及超细晶粒硬质合金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超细碳化钨粉及超细晶粒硬质合金项目的设备规划和空间设计中，我们将采取灵活设备布局的措施。设备布局将根据实际需求进行灵活设计，避免不必要的浪费。通过合理规划设备摆放位置，我们将提高设备的利用率，减少设备间距，以确保超细碳化钨粉及超细晶粒硬质合金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超细碳化钨粉及超细晶粒硬质合金项目内部引入共享设施的概念，例如共享会议室、办公区等。通过这种方式，我们可以减少对资源的重复建设，提高资源共享效率，从而减小超细碳化钨粉及超细晶粒硬质合金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30783"/>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超细碳化钨粉及超细晶粒硬质合金项目的总图布置中，我们将不同功能区域进行明确的规划，以最大程度满足超细碳化钨粉及超细晶粒硬质合金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4737"/>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超细碳化钨粉及超细晶粒硬质合金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超细碳化钨粉及超细晶粒硬质合金项目对环境的影响是综合评价的重要因素之一。我们将详细考虑选址周边的自然环境、生态保护区、水源地等情况，确保超细碳化钨粉及超细晶粒硬质合金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超细碳化钨粉及超细晶粒硬质合金项目所在地的相关政策，确保超细碳化钨粉及超细晶粒硬质合金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考虑到社会稳定性对企业运营的重要性，我们将评估选址地区的社会安全情况、劳工关系、社区反馈等方面，以确保超细碳化钨粉及超细晶粒硬质合金项目的建设和运营不会受到社会稳定性的负面影响。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最后，我们将综合考虑用地成本，包括土地购置费用、土地开发成本等。通过对用地成本的详细评估，我们能够做出更为精确的经济效益分析，为超细碳化钨粉及超细晶粒硬质合金项目的投资决策提供有力支持。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https://d.book118.com/236015140011010035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超细碳化钨粉及超细晶粒硬质合金项目规划设计方案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超细碳化钨粉及超细晶粒硬质合金项目规划设计方案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超细碳化钨粉及超细晶粒硬质合金项目规划设计方案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超细碳化钨粉及超细晶粒硬质合金项目规划设计方案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超细碳化钨粉及超细晶粒硬质合金项目规划设计方案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超细碳化钨粉及超细晶粒硬质合金项目规划设计方案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超细碳化钨粉及超细晶粒硬质合金项目规划设计方案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超细碳化钨粉及超细晶粒硬质合金项目规划设计方案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超细碳化钨粉及超细晶粒硬质合金项目规划设计方案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超细碳化钨粉及超细晶粒硬质合金项目规划设计方案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超细碳化钨粉及超细晶粒硬质合金项目规划设计方案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超细碳化钨粉及超细晶粒硬质合金项目规划设计方案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超细碳化钨粉及超细晶粒硬质合金项目规划设计方案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超细碳化钨粉及超细晶粒硬质合金项目规划设计方案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超细碳化钨粉及超细晶粒硬质合金项目规划设计方案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超细碳化钨粉及超细晶粒硬质合金项目规划设计方案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超细碳化钨粉及超细晶粒硬质合金项目规划设计方案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D07307"/>
    <w:rsid w:val="3CD073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6015140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2024-01-16T02:21:00Z</dcterms:created>
  <dcterms:modified xsi:type="dcterms:W3CDTF">2024-01-16T02:21:46Z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9DDF35D0D753424D904D3835B211E89A_11</vt:lpwstr>
  </property>
  <property fmtid="{D5CDD505-2E9C-101B-9397-08002B2CF9AE}" pid="3" name="KSOProductBuildVer">
    <vt:lpwstr>2052-12.1.0.16120</vt:lpwstr>
  </property>
</Properties>
</file>