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微生物杀菌剂相关行业公司成立方案及可行性研究报告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(七)、微生物杀菌剂项目建设必要性分析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二、微生物杀菌剂项目概况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(二)、微生物杀菌剂项目提出的理由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(三)、微生物杀菌剂项目选址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(六)、微生物杀菌剂项目投资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(七)、微生物杀菌剂项目进度规划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5" w:history="1">
        <w:r>
          <w:rPr>
            <w:rFonts w:ascii="仿宋" w:eastAsia="仿宋" w:hAnsi="仿宋" w:cs="仿宋" w:hint="eastAsia"/>
            <w:lang w:eastAsia="zh-CN"/>
          </w:rPr>
          <w:t>(九)、微生物杀菌剂项目综合评价</w:t>
        </w:r>
        <w:r>
          <w:tab/>
        </w:r>
        <w:r>
          <w:fldChar w:fldCharType="begin"/>
        </w:r>
        <w:r>
          <w:instrText xml:space="preserve"> PAGEREF _Toc5445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_Toc12133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_Toc23969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_Toc20934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eastAsia="zh-CN"/>
          </w:rPr>
          <w:t>七、微生物杀菌剂项目经济效益</w:t>
        </w:r>
        <w:r>
          <w:tab/>
        </w:r>
        <w:r>
          <w:fldChar w:fldCharType="begin"/>
        </w:r>
        <w:r>
          <w:instrText xml:space="preserve"> PAGEREF _Toc5588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_Toc23932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5" w:history="1">
        <w:r>
          <w:rPr>
            <w:rFonts w:ascii="仿宋" w:eastAsia="仿宋" w:hAnsi="仿宋" w:cs="仿宋" w:hint="eastAsia"/>
            <w:lang w:eastAsia="zh-CN"/>
          </w:rPr>
          <w:t>(三)、微生物杀菌剂项目盈利能力分析</w:t>
        </w:r>
        <w:r>
          <w:tab/>
        </w:r>
        <w:r>
          <w:fldChar w:fldCharType="begin"/>
        </w:r>
        <w:r>
          <w:instrText xml:space="preserve"> PAGEREF _Toc26935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_Toc29580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_Toc30957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eastAsia="zh-CN"/>
          </w:rPr>
          <w:t>(一)、微生物杀菌剂项目进度安排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(二)、微生物杀菌剂项目实施保障措施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(一)、社会责任微生物杀菌剂项目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十三、微生物杀菌剂项目总结分析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_Toc18749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8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6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3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6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https://d.book118.com/236043002235010040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043002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2024-01-01T12:43:00Z</dcterms:created>
  <dcterms:modified xsi:type="dcterms:W3CDTF">2024-01-01T12:43:16Z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32E1ED6262F7482784659125887CA061_11</vt:lpwstr>
  </property>
  <property fmtid="{D5CDD505-2E9C-101B-9397-08002B2CF9AE}" pid="3" name="KSOProductBuildVer">
    <vt:lpwstr>2052-12.1.0.16120</vt:lpwstr>
  </property>
</Properties>
</file>