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高速内圆磨床项目规划设计蓝图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2" w:history="1">
        <w:r>
          <w:rPr>
            <w:rFonts w:ascii="仿宋" w:eastAsia="仿宋" w:hAnsi="仿宋" w:cs="仿宋" w:hint="eastAsia"/>
            <w:lang w:eastAsia="zh-CN"/>
          </w:rPr>
          <w:t>序言</w:t>
        </w:r>
        <w:r>
          <w:tab/>
        </w:r>
        <w:r>
          <w:fldChar w:fldCharType="begin"/>
        </w:r>
        <w:r>
          <w:instrText xml:space="preserve"> PAGEREF _Toc22742 \h </w:instrText>
        </w:r>
        <w:r>
          <w:fldChar w:fldCharType="separate"/>
        </w:r>
        <w:r>
          <w:t>3</w:t>
        </w:r>
        <w:r>
          <w:fldChar w:fldCharType="end"/>
        </w:r>
      </w:hyperlink>
    </w:p>
    <w:p>
      <w:pPr>
        <w:pStyle w:val="TOC1"/>
        <w:tabs>
          <w:tab w:val="right" w:leader="dot" w:pos="8306"/>
        </w:tabs>
      </w:pPr>
      <w:hyperlink w:anchor="_Toc22257" w:history="1">
        <w:r>
          <w:rPr>
            <w:rFonts w:ascii="仿宋" w:eastAsia="仿宋" w:hAnsi="仿宋" w:cs="仿宋" w:hint="eastAsia"/>
            <w:lang w:eastAsia="zh-CN"/>
          </w:rPr>
          <w:t>一、高速内圆磨床项目可持续发展</w:t>
        </w:r>
        <w:r>
          <w:tab/>
        </w:r>
        <w:r>
          <w:fldChar w:fldCharType="begin"/>
        </w:r>
        <w:r>
          <w:instrText xml:space="preserve"> PAGEREF _Toc22257 \h </w:instrText>
        </w:r>
        <w:r>
          <w:fldChar w:fldCharType="separate"/>
        </w:r>
        <w:r>
          <w:t>3</w:t>
        </w:r>
        <w:r>
          <w:fldChar w:fldCharType="end"/>
        </w:r>
      </w:hyperlink>
    </w:p>
    <w:p>
      <w:pPr>
        <w:pStyle w:val="TOC2"/>
        <w:tabs>
          <w:tab w:val="right" w:leader="dot" w:pos="8306"/>
        </w:tabs>
      </w:pPr>
      <w:hyperlink w:anchor="_Toc15729" w:history="1">
        <w:r>
          <w:rPr>
            <w:rFonts w:ascii="仿宋" w:eastAsia="仿宋" w:hAnsi="仿宋" w:cs="仿宋" w:hint="eastAsia"/>
            <w:lang w:eastAsia="zh-CN"/>
          </w:rPr>
          <w:t>(一)、可持续战略与实践</w:t>
        </w:r>
        <w:r>
          <w:tab/>
        </w:r>
        <w:r>
          <w:fldChar w:fldCharType="begin"/>
        </w:r>
        <w:r>
          <w:instrText xml:space="preserve"> PAGEREF _Toc15729 \h </w:instrText>
        </w:r>
        <w:r>
          <w:fldChar w:fldCharType="separate"/>
        </w:r>
        <w:r>
          <w:t>3</w:t>
        </w:r>
        <w:r>
          <w:fldChar w:fldCharType="end"/>
        </w:r>
      </w:hyperlink>
    </w:p>
    <w:p>
      <w:pPr>
        <w:pStyle w:val="TOC2"/>
        <w:tabs>
          <w:tab w:val="right" w:leader="dot" w:pos="8306"/>
        </w:tabs>
      </w:pPr>
      <w:hyperlink w:anchor="_Toc29545" w:history="1">
        <w:r>
          <w:rPr>
            <w:rFonts w:ascii="仿宋" w:eastAsia="仿宋" w:hAnsi="仿宋" w:cs="仿宋" w:hint="eastAsia"/>
            <w:lang w:eastAsia="zh-CN"/>
          </w:rPr>
          <w:t>(二)、环保与社会责任</w:t>
        </w:r>
        <w:r>
          <w:tab/>
        </w:r>
        <w:r>
          <w:fldChar w:fldCharType="begin"/>
        </w:r>
        <w:r>
          <w:instrText xml:space="preserve"> PAGEREF _Toc29545 \h </w:instrText>
        </w:r>
        <w:r>
          <w:fldChar w:fldCharType="separate"/>
        </w:r>
        <w:r>
          <w:t>4</w:t>
        </w:r>
        <w:r>
          <w:fldChar w:fldCharType="end"/>
        </w:r>
      </w:hyperlink>
    </w:p>
    <w:p>
      <w:pPr>
        <w:pStyle w:val="TOC1"/>
        <w:tabs>
          <w:tab w:val="right" w:leader="dot" w:pos="8306"/>
        </w:tabs>
      </w:pPr>
      <w:hyperlink w:anchor="_Toc12614" w:history="1">
        <w:r>
          <w:rPr>
            <w:rFonts w:ascii="仿宋" w:eastAsia="仿宋" w:hAnsi="仿宋" w:cs="仿宋" w:hint="eastAsia"/>
            <w:lang w:eastAsia="zh-CN"/>
          </w:rPr>
          <w:t>二、高速内圆磨床项目土建工程</w:t>
        </w:r>
        <w:r>
          <w:tab/>
        </w:r>
        <w:r>
          <w:fldChar w:fldCharType="begin"/>
        </w:r>
        <w:r>
          <w:instrText xml:space="preserve"> PAGEREF _Toc12614 \h </w:instrText>
        </w:r>
        <w:r>
          <w:fldChar w:fldCharType="separate"/>
        </w:r>
        <w:r>
          <w:t>5</w:t>
        </w:r>
        <w:r>
          <w:fldChar w:fldCharType="end"/>
        </w:r>
      </w:hyperlink>
    </w:p>
    <w:p>
      <w:pPr>
        <w:pStyle w:val="TOC2"/>
        <w:tabs>
          <w:tab w:val="right" w:leader="dot" w:pos="8306"/>
        </w:tabs>
      </w:pPr>
      <w:hyperlink w:anchor="_Toc17362" w:history="1">
        <w:r>
          <w:rPr>
            <w:rFonts w:ascii="仿宋" w:eastAsia="仿宋" w:hAnsi="仿宋" w:cs="仿宋" w:hint="eastAsia"/>
            <w:lang w:eastAsia="zh-CN"/>
          </w:rPr>
          <w:t>(一)、建筑工程设计原则</w:t>
        </w:r>
        <w:r>
          <w:tab/>
        </w:r>
        <w:r>
          <w:fldChar w:fldCharType="begin"/>
        </w:r>
        <w:r>
          <w:instrText xml:space="preserve"> PAGEREF _Toc17362 \h </w:instrText>
        </w:r>
        <w:r>
          <w:fldChar w:fldCharType="separate"/>
        </w:r>
        <w:r>
          <w:t>5</w:t>
        </w:r>
        <w:r>
          <w:fldChar w:fldCharType="end"/>
        </w:r>
      </w:hyperlink>
    </w:p>
    <w:p>
      <w:pPr>
        <w:pStyle w:val="TOC2"/>
        <w:tabs>
          <w:tab w:val="right" w:leader="dot" w:pos="8306"/>
        </w:tabs>
      </w:pPr>
      <w:hyperlink w:anchor="_Toc9589" w:history="1">
        <w:r>
          <w:rPr>
            <w:rFonts w:ascii="仿宋" w:eastAsia="仿宋" w:hAnsi="仿宋" w:cs="仿宋" w:hint="eastAsia"/>
            <w:lang w:eastAsia="zh-CN"/>
          </w:rPr>
          <w:t>(二)、土建工程设计年限及安全等级</w:t>
        </w:r>
        <w:r>
          <w:tab/>
        </w:r>
        <w:r>
          <w:fldChar w:fldCharType="begin"/>
        </w:r>
        <w:r>
          <w:instrText xml:space="preserve"> PAGEREF _Toc9589 \h </w:instrText>
        </w:r>
        <w:r>
          <w:fldChar w:fldCharType="separate"/>
        </w:r>
        <w:r>
          <w:t>6</w:t>
        </w:r>
        <w:r>
          <w:fldChar w:fldCharType="end"/>
        </w:r>
      </w:hyperlink>
    </w:p>
    <w:p>
      <w:pPr>
        <w:pStyle w:val="TOC2"/>
        <w:tabs>
          <w:tab w:val="right" w:leader="dot" w:pos="8306"/>
        </w:tabs>
      </w:pPr>
      <w:hyperlink w:anchor="_Toc31660" w:history="1">
        <w:r>
          <w:rPr>
            <w:rFonts w:ascii="仿宋" w:eastAsia="仿宋" w:hAnsi="仿宋" w:cs="仿宋" w:hint="eastAsia"/>
            <w:lang w:eastAsia="zh-CN"/>
          </w:rPr>
          <w:t>(三)、建筑工程设计总体要求</w:t>
        </w:r>
        <w:r>
          <w:tab/>
        </w:r>
        <w:r>
          <w:fldChar w:fldCharType="begin"/>
        </w:r>
        <w:r>
          <w:instrText xml:space="preserve"> PAGEREF _Toc31660 \h </w:instrText>
        </w:r>
        <w:r>
          <w:fldChar w:fldCharType="separate"/>
        </w:r>
        <w:r>
          <w:t>7</w:t>
        </w:r>
        <w:r>
          <w:fldChar w:fldCharType="end"/>
        </w:r>
      </w:hyperlink>
    </w:p>
    <w:p>
      <w:pPr>
        <w:pStyle w:val="TOC2"/>
        <w:tabs>
          <w:tab w:val="right" w:leader="dot" w:pos="8306"/>
        </w:tabs>
      </w:pPr>
      <w:hyperlink w:anchor="_Toc29396" w:history="1">
        <w:r>
          <w:rPr>
            <w:rFonts w:ascii="仿宋" w:eastAsia="仿宋" w:hAnsi="仿宋" w:cs="仿宋" w:hint="eastAsia"/>
            <w:lang w:eastAsia="zh-CN"/>
          </w:rPr>
          <w:t>(四)、土建工程建设指标</w:t>
        </w:r>
        <w:r>
          <w:tab/>
        </w:r>
        <w:r>
          <w:fldChar w:fldCharType="begin"/>
        </w:r>
        <w:r>
          <w:instrText xml:space="preserve"> PAGEREF _Toc29396 \h </w:instrText>
        </w:r>
        <w:r>
          <w:fldChar w:fldCharType="separate"/>
        </w:r>
        <w:r>
          <w:t>8</w:t>
        </w:r>
        <w:r>
          <w:fldChar w:fldCharType="end"/>
        </w:r>
      </w:hyperlink>
    </w:p>
    <w:p>
      <w:pPr>
        <w:pStyle w:val="TOC1"/>
        <w:tabs>
          <w:tab w:val="right" w:leader="dot" w:pos="8306"/>
        </w:tabs>
      </w:pPr>
      <w:hyperlink w:anchor="_Toc7781" w:history="1">
        <w:r>
          <w:rPr>
            <w:rFonts w:ascii="仿宋" w:eastAsia="仿宋" w:hAnsi="仿宋" w:cs="仿宋" w:hint="eastAsia"/>
            <w:lang w:eastAsia="zh-CN"/>
          </w:rPr>
          <w:t>三、高速内圆磨床项目建设单位说明</w:t>
        </w:r>
        <w:r>
          <w:tab/>
        </w:r>
        <w:r>
          <w:fldChar w:fldCharType="begin"/>
        </w:r>
        <w:r>
          <w:instrText xml:space="preserve"> PAGEREF _Toc7781 \h </w:instrText>
        </w:r>
        <w:r>
          <w:fldChar w:fldCharType="separate"/>
        </w:r>
        <w:r>
          <w:t>8</w:t>
        </w:r>
        <w:r>
          <w:fldChar w:fldCharType="end"/>
        </w:r>
      </w:hyperlink>
    </w:p>
    <w:p>
      <w:pPr>
        <w:pStyle w:val="TOC2"/>
        <w:tabs>
          <w:tab w:val="right" w:leader="dot" w:pos="8306"/>
        </w:tabs>
      </w:pPr>
      <w:hyperlink w:anchor="_Toc11589" w:history="1">
        <w:r>
          <w:rPr>
            <w:rFonts w:ascii="仿宋" w:eastAsia="仿宋" w:hAnsi="仿宋" w:cs="仿宋" w:hint="eastAsia"/>
            <w:lang w:eastAsia="zh-CN"/>
          </w:rPr>
          <w:t>(一)、高速内圆磨床项目承办单位基本情况</w:t>
        </w:r>
        <w:r>
          <w:tab/>
        </w:r>
        <w:r>
          <w:fldChar w:fldCharType="begin"/>
        </w:r>
        <w:r>
          <w:instrText xml:space="preserve"> PAGEREF _Toc11589 \h </w:instrText>
        </w:r>
        <w:r>
          <w:fldChar w:fldCharType="separate"/>
        </w:r>
        <w:r>
          <w:t>8</w:t>
        </w:r>
        <w:r>
          <w:fldChar w:fldCharType="end"/>
        </w:r>
      </w:hyperlink>
    </w:p>
    <w:p>
      <w:pPr>
        <w:pStyle w:val="TOC2"/>
        <w:tabs>
          <w:tab w:val="right" w:leader="dot" w:pos="8306"/>
        </w:tabs>
      </w:pPr>
      <w:hyperlink w:anchor="_Toc15836" w:history="1">
        <w:r>
          <w:rPr>
            <w:rFonts w:ascii="仿宋" w:eastAsia="仿宋" w:hAnsi="仿宋" w:cs="仿宋" w:hint="eastAsia"/>
            <w:lang w:eastAsia="zh-CN"/>
          </w:rPr>
          <w:t>(二)、公司经济效益分析</w:t>
        </w:r>
        <w:r>
          <w:tab/>
        </w:r>
        <w:r>
          <w:fldChar w:fldCharType="begin"/>
        </w:r>
        <w:r>
          <w:instrText xml:space="preserve"> PAGEREF _Toc15836 \h </w:instrText>
        </w:r>
        <w:r>
          <w:fldChar w:fldCharType="separate"/>
        </w:r>
        <w:r>
          <w:t>9</w:t>
        </w:r>
        <w:r>
          <w:fldChar w:fldCharType="end"/>
        </w:r>
      </w:hyperlink>
    </w:p>
    <w:p>
      <w:pPr>
        <w:pStyle w:val="TOC1"/>
        <w:tabs>
          <w:tab w:val="right" w:leader="dot" w:pos="8306"/>
        </w:tabs>
      </w:pPr>
      <w:hyperlink w:anchor="_Toc16040" w:history="1">
        <w:r>
          <w:rPr>
            <w:rFonts w:ascii="仿宋" w:eastAsia="仿宋" w:hAnsi="仿宋" w:cs="仿宋" w:hint="eastAsia"/>
            <w:lang w:eastAsia="zh-CN"/>
          </w:rPr>
          <w:t>四、工艺说明</w:t>
        </w:r>
        <w:r>
          <w:tab/>
        </w:r>
        <w:r>
          <w:fldChar w:fldCharType="begin"/>
        </w:r>
        <w:r>
          <w:instrText xml:space="preserve"> PAGEREF _Toc16040 \h </w:instrText>
        </w:r>
        <w:r>
          <w:fldChar w:fldCharType="separate"/>
        </w:r>
        <w:r>
          <w:t>10</w:t>
        </w:r>
        <w:r>
          <w:fldChar w:fldCharType="end"/>
        </w:r>
      </w:hyperlink>
    </w:p>
    <w:p>
      <w:pPr>
        <w:pStyle w:val="TOC2"/>
        <w:tabs>
          <w:tab w:val="right" w:leader="dot" w:pos="8306"/>
        </w:tabs>
      </w:pPr>
      <w:hyperlink w:anchor="_Toc9725" w:history="1">
        <w:r>
          <w:rPr>
            <w:rFonts w:ascii="仿宋" w:eastAsia="仿宋" w:hAnsi="仿宋" w:cs="仿宋" w:hint="eastAsia"/>
            <w:lang w:eastAsia="zh-CN"/>
          </w:rPr>
          <w:t>(一)、技术管理特点</w:t>
        </w:r>
        <w:r>
          <w:tab/>
        </w:r>
        <w:r>
          <w:fldChar w:fldCharType="begin"/>
        </w:r>
        <w:r>
          <w:instrText xml:space="preserve"> PAGEREF _Toc9725 \h </w:instrText>
        </w:r>
        <w:r>
          <w:fldChar w:fldCharType="separate"/>
        </w:r>
        <w:r>
          <w:t>10</w:t>
        </w:r>
        <w:r>
          <w:fldChar w:fldCharType="end"/>
        </w:r>
      </w:hyperlink>
    </w:p>
    <w:p>
      <w:pPr>
        <w:pStyle w:val="TOC2"/>
        <w:tabs>
          <w:tab w:val="right" w:leader="dot" w:pos="8306"/>
        </w:tabs>
      </w:pPr>
      <w:hyperlink w:anchor="_Toc28287" w:history="1">
        <w:r>
          <w:rPr>
            <w:rFonts w:ascii="仿宋" w:eastAsia="仿宋" w:hAnsi="仿宋" w:cs="仿宋" w:hint="eastAsia"/>
            <w:lang w:eastAsia="zh-CN"/>
          </w:rPr>
          <w:t>(二)、高速内圆磨床项目工艺技术设计方案</w:t>
        </w:r>
        <w:r>
          <w:tab/>
        </w:r>
        <w:r>
          <w:fldChar w:fldCharType="begin"/>
        </w:r>
        <w:r>
          <w:instrText xml:space="preserve"> PAGEREF _Toc28287 \h </w:instrText>
        </w:r>
        <w:r>
          <w:fldChar w:fldCharType="separate"/>
        </w:r>
        <w:r>
          <w:t>11</w:t>
        </w:r>
        <w:r>
          <w:fldChar w:fldCharType="end"/>
        </w:r>
      </w:hyperlink>
    </w:p>
    <w:p>
      <w:pPr>
        <w:pStyle w:val="TOC2"/>
        <w:tabs>
          <w:tab w:val="right" w:leader="dot" w:pos="8306"/>
        </w:tabs>
      </w:pPr>
      <w:hyperlink w:anchor="_Toc9838" w:history="1">
        <w:r>
          <w:rPr>
            <w:rFonts w:ascii="仿宋" w:eastAsia="仿宋" w:hAnsi="仿宋" w:cs="仿宋" w:hint="eastAsia"/>
            <w:lang w:eastAsia="zh-CN"/>
          </w:rPr>
          <w:t>(三)、设备选型方案</w:t>
        </w:r>
        <w:r>
          <w:tab/>
        </w:r>
        <w:r>
          <w:fldChar w:fldCharType="begin"/>
        </w:r>
        <w:r>
          <w:instrText xml:space="preserve"> PAGEREF _Toc9838 \h </w:instrText>
        </w:r>
        <w:r>
          <w:fldChar w:fldCharType="separate"/>
        </w:r>
        <w:r>
          <w:t>12</w:t>
        </w:r>
        <w:r>
          <w:fldChar w:fldCharType="end"/>
        </w:r>
      </w:hyperlink>
    </w:p>
    <w:p>
      <w:pPr>
        <w:pStyle w:val="TOC1"/>
        <w:tabs>
          <w:tab w:val="right" w:leader="dot" w:pos="8306"/>
        </w:tabs>
      </w:pPr>
      <w:hyperlink w:anchor="_Toc25459" w:history="1">
        <w:r>
          <w:rPr>
            <w:rFonts w:ascii="仿宋" w:eastAsia="仿宋" w:hAnsi="仿宋" w:cs="仿宋" w:hint="eastAsia"/>
            <w:lang w:eastAsia="zh-CN"/>
          </w:rPr>
          <w:t>五、高速内圆磨床项目选址可行性分析</w:t>
        </w:r>
        <w:r>
          <w:tab/>
        </w:r>
        <w:r>
          <w:fldChar w:fldCharType="begin"/>
        </w:r>
        <w:r>
          <w:instrText xml:space="preserve"> PAGEREF _Toc25459 \h </w:instrText>
        </w:r>
        <w:r>
          <w:fldChar w:fldCharType="separate"/>
        </w:r>
        <w:r>
          <w:t>13</w:t>
        </w:r>
        <w:r>
          <w:fldChar w:fldCharType="end"/>
        </w:r>
      </w:hyperlink>
    </w:p>
    <w:p>
      <w:pPr>
        <w:pStyle w:val="TOC2"/>
        <w:tabs>
          <w:tab w:val="right" w:leader="dot" w:pos="8306"/>
        </w:tabs>
      </w:pPr>
      <w:hyperlink w:anchor="_Toc29276" w:history="1">
        <w:r>
          <w:rPr>
            <w:rFonts w:ascii="仿宋" w:eastAsia="仿宋" w:hAnsi="仿宋" w:cs="仿宋" w:hint="eastAsia"/>
            <w:lang w:eastAsia="zh-CN"/>
          </w:rPr>
          <w:t>(一)、高速内圆磨床项目选址</w:t>
        </w:r>
        <w:r>
          <w:tab/>
        </w:r>
        <w:r>
          <w:fldChar w:fldCharType="begin"/>
        </w:r>
        <w:r>
          <w:instrText xml:space="preserve"> PAGEREF _Toc29276 \h </w:instrText>
        </w:r>
        <w:r>
          <w:fldChar w:fldCharType="separate"/>
        </w:r>
        <w:r>
          <w:t>13</w:t>
        </w:r>
        <w:r>
          <w:fldChar w:fldCharType="end"/>
        </w:r>
      </w:hyperlink>
    </w:p>
    <w:p>
      <w:pPr>
        <w:pStyle w:val="TOC2"/>
        <w:tabs>
          <w:tab w:val="right" w:leader="dot" w:pos="8306"/>
        </w:tabs>
      </w:pPr>
      <w:hyperlink w:anchor="_Toc22119" w:history="1">
        <w:r>
          <w:rPr>
            <w:rFonts w:ascii="仿宋" w:eastAsia="仿宋" w:hAnsi="仿宋" w:cs="仿宋" w:hint="eastAsia"/>
            <w:lang w:eastAsia="zh-CN"/>
          </w:rPr>
          <w:t>(二)、用地控制指标</w:t>
        </w:r>
        <w:r>
          <w:tab/>
        </w:r>
        <w:r>
          <w:fldChar w:fldCharType="begin"/>
        </w:r>
        <w:r>
          <w:instrText xml:space="preserve"> PAGEREF _Toc22119 \h </w:instrText>
        </w:r>
        <w:r>
          <w:fldChar w:fldCharType="separate"/>
        </w:r>
        <w:r>
          <w:t>14</w:t>
        </w:r>
        <w:r>
          <w:fldChar w:fldCharType="end"/>
        </w:r>
      </w:hyperlink>
    </w:p>
    <w:p>
      <w:pPr>
        <w:pStyle w:val="TOC2"/>
        <w:tabs>
          <w:tab w:val="right" w:leader="dot" w:pos="8306"/>
        </w:tabs>
      </w:pPr>
      <w:hyperlink w:anchor="_Toc4069" w:history="1">
        <w:r>
          <w:rPr>
            <w:rFonts w:ascii="仿宋" w:eastAsia="仿宋" w:hAnsi="仿宋" w:cs="仿宋" w:hint="eastAsia"/>
            <w:lang w:eastAsia="zh-CN"/>
          </w:rPr>
          <w:t>(三)、节约用地措施</w:t>
        </w:r>
        <w:r>
          <w:tab/>
        </w:r>
        <w:r>
          <w:fldChar w:fldCharType="begin"/>
        </w:r>
        <w:r>
          <w:instrText xml:space="preserve"> PAGEREF _Toc4069 \h </w:instrText>
        </w:r>
        <w:r>
          <w:fldChar w:fldCharType="separate"/>
        </w:r>
        <w:r>
          <w:t>15</w:t>
        </w:r>
        <w:r>
          <w:fldChar w:fldCharType="end"/>
        </w:r>
      </w:hyperlink>
    </w:p>
    <w:p>
      <w:pPr>
        <w:pStyle w:val="TOC2"/>
        <w:tabs>
          <w:tab w:val="right" w:leader="dot" w:pos="8306"/>
        </w:tabs>
      </w:pPr>
      <w:hyperlink w:anchor="_Toc10938" w:history="1">
        <w:r>
          <w:rPr>
            <w:rFonts w:ascii="仿宋" w:eastAsia="仿宋" w:hAnsi="仿宋" w:cs="仿宋" w:hint="eastAsia"/>
            <w:lang w:eastAsia="zh-CN"/>
          </w:rPr>
          <w:t>(四)、总图布置方案</w:t>
        </w:r>
        <w:r>
          <w:tab/>
        </w:r>
        <w:r>
          <w:fldChar w:fldCharType="begin"/>
        </w:r>
        <w:r>
          <w:instrText xml:space="preserve"> PAGEREF _Toc10938 \h </w:instrText>
        </w:r>
        <w:r>
          <w:fldChar w:fldCharType="separate"/>
        </w:r>
        <w:r>
          <w:t>17</w:t>
        </w:r>
        <w:r>
          <w:fldChar w:fldCharType="end"/>
        </w:r>
      </w:hyperlink>
    </w:p>
    <w:p>
      <w:pPr>
        <w:pStyle w:val="TOC2"/>
        <w:tabs>
          <w:tab w:val="right" w:leader="dot" w:pos="8306"/>
        </w:tabs>
      </w:pPr>
      <w:hyperlink w:anchor="_Toc23485" w:history="1">
        <w:r>
          <w:rPr>
            <w:rFonts w:ascii="仿宋" w:eastAsia="仿宋" w:hAnsi="仿宋" w:cs="仿宋" w:hint="eastAsia"/>
            <w:lang w:eastAsia="zh-CN"/>
          </w:rPr>
          <w:t>(五)、选址综合评价</w:t>
        </w:r>
        <w:r>
          <w:tab/>
        </w:r>
        <w:r>
          <w:fldChar w:fldCharType="begin"/>
        </w:r>
        <w:r>
          <w:instrText xml:space="preserve"> PAGEREF _Toc23485 \h </w:instrText>
        </w:r>
        <w:r>
          <w:fldChar w:fldCharType="separate"/>
        </w:r>
        <w:r>
          <w:t>18</w:t>
        </w:r>
        <w:r>
          <w:fldChar w:fldCharType="end"/>
        </w:r>
      </w:hyperlink>
    </w:p>
    <w:p>
      <w:pPr>
        <w:pStyle w:val="TOC1"/>
        <w:tabs>
          <w:tab w:val="right" w:leader="dot" w:pos="8306"/>
        </w:tabs>
      </w:pPr>
      <w:hyperlink w:anchor="_Toc32221" w:history="1">
        <w:r>
          <w:rPr>
            <w:rFonts w:ascii="仿宋" w:eastAsia="仿宋" w:hAnsi="仿宋" w:cs="仿宋" w:hint="eastAsia"/>
            <w:lang w:eastAsia="zh-CN"/>
          </w:rPr>
          <w:t>六、高速内圆磨床项目危机管理</w:t>
        </w:r>
        <w:r>
          <w:tab/>
        </w:r>
        <w:r>
          <w:fldChar w:fldCharType="begin"/>
        </w:r>
        <w:r>
          <w:instrText xml:space="preserve"> PAGEREF _Toc32221 \h </w:instrText>
        </w:r>
        <w:r>
          <w:fldChar w:fldCharType="separate"/>
        </w:r>
        <w:r>
          <w:t>19</w:t>
        </w:r>
        <w:r>
          <w:fldChar w:fldCharType="end"/>
        </w:r>
      </w:hyperlink>
    </w:p>
    <w:p>
      <w:pPr>
        <w:pStyle w:val="TOC2"/>
        <w:tabs>
          <w:tab w:val="right" w:leader="dot" w:pos="8306"/>
        </w:tabs>
      </w:pPr>
      <w:hyperlink w:anchor="_Toc2806" w:history="1">
        <w:r>
          <w:rPr>
            <w:rFonts w:ascii="仿宋" w:eastAsia="仿宋" w:hAnsi="仿宋" w:cs="仿宋" w:hint="eastAsia"/>
            <w:lang w:eastAsia="zh-CN"/>
          </w:rPr>
          <w:t>(一)、危机预警与识别</w:t>
        </w:r>
        <w:r>
          <w:tab/>
        </w:r>
        <w:r>
          <w:fldChar w:fldCharType="begin"/>
        </w:r>
        <w:r>
          <w:instrText xml:space="preserve"> PAGEREF _Toc2806 \h </w:instrText>
        </w:r>
        <w:r>
          <w:fldChar w:fldCharType="separate"/>
        </w:r>
        <w:r>
          <w:t>19</w:t>
        </w:r>
        <w:r>
          <w:fldChar w:fldCharType="end"/>
        </w:r>
      </w:hyperlink>
    </w:p>
    <w:p>
      <w:pPr>
        <w:pStyle w:val="TOC2"/>
        <w:tabs>
          <w:tab w:val="right" w:leader="dot" w:pos="8306"/>
        </w:tabs>
      </w:pPr>
      <w:hyperlink w:anchor="_Toc4210" w:history="1">
        <w:r>
          <w:rPr>
            <w:rFonts w:ascii="仿宋" w:eastAsia="仿宋" w:hAnsi="仿宋" w:cs="仿宋" w:hint="eastAsia"/>
            <w:lang w:eastAsia="zh-CN"/>
          </w:rPr>
          <w:t>(二)、危机应对与恢复</w:t>
        </w:r>
        <w:r>
          <w:tab/>
        </w:r>
        <w:r>
          <w:fldChar w:fldCharType="begin"/>
        </w:r>
        <w:r>
          <w:instrText xml:space="preserve"> PAGEREF _Toc4210 \h </w:instrText>
        </w:r>
        <w:r>
          <w:fldChar w:fldCharType="separate"/>
        </w:r>
        <w:r>
          <w:t>20</w:t>
        </w:r>
        <w:r>
          <w:fldChar w:fldCharType="end"/>
        </w:r>
      </w:hyperlink>
    </w:p>
    <w:p>
      <w:pPr>
        <w:pStyle w:val="TOC1"/>
        <w:tabs>
          <w:tab w:val="right" w:leader="dot" w:pos="8306"/>
        </w:tabs>
      </w:pPr>
      <w:hyperlink w:anchor="_Toc9240" w:history="1">
        <w:r>
          <w:rPr>
            <w:rFonts w:ascii="仿宋" w:eastAsia="仿宋" w:hAnsi="仿宋" w:cs="仿宋" w:hint="eastAsia"/>
            <w:lang w:eastAsia="zh-CN"/>
          </w:rPr>
          <w:t>七、高速内圆磨床项目风险管理</w:t>
        </w:r>
        <w:r>
          <w:tab/>
        </w:r>
        <w:r>
          <w:fldChar w:fldCharType="begin"/>
        </w:r>
        <w:r>
          <w:instrText xml:space="preserve"> PAGEREF _Toc9240 \h </w:instrText>
        </w:r>
        <w:r>
          <w:fldChar w:fldCharType="separate"/>
        </w:r>
        <w:r>
          <w:t>21</w:t>
        </w:r>
        <w:r>
          <w:fldChar w:fldCharType="end"/>
        </w:r>
      </w:hyperlink>
    </w:p>
    <w:p>
      <w:pPr>
        <w:pStyle w:val="TOC2"/>
        <w:tabs>
          <w:tab w:val="right" w:leader="dot" w:pos="8306"/>
        </w:tabs>
      </w:pPr>
      <w:hyperlink w:anchor="_Toc15756" w:history="1">
        <w:r>
          <w:rPr>
            <w:rFonts w:ascii="仿宋" w:eastAsia="仿宋" w:hAnsi="仿宋" w:cs="仿宋" w:hint="eastAsia"/>
            <w:lang w:eastAsia="zh-CN"/>
          </w:rPr>
          <w:t>(一)、风险识别与评估</w:t>
        </w:r>
        <w:r>
          <w:tab/>
        </w:r>
        <w:r>
          <w:fldChar w:fldCharType="begin"/>
        </w:r>
        <w:r>
          <w:instrText xml:space="preserve"> PAGEREF _Toc15756 \h </w:instrText>
        </w:r>
        <w:r>
          <w:fldChar w:fldCharType="separate"/>
        </w:r>
        <w:r>
          <w:t>21</w:t>
        </w:r>
        <w:r>
          <w:fldChar w:fldCharType="end"/>
        </w:r>
      </w:hyperlink>
    </w:p>
    <w:p>
      <w:pPr>
        <w:pStyle w:val="TOC2"/>
        <w:tabs>
          <w:tab w:val="right" w:leader="dot" w:pos="8306"/>
        </w:tabs>
      </w:pPr>
      <w:hyperlink w:anchor="_Toc29162" w:history="1">
        <w:r>
          <w:rPr>
            <w:rFonts w:ascii="仿宋" w:eastAsia="仿宋" w:hAnsi="仿宋" w:cs="仿宋" w:hint="eastAsia"/>
            <w:lang w:eastAsia="zh-CN"/>
          </w:rPr>
          <w:t>(二)、风险应对策略</w:t>
        </w:r>
        <w:r>
          <w:tab/>
        </w:r>
        <w:r>
          <w:fldChar w:fldCharType="begin"/>
        </w:r>
        <w:r>
          <w:instrText xml:space="preserve"> PAGEREF _Toc29162 \h </w:instrText>
        </w:r>
        <w:r>
          <w:fldChar w:fldCharType="separate"/>
        </w:r>
        <w:r>
          <w:t>22</w:t>
        </w:r>
        <w:r>
          <w:fldChar w:fldCharType="end"/>
        </w:r>
      </w:hyperlink>
    </w:p>
    <w:p>
      <w:pPr>
        <w:pStyle w:val="TOC2"/>
        <w:tabs>
          <w:tab w:val="right" w:leader="dot" w:pos="8306"/>
        </w:tabs>
      </w:pPr>
      <w:hyperlink w:anchor="_Toc6348" w:history="1">
        <w:r>
          <w:rPr>
            <w:rFonts w:ascii="仿宋" w:eastAsia="仿宋" w:hAnsi="仿宋" w:cs="仿宋" w:hint="eastAsia"/>
            <w:lang w:eastAsia="zh-CN"/>
          </w:rPr>
          <w:t>(三)、风险监控与控制</w:t>
        </w:r>
        <w:r>
          <w:tab/>
        </w:r>
        <w:r>
          <w:fldChar w:fldCharType="begin"/>
        </w:r>
        <w:r>
          <w:instrText xml:space="preserve"> PAGEREF _Toc6348 \h </w:instrText>
        </w:r>
        <w:r>
          <w:fldChar w:fldCharType="separate"/>
        </w:r>
        <w:r>
          <w:t>24</w:t>
        </w:r>
        <w:r>
          <w:fldChar w:fldCharType="end"/>
        </w:r>
      </w:hyperlink>
    </w:p>
    <w:p>
      <w:pPr>
        <w:pStyle w:val="TOC1"/>
        <w:tabs>
          <w:tab w:val="right" w:leader="dot" w:pos="8306"/>
        </w:tabs>
      </w:pPr>
      <w:hyperlink w:anchor="_Toc17825" w:history="1">
        <w:r>
          <w:rPr>
            <w:rFonts w:ascii="仿宋" w:eastAsia="仿宋" w:hAnsi="仿宋" w:cs="仿宋" w:hint="eastAsia"/>
            <w:lang w:eastAsia="zh-CN"/>
          </w:rPr>
          <w:t>八、高速内圆磨床项目人力资源管理</w:t>
        </w:r>
        <w:r>
          <w:tab/>
        </w:r>
        <w:r>
          <w:fldChar w:fldCharType="begin"/>
        </w:r>
        <w:r>
          <w:instrText xml:space="preserve"> PAGEREF _Toc17825 \h </w:instrText>
        </w:r>
        <w:r>
          <w:fldChar w:fldCharType="separate"/>
        </w:r>
        <w:r>
          <w:t>25</w:t>
        </w:r>
        <w:r>
          <w:fldChar w:fldCharType="end"/>
        </w:r>
      </w:hyperlink>
    </w:p>
    <w:p>
      <w:pPr>
        <w:pStyle w:val="TOC2"/>
        <w:tabs>
          <w:tab w:val="right" w:leader="dot" w:pos="8306"/>
        </w:tabs>
      </w:pPr>
      <w:hyperlink w:anchor="_Toc21093" w:history="1">
        <w:r>
          <w:rPr>
            <w:rFonts w:ascii="仿宋" w:eastAsia="仿宋" w:hAnsi="仿宋" w:cs="仿宋" w:hint="eastAsia"/>
            <w:lang w:eastAsia="zh-CN"/>
          </w:rPr>
          <w:t>(一)、建立健全的预算管理制度</w:t>
        </w:r>
        <w:r>
          <w:tab/>
        </w:r>
        <w:r>
          <w:fldChar w:fldCharType="begin"/>
        </w:r>
        <w:r>
          <w:instrText xml:space="preserve"> PAGEREF _Toc21093 \h </w:instrText>
        </w:r>
        <w:r>
          <w:fldChar w:fldCharType="separate"/>
        </w:r>
        <w:r>
          <w:t>25</w:t>
        </w:r>
        <w:r>
          <w:fldChar w:fldCharType="end"/>
        </w:r>
      </w:hyperlink>
    </w:p>
    <w:p>
      <w:pPr>
        <w:pStyle w:val="TOC2"/>
        <w:tabs>
          <w:tab w:val="right" w:leader="dot" w:pos="8306"/>
        </w:tabs>
      </w:pPr>
      <w:hyperlink w:anchor="_Toc19269" w:history="1">
        <w:r>
          <w:rPr>
            <w:rFonts w:ascii="仿宋" w:eastAsia="仿宋" w:hAnsi="仿宋" w:cs="仿宋" w:hint="eastAsia"/>
            <w:lang w:eastAsia="zh-CN"/>
          </w:rPr>
          <w:t>(二)、加强资金流动监控</w:t>
        </w:r>
        <w:r>
          <w:tab/>
        </w:r>
        <w:r>
          <w:fldChar w:fldCharType="begin"/>
        </w:r>
        <w:r>
          <w:instrText xml:space="preserve"> PAGEREF _Toc19269 \h </w:instrText>
        </w:r>
        <w:r>
          <w:fldChar w:fldCharType="separate"/>
        </w:r>
        <w:r>
          <w:t>27</w:t>
        </w:r>
        <w:r>
          <w:fldChar w:fldCharType="end"/>
        </w:r>
      </w:hyperlink>
    </w:p>
    <w:p>
      <w:pPr>
        <w:pStyle w:val="TOC2"/>
        <w:tabs>
          <w:tab w:val="right" w:leader="dot" w:pos="8306"/>
        </w:tabs>
      </w:pPr>
      <w:hyperlink w:anchor="_Toc14418" w:history="1">
        <w:r>
          <w:rPr>
            <w:rFonts w:ascii="仿宋" w:eastAsia="仿宋" w:hAnsi="仿宋" w:cs="仿宋" w:hint="eastAsia"/>
            <w:lang w:eastAsia="zh-CN"/>
          </w:rPr>
          <w:t>(三)、制定完善的风险控制机制</w:t>
        </w:r>
        <w:r>
          <w:tab/>
        </w:r>
        <w:r>
          <w:fldChar w:fldCharType="begin"/>
        </w:r>
        <w:r>
          <w:instrText xml:space="preserve"> PAGEREF _Toc14418 \h </w:instrText>
        </w:r>
        <w:r>
          <w:fldChar w:fldCharType="separate"/>
        </w:r>
        <w:r>
          <w:t>28</w:t>
        </w:r>
        <w:r>
          <w:fldChar w:fldCharType="end"/>
        </w:r>
      </w:hyperlink>
    </w:p>
    <w:p>
      <w:pPr>
        <w:pStyle w:val="TOC2"/>
        <w:tabs>
          <w:tab w:val="right" w:leader="dot" w:pos="8306"/>
        </w:tabs>
      </w:pPr>
      <w:hyperlink w:anchor="_Toc2705" w:history="1">
        <w:r>
          <w:rPr>
            <w:rFonts w:ascii="仿宋" w:eastAsia="仿宋" w:hAnsi="仿宋" w:cs="仿宋" w:hint="eastAsia"/>
            <w:lang w:eastAsia="zh-CN"/>
          </w:rPr>
          <w:t>(四)、优化成本管理</w:t>
        </w:r>
        <w:r>
          <w:tab/>
        </w:r>
        <w:r>
          <w:fldChar w:fldCharType="begin"/>
        </w:r>
        <w:r>
          <w:instrText xml:space="preserve"> PAGEREF _Toc2705 \h </w:instrText>
        </w:r>
        <w:r>
          <w:fldChar w:fldCharType="separate"/>
        </w:r>
        <w:r>
          <w:t>29</w:t>
        </w:r>
        <w:r>
          <w:fldChar w:fldCharType="end"/>
        </w:r>
      </w:hyperlink>
    </w:p>
    <w:p>
      <w:pPr>
        <w:pStyle w:val="TOC1"/>
        <w:tabs>
          <w:tab w:val="right" w:leader="dot" w:pos="8306"/>
        </w:tabs>
      </w:pPr>
      <w:hyperlink w:anchor="_Toc9804" w:history="1">
        <w:r>
          <w:rPr>
            <w:rFonts w:ascii="仿宋" w:eastAsia="仿宋" w:hAnsi="仿宋" w:cs="仿宋" w:hint="eastAsia"/>
            <w:lang w:eastAsia="zh-CN"/>
          </w:rPr>
          <w:t>九、高速内圆磨床项目投资规划</w:t>
        </w:r>
        <w:r>
          <w:tab/>
        </w:r>
        <w:r>
          <w:fldChar w:fldCharType="begin"/>
        </w:r>
        <w:r>
          <w:instrText xml:space="preserve"> PAGEREF _Toc9804 \h </w:instrText>
        </w:r>
        <w:r>
          <w:fldChar w:fldCharType="separate"/>
        </w:r>
        <w:r>
          <w:t>31</w:t>
        </w:r>
        <w:r>
          <w:fldChar w:fldCharType="end"/>
        </w:r>
      </w:hyperlink>
    </w:p>
    <w:p>
      <w:pPr>
        <w:pStyle w:val="TOC2"/>
        <w:tabs>
          <w:tab w:val="right" w:leader="dot" w:pos="8306"/>
        </w:tabs>
      </w:pPr>
      <w:hyperlink w:anchor="_Toc16293" w:history="1">
        <w:r>
          <w:rPr>
            <w:rFonts w:ascii="仿宋" w:eastAsia="仿宋" w:hAnsi="仿宋" w:cs="仿宋" w:hint="eastAsia"/>
            <w:lang w:eastAsia="zh-CN"/>
          </w:rPr>
          <w:t>(一)、高速内圆磨床项目总投资估算</w:t>
        </w:r>
        <w:r>
          <w:tab/>
        </w:r>
        <w:r>
          <w:fldChar w:fldCharType="begin"/>
        </w:r>
        <w:r>
          <w:instrText xml:space="preserve"> PAGEREF _Toc16293 \h </w:instrText>
        </w:r>
        <w:r>
          <w:fldChar w:fldCharType="separate"/>
        </w:r>
        <w:r>
          <w:t>31</w:t>
        </w:r>
        <w:r>
          <w:fldChar w:fldCharType="end"/>
        </w:r>
      </w:hyperlink>
    </w:p>
    <w:p>
      <w:pPr>
        <w:pStyle w:val="TOC2"/>
        <w:tabs>
          <w:tab w:val="right" w:leader="dot" w:pos="8306"/>
        </w:tabs>
      </w:pPr>
      <w:hyperlink w:anchor="_Toc563" w:history="1">
        <w:r>
          <w:rPr>
            <w:rFonts w:ascii="仿宋" w:eastAsia="仿宋" w:hAnsi="仿宋" w:cs="仿宋" w:hint="eastAsia"/>
            <w:lang w:eastAsia="zh-CN"/>
          </w:rPr>
          <w:t>(二)、资金筹措</w:t>
        </w:r>
        <w:r>
          <w:tab/>
        </w:r>
        <w:r>
          <w:fldChar w:fldCharType="begin"/>
        </w:r>
        <w:r>
          <w:instrText xml:space="preserve"> PAGEREF _Toc563 \h </w:instrText>
        </w:r>
        <w:r>
          <w:fldChar w:fldCharType="separate"/>
        </w:r>
        <w:r>
          <w:t>32</w:t>
        </w:r>
        <w:r>
          <w:fldChar w:fldCharType="end"/>
        </w:r>
      </w:hyperlink>
    </w:p>
    <w:p>
      <w:pPr>
        <w:pStyle w:val="TOC1"/>
        <w:tabs>
          <w:tab w:val="right" w:leader="dot" w:pos="8306"/>
        </w:tabs>
      </w:pPr>
      <w:hyperlink w:anchor="_Toc21034" w:history="1">
        <w:r>
          <w:rPr>
            <w:rFonts w:ascii="仿宋" w:eastAsia="仿宋" w:hAnsi="仿宋" w:cs="仿宋" w:hint="eastAsia"/>
            <w:lang w:eastAsia="zh-CN"/>
          </w:rPr>
          <w:t>十、高速内圆磨床项目经营效益</w:t>
        </w:r>
        <w:r>
          <w:tab/>
        </w:r>
        <w:r>
          <w:fldChar w:fldCharType="begin"/>
        </w:r>
        <w:r>
          <w:instrText xml:space="preserve"> PAGEREF _Toc21034 \h </w:instrText>
        </w:r>
        <w:r>
          <w:fldChar w:fldCharType="separate"/>
        </w:r>
        <w:r>
          <w:t>33</w:t>
        </w:r>
        <w:r>
          <w:fldChar w:fldCharType="end"/>
        </w:r>
      </w:hyperlink>
    </w:p>
    <w:p>
      <w:pPr>
        <w:pStyle w:val="TOC2"/>
        <w:tabs>
          <w:tab w:val="right" w:leader="dot" w:pos="8306"/>
        </w:tabs>
      </w:pPr>
      <w:hyperlink w:anchor="_Toc4368" w:history="1">
        <w:r>
          <w:rPr>
            <w:rFonts w:ascii="仿宋" w:eastAsia="仿宋" w:hAnsi="仿宋" w:cs="仿宋" w:hint="eastAsia"/>
            <w:lang w:eastAsia="zh-CN"/>
          </w:rPr>
          <w:t>(一)、经济评价财务测算</w:t>
        </w:r>
        <w:r>
          <w:tab/>
        </w:r>
        <w:r>
          <w:fldChar w:fldCharType="begin"/>
        </w:r>
        <w:r>
          <w:instrText xml:space="preserve"> PAGEREF _Toc4368 \h </w:instrText>
        </w:r>
        <w:r>
          <w:fldChar w:fldCharType="separate"/>
        </w:r>
        <w:r>
          <w:t>33</w:t>
        </w:r>
        <w:r>
          <w:fldChar w:fldCharType="end"/>
        </w:r>
      </w:hyperlink>
    </w:p>
    <w:p>
      <w:pPr>
        <w:pStyle w:val="TOC2"/>
        <w:tabs>
          <w:tab w:val="right" w:leader="dot" w:pos="8306"/>
        </w:tabs>
      </w:pPr>
      <w:hyperlink w:anchor="_Toc9964" w:history="1">
        <w:r>
          <w:rPr>
            <w:rFonts w:ascii="仿宋" w:eastAsia="仿宋" w:hAnsi="仿宋" w:cs="仿宋" w:hint="eastAsia"/>
            <w:lang w:eastAsia="zh-CN"/>
          </w:rPr>
          <w:t>(二)、高速内圆磨床项目盈利能力分析</w:t>
        </w:r>
        <w:r>
          <w:tab/>
        </w:r>
        <w:r>
          <w:fldChar w:fldCharType="begin"/>
        </w:r>
        <w:r>
          <w:instrText xml:space="preserve"> PAGEREF _Toc9964 \h </w:instrText>
        </w:r>
        <w:r>
          <w:fldChar w:fldCharType="separate"/>
        </w:r>
        <w:r>
          <w:t>34</w:t>
        </w:r>
        <w:r>
          <w:fldChar w:fldCharType="end"/>
        </w:r>
      </w:hyperlink>
    </w:p>
    <w:p>
      <w:pPr>
        <w:pStyle w:val="TOC1"/>
        <w:tabs>
          <w:tab w:val="right" w:leader="dot" w:pos="8306"/>
        </w:tabs>
      </w:pPr>
      <w:hyperlink w:anchor="_Toc4315" w:history="1">
        <w:r>
          <w:rPr>
            <w:rFonts w:ascii="仿宋" w:eastAsia="仿宋" w:hAnsi="仿宋" w:cs="仿宋" w:hint="eastAsia"/>
            <w:lang w:eastAsia="zh-CN"/>
          </w:rPr>
          <w:t>十一、高速内圆磨床项目技术管理</w:t>
        </w:r>
        <w:r>
          <w:tab/>
        </w:r>
        <w:r>
          <w:fldChar w:fldCharType="begin"/>
        </w:r>
        <w:r>
          <w:instrText xml:space="preserve"> PAGEREF _Toc4315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73" w:history="1">
        <w:r>
          <w:rPr>
            <w:rFonts w:ascii="仿宋" w:eastAsia="仿宋" w:hAnsi="仿宋" w:cs="仿宋" w:hint="eastAsia"/>
            <w:lang w:eastAsia="zh-CN"/>
          </w:rPr>
          <w:t>(一)、技术方案选用方向</w:t>
        </w:r>
        <w:r>
          <w:tab/>
        </w:r>
        <w:r>
          <w:fldChar w:fldCharType="begin"/>
        </w:r>
        <w:r>
          <w:instrText xml:space="preserve"> PAGEREF _Toc9973 \h </w:instrText>
        </w:r>
        <w:r>
          <w:fldChar w:fldCharType="separate"/>
        </w:r>
        <w:r>
          <w:t>35</w:t>
        </w:r>
        <w:r>
          <w:fldChar w:fldCharType="end"/>
        </w:r>
      </w:hyperlink>
    </w:p>
    <w:p>
      <w:pPr>
        <w:pStyle w:val="TOC2"/>
        <w:tabs>
          <w:tab w:val="right" w:leader="dot" w:pos="8306"/>
        </w:tabs>
      </w:pPr>
      <w:hyperlink w:anchor="_Toc9633" w:history="1">
        <w:r>
          <w:rPr>
            <w:rFonts w:ascii="仿宋" w:eastAsia="仿宋" w:hAnsi="仿宋" w:cs="仿宋" w:hint="eastAsia"/>
            <w:lang w:eastAsia="zh-CN"/>
          </w:rPr>
          <w:t>(二)、工艺技术方案选用原则</w:t>
        </w:r>
        <w:r>
          <w:tab/>
        </w:r>
        <w:r>
          <w:fldChar w:fldCharType="begin"/>
        </w:r>
        <w:r>
          <w:instrText xml:space="preserve"> PAGEREF _Toc9633 \h </w:instrText>
        </w:r>
        <w:r>
          <w:fldChar w:fldCharType="separate"/>
        </w:r>
        <w:r>
          <w:t>36</w:t>
        </w:r>
        <w:r>
          <w:fldChar w:fldCharType="end"/>
        </w:r>
      </w:hyperlink>
    </w:p>
    <w:p>
      <w:pPr>
        <w:pStyle w:val="TOC2"/>
        <w:tabs>
          <w:tab w:val="right" w:leader="dot" w:pos="8306"/>
        </w:tabs>
      </w:pPr>
      <w:hyperlink w:anchor="_Toc28833" w:history="1">
        <w:r>
          <w:rPr>
            <w:rFonts w:ascii="仿宋" w:eastAsia="仿宋" w:hAnsi="仿宋" w:cs="仿宋" w:hint="eastAsia"/>
            <w:lang w:eastAsia="zh-CN"/>
          </w:rPr>
          <w:t>(三)、工艺技术方案要求</w:t>
        </w:r>
        <w:r>
          <w:tab/>
        </w:r>
        <w:r>
          <w:fldChar w:fldCharType="begin"/>
        </w:r>
        <w:r>
          <w:instrText xml:space="preserve"> PAGEREF _Toc28833 \h </w:instrText>
        </w:r>
        <w:r>
          <w:fldChar w:fldCharType="separate"/>
        </w:r>
        <w:r>
          <w:t>39</w:t>
        </w:r>
        <w:r>
          <w:fldChar w:fldCharType="end"/>
        </w:r>
      </w:hyperlink>
    </w:p>
    <w:p>
      <w:pPr>
        <w:pStyle w:val="TOC1"/>
        <w:tabs>
          <w:tab w:val="right" w:leader="dot" w:pos="8306"/>
        </w:tabs>
      </w:pPr>
      <w:hyperlink w:anchor="_Toc23751" w:history="1">
        <w:r>
          <w:rPr>
            <w:rFonts w:ascii="仿宋" w:eastAsia="仿宋" w:hAnsi="仿宋" w:cs="仿宋" w:hint="eastAsia"/>
            <w:lang w:eastAsia="zh-CN"/>
          </w:rPr>
          <w:t>十二、高速内圆磨床项目社会影响</w:t>
        </w:r>
        <w:r>
          <w:tab/>
        </w:r>
        <w:r>
          <w:fldChar w:fldCharType="begin"/>
        </w:r>
        <w:r>
          <w:instrText xml:space="preserve"> PAGEREF _Toc23751 \h </w:instrText>
        </w:r>
        <w:r>
          <w:fldChar w:fldCharType="separate"/>
        </w:r>
        <w:r>
          <w:t>41</w:t>
        </w:r>
        <w:r>
          <w:fldChar w:fldCharType="end"/>
        </w:r>
      </w:hyperlink>
    </w:p>
    <w:p>
      <w:pPr>
        <w:pStyle w:val="TOC2"/>
        <w:tabs>
          <w:tab w:val="right" w:leader="dot" w:pos="8306"/>
        </w:tabs>
      </w:pPr>
      <w:hyperlink w:anchor="_Toc2639" w:history="1">
        <w:r>
          <w:rPr>
            <w:rFonts w:ascii="仿宋" w:eastAsia="仿宋" w:hAnsi="仿宋" w:cs="仿宋" w:hint="eastAsia"/>
            <w:lang w:eastAsia="zh-CN"/>
          </w:rPr>
          <w:t>(一)、社会责任与义务</w:t>
        </w:r>
        <w:r>
          <w:tab/>
        </w:r>
        <w:r>
          <w:fldChar w:fldCharType="begin"/>
        </w:r>
        <w:r>
          <w:instrText xml:space="preserve"> PAGEREF _Toc2639 \h </w:instrText>
        </w:r>
        <w:r>
          <w:fldChar w:fldCharType="separate"/>
        </w:r>
        <w:r>
          <w:t>41</w:t>
        </w:r>
        <w:r>
          <w:fldChar w:fldCharType="end"/>
        </w:r>
      </w:hyperlink>
    </w:p>
    <w:p>
      <w:pPr>
        <w:pStyle w:val="TOC2"/>
        <w:tabs>
          <w:tab w:val="right" w:leader="dot" w:pos="8306"/>
        </w:tabs>
      </w:pPr>
      <w:hyperlink w:anchor="_Toc24445" w:history="1">
        <w:r>
          <w:rPr>
            <w:rFonts w:ascii="仿宋" w:eastAsia="仿宋" w:hAnsi="仿宋" w:cs="仿宋" w:hint="eastAsia"/>
            <w:lang w:eastAsia="zh-CN"/>
          </w:rPr>
          <w:t>(二)、社会参与与沟通</w:t>
        </w:r>
        <w:r>
          <w:tab/>
        </w:r>
        <w:r>
          <w:fldChar w:fldCharType="begin"/>
        </w:r>
        <w:r>
          <w:instrText xml:space="preserve"> PAGEREF _Toc24445 \h </w:instrText>
        </w:r>
        <w:r>
          <w:fldChar w:fldCharType="separate"/>
        </w:r>
        <w:r>
          <w:t>42</w:t>
        </w:r>
        <w:r>
          <w:fldChar w:fldCharType="end"/>
        </w:r>
      </w:hyperlink>
    </w:p>
    <w:p>
      <w:pPr>
        <w:pStyle w:val="TOC1"/>
        <w:tabs>
          <w:tab w:val="right" w:leader="dot" w:pos="8306"/>
        </w:tabs>
      </w:pPr>
      <w:hyperlink w:anchor="_Toc27540" w:history="1">
        <w:r>
          <w:rPr>
            <w:rFonts w:ascii="仿宋" w:eastAsia="仿宋" w:hAnsi="仿宋" w:cs="仿宋" w:hint="eastAsia"/>
            <w:lang w:eastAsia="zh-CN"/>
          </w:rPr>
          <w:t>十三、高速内圆磨床项目实施时间节点</w:t>
        </w:r>
        <w:r>
          <w:tab/>
        </w:r>
        <w:r>
          <w:fldChar w:fldCharType="begin"/>
        </w:r>
        <w:r>
          <w:instrText xml:space="preserve"> PAGEREF _Toc27540 \h </w:instrText>
        </w:r>
        <w:r>
          <w:fldChar w:fldCharType="separate"/>
        </w:r>
        <w:r>
          <w:t>43</w:t>
        </w:r>
        <w:r>
          <w:fldChar w:fldCharType="end"/>
        </w:r>
      </w:hyperlink>
    </w:p>
    <w:p>
      <w:pPr>
        <w:pStyle w:val="TOC2"/>
        <w:tabs>
          <w:tab w:val="right" w:leader="dot" w:pos="8306"/>
        </w:tabs>
      </w:pPr>
      <w:hyperlink w:anchor="_Toc30104" w:history="1">
        <w:r>
          <w:rPr>
            <w:rFonts w:ascii="仿宋" w:eastAsia="仿宋" w:hAnsi="仿宋" w:cs="仿宋" w:hint="eastAsia"/>
            <w:lang w:eastAsia="zh-CN"/>
          </w:rPr>
          <w:t>(一)、高速内圆磨床项目启动阶段时间节点</w:t>
        </w:r>
        <w:r>
          <w:tab/>
        </w:r>
        <w:r>
          <w:fldChar w:fldCharType="begin"/>
        </w:r>
        <w:r>
          <w:instrText xml:space="preserve"> PAGEREF _Toc30104 \h </w:instrText>
        </w:r>
        <w:r>
          <w:fldChar w:fldCharType="separate"/>
        </w:r>
        <w:r>
          <w:t>43</w:t>
        </w:r>
        <w:r>
          <w:fldChar w:fldCharType="end"/>
        </w:r>
      </w:hyperlink>
    </w:p>
    <w:p>
      <w:pPr>
        <w:pStyle w:val="TOC2"/>
        <w:tabs>
          <w:tab w:val="right" w:leader="dot" w:pos="8306"/>
        </w:tabs>
      </w:pPr>
      <w:hyperlink w:anchor="_Toc6435" w:history="1">
        <w:r>
          <w:rPr>
            <w:rFonts w:ascii="仿宋" w:eastAsia="仿宋" w:hAnsi="仿宋" w:cs="仿宋" w:hint="eastAsia"/>
            <w:lang w:eastAsia="zh-CN"/>
          </w:rPr>
          <w:t>(二)、高速内圆磨床项目执行阶段时间节点</w:t>
        </w:r>
        <w:r>
          <w:tab/>
        </w:r>
        <w:r>
          <w:fldChar w:fldCharType="begin"/>
        </w:r>
        <w:r>
          <w:instrText xml:space="preserve"> PAGEREF _Toc6435 \h </w:instrText>
        </w:r>
        <w:r>
          <w:fldChar w:fldCharType="separate"/>
        </w:r>
        <w:r>
          <w:t>44</w:t>
        </w:r>
        <w:r>
          <w:fldChar w:fldCharType="end"/>
        </w:r>
      </w:hyperlink>
    </w:p>
    <w:p>
      <w:pPr>
        <w:pStyle w:val="TOC2"/>
        <w:tabs>
          <w:tab w:val="right" w:leader="dot" w:pos="8306"/>
        </w:tabs>
      </w:pPr>
      <w:hyperlink w:anchor="_Toc17516" w:history="1">
        <w:r>
          <w:rPr>
            <w:rFonts w:ascii="仿宋" w:eastAsia="仿宋" w:hAnsi="仿宋" w:cs="仿宋" w:hint="eastAsia"/>
            <w:lang w:eastAsia="zh-CN"/>
          </w:rPr>
          <w:t>(三)、高速内圆磨床项目完成阶段时间节点</w:t>
        </w:r>
        <w:r>
          <w:tab/>
        </w:r>
        <w:r>
          <w:fldChar w:fldCharType="begin"/>
        </w:r>
        <w:r>
          <w:instrText xml:space="preserve"> PAGEREF _Toc17516 \h </w:instrText>
        </w:r>
        <w:r>
          <w:fldChar w:fldCharType="separate"/>
        </w:r>
        <w:r>
          <w:t>45</w:t>
        </w:r>
        <w:r>
          <w:fldChar w:fldCharType="end"/>
        </w:r>
      </w:hyperlink>
    </w:p>
    <w:p>
      <w:pPr>
        <w:pStyle w:val="TOC1"/>
        <w:tabs>
          <w:tab w:val="right" w:leader="dot" w:pos="8306"/>
        </w:tabs>
      </w:pPr>
      <w:hyperlink w:anchor="_Toc12481" w:history="1">
        <w:r>
          <w:rPr>
            <w:rFonts w:ascii="仿宋" w:eastAsia="仿宋" w:hAnsi="仿宋" w:cs="仿宋" w:hint="eastAsia"/>
            <w:lang w:eastAsia="zh-CN"/>
          </w:rPr>
          <w:t>十四、高速内圆磨床项目实施保障措施</w:t>
        </w:r>
        <w:r>
          <w:tab/>
        </w:r>
        <w:r>
          <w:fldChar w:fldCharType="begin"/>
        </w:r>
        <w:r>
          <w:instrText xml:space="preserve"> PAGEREF _Toc12481 \h </w:instrText>
        </w:r>
        <w:r>
          <w:fldChar w:fldCharType="separate"/>
        </w:r>
        <w:r>
          <w:t>46</w:t>
        </w:r>
        <w:r>
          <w:fldChar w:fldCharType="end"/>
        </w:r>
      </w:hyperlink>
    </w:p>
    <w:p>
      <w:pPr>
        <w:pStyle w:val="TOC2"/>
        <w:tabs>
          <w:tab w:val="right" w:leader="dot" w:pos="8306"/>
        </w:tabs>
      </w:pPr>
      <w:hyperlink w:anchor="_Toc20838" w:history="1">
        <w:r>
          <w:rPr>
            <w:rFonts w:ascii="仿宋" w:eastAsia="仿宋" w:hAnsi="仿宋" w:cs="仿宋" w:hint="eastAsia"/>
            <w:lang w:eastAsia="zh-CN"/>
          </w:rPr>
          <w:t>(一)、高速内圆磨床项目实施保障机制</w:t>
        </w:r>
        <w:r>
          <w:tab/>
        </w:r>
        <w:r>
          <w:fldChar w:fldCharType="begin"/>
        </w:r>
        <w:r>
          <w:instrText xml:space="preserve"> PAGEREF _Toc20838 \h </w:instrText>
        </w:r>
        <w:r>
          <w:fldChar w:fldCharType="separate"/>
        </w:r>
        <w:r>
          <w:t>46</w:t>
        </w:r>
        <w:r>
          <w:fldChar w:fldCharType="end"/>
        </w:r>
      </w:hyperlink>
    </w:p>
    <w:p>
      <w:pPr>
        <w:pStyle w:val="TOC2"/>
        <w:tabs>
          <w:tab w:val="right" w:leader="dot" w:pos="8306"/>
        </w:tabs>
      </w:pPr>
      <w:hyperlink w:anchor="_Toc28153" w:history="1">
        <w:r>
          <w:rPr>
            <w:rFonts w:ascii="仿宋" w:eastAsia="仿宋" w:hAnsi="仿宋" w:cs="仿宋" w:hint="eastAsia"/>
            <w:lang w:eastAsia="zh-CN"/>
          </w:rPr>
          <w:t>(二)、高速内圆磨床项目法律合规要求</w:t>
        </w:r>
        <w:r>
          <w:tab/>
        </w:r>
        <w:r>
          <w:fldChar w:fldCharType="begin"/>
        </w:r>
        <w:r>
          <w:instrText xml:space="preserve"> PAGEREF _Toc28153 \h </w:instrText>
        </w:r>
        <w:r>
          <w:fldChar w:fldCharType="separate"/>
        </w:r>
        <w:r>
          <w:t>50</w:t>
        </w:r>
        <w:r>
          <w:fldChar w:fldCharType="end"/>
        </w:r>
      </w:hyperlink>
    </w:p>
    <w:p>
      <w:pPr>
        <w:pStyle w:val="TOC2"/>
        <w:tabs>
          <w:tab w:val="right" w:leader="dot" w:pos="8306"/>
        </w:tabs>
      </w:pPr>
      <w:hyperlink w:anchor="_Toc20077" w:history="1">
        <w:r>
          <w:rPr>
            <w:rFonts w:ascii="仿宋" w:eastAsia="仿宋" w:hAnsi="仿宋" w:cs="仿宋" w:hint="eastAsia"/>
            <w:lang w:eastAsia="zh-CN"/>
          </w:rPr>
          <w:t>(三)、高速内圆磨床项目合同管理与法律事务</w:t>
        </w:r>
        <w:r>
          <w:tab/>
        </w:r>
        <w:r>
          <w:fldChar w:fldCharType="begin"/>
        </w:r>
        <w:r>
          <w:instrText xml:space="preserve"> PAGEREF _Toc20077 \h </w:instrText>
        </w:r>
        <w:r>
          <w:fldChar w:fldCharType="separate"/>
        </w:r>
        <w:r>
          <w:t>54</w:t>
        </w:r>
        <w:r>
          <w:fldChar w:fldCharType="end"/>
        </w:r>
      </w:hyperlink>
    </w:p>
    <w:p>
      <w:pPr>
        <w:pStyle w:val="TOC2"/>
        <w:tabs>
          <w:tab w:val="right" w:leader="dot" w:pos="8306"/>
        </w:tabs>
      </w:pPr>
      <w:hyperlink w:anchor="_Toc13687" w:history="1">
        <w:r>
          <w:rPr>
            <w:rFonts w:ascii="仿宋" w:eastAsia="仿宋" w:hAnsi="仿宋" w:cs="仿宋" w:hint="eastAsia"/>
            <w:lang w:eastAsia="zh-CN"/>
          </w:rPr>
          <w:t>(四)、高速内圆磨床项目知识产权保护策略</w:t>
        </w:r>
        <w:r>
          <w:tab/>
        </w:r>
        <w:r>
          <w:fldChar w:fldCharType="begin"/>
        </w:r>
        <w:r>
          <w:instrText xml:space="preserve"> PAGEREF _Toc13687 \h </w:instrText>
        </w:r>
        <w:r>
          <w:fldChar w:fldCharType="separate"/>
        </w:r>
        <w:r>
          <w:t>60</w:t>
        </w:r>
        <w:r>
          <w:fldChar w:fldCharType="end"/>
        </w:r>
      </w:hyperlink>
    </w:p>
    <w:p>
      <w:pPr>
        <w:pStyle w:val="TOC1"/>
        <w:tabs>
          <w:tab w:val="right" w:leader="dot" w:pos="8306"/>
        </w:tabs>
      </w:pPr>
      <w:hyperlink w:anchor="_Toc9814" w:history="1">
        <w:r>
          <w:rPr>
            <w:rFonts w:ascii="仿宋" w:eastAsia="仿宋" w:hAnsi="仿宋" w:cs="仿宋" w:hint="eastAsia"/>
            <w:lang w:eastAsia="zh-CN"/>
          </w:rPr>
          <w:t>十五、高速内圆磨床项目治理与监督</w:t>
        </w:r>
        <w:r>
          <w:tab/>
        </w:r>
        <w:r>
          <w:fldChar w:fldCharType="begin"/>
        </w:r>
        <w:r>
          <w:instrText xml:space="preserve"> PAGEREF _Toc9814 \h </w:instrText>
        </w:r>
        <w:r>
          <w:fldChar w:fldCharType="separate"/>
        </w:r>
        <w:r>
          <w:t>63</w:t>
        </w:r>
        <w:r>
          <w:fldChar w:fldCharType="end"/>
        </w:r>
      </w:hyperlink>
    </w:p>
    <w:p>
      <w:pPr>
        <w:pStyle w:val="TOC2"/>
        <w:tabs>
          <w:tab w:val="right" w:leader="dot" w:pos="8306"/>
        </w:tabs>
      </w:pPr>
      <w:hyperlink w:anchor="_Toc25648" w:history="1">
        <w:r>
          <w:rPr>
            <w:rFonts w:ascii="仿宋" w:eastAsia="仿宋" w:hAnsi="仿宋" w:cs="仿宋" w:hint="eastAsia"/>
            <w:lang w:eastAsia="zh-CN"/>
          </w:rPr>
          <w:t>(一)、高速内圆磨床项目治理结构</w:t>
        </w:r>
        <w:r>
          <w:tab/>
        </w:r>
        <w:r>
          <w:fldChar w:fldCharType="begin"/>
        </w:r>
        <w:r>
          <w:instrText xml:space="preserve"> PAGEREF _Toc25648 \h </w:instrText>
        </w:r>
        <w:r>
          <w:fldChar w:fldCharType="separate"/>
        </w:r>
        <w:r>
          <w:t>63</w:t>
        </w:r>
        <w:r>
          <w:fldChar w:fldCharType="end"/>
        </w:r>
      </w:hyperlink>
    </w:p>
    <w:p>
      <w:pPr>
        <w:pStyle w:val="TOC2"/>
        <w:tabs>
          <w:tab w:val="right" w:leader="dot" w:pos="8306"/>
        </w:tabs>
      </w:pPr>
      <w:hyperlink w:anchor="_Toc12784" w:history="1">
        <w:r>
          <w:rPr>
            <w:rFonts w:ascii="仿宋" w:eastAsia="仿宋" w:hAnsi="仿宋" w:cs="仿宋" w:hint="eastAsia"/>
            <w:lang w:eastAsia="zh-CN"/>
          </w:rPr>
          <w:t>(二)、监督与审计</w:t>
        </w:r>
        <w:r>
          <w:tab/>
        </w:r>
        <w:r>
          <w:fldChar w:fldCharType="begin"/>
        </w:r>
        <w:r>
          <w:instrText xml:space="preserve"> PAGEREF _Toc12784 \h </w:instrText>
        </w:r>
        <w:r>
          <w:fldChar w:fldCharType="separate"/>
        </w:r>
        <w:r>
          <w:t>64</w:t>
        </w:r>
        <w:r>
          <w:fldChar w:fldCharType="end"/>
        </w:r>
      </w:hyperlink>
    </w:p>
    <w:p>
      <w:pPr>
        <w:pStyle w:val="TOC1"/>
        <w:tabs>
          <w:tab w:val="right" w:leader="dot" w:pos="8306"/>
        </w:tabs>
      </w:pPr>
      <w:hyperlink w:anchor="_Toc18618" w:history="1">
        <w:r>
          <w:rPr>
            <w:rFonts w:ascii="仿宋" w:eastAsia="仿宋" w:hAnsi="仿宋" w:cs="仿宋" w:hint="eastAsia"/>
            <w:lang w:eastAsia="zh-CN"/>
          </w:rPr>
          <w:t>十六、营销与推广策略</w:t>
        </w:r>
        <w:r>
          <w:tab/>
        </w:r>
        <w:r>
          <w:fldChar w:fldCharType="begin"/>
        </w:r>
        <w:r>
          <w:instrText xml:space="preserve"> PAGEREF _Toc18618 \h </w:instrText>
        </w:r>
        <w:r>
          <w:fldChar w:fldCharType="separate"/>
        </w:r>
        <w:r>
          <w:t>66</w:t>
        </w:r>
        <w:r>
          <w:fldChar w:fldCharType="end"/>
        </w:r>
      </w:hyperlink>
    </w:p>
    <w:p>
      <w:pPr>
        <w:pStyle w:val="TOC2"/>
        <w:tabs>
          <w:tab w:val="right" w:leader="dot" w:pos="8306"/>
        </w:tabs>
      </w:pPr>
      <w:hyperlink w:anchor="_Toc623" w:history="1">
        <w:r>
          <w:rPr>
            <w:rFonts w:ascii="仿宋" w:eastAsia="仿宋" w:hAnsi="仿宋" w:cs="仿宋" w:hint="eastAsia"/>
            <w:lang w:eastAsia="zh-CN"/>
          </w:rPr>
          <w:t>(一)、产品/服务定位与特点</w:t>
        </w:r>
        <w:r>
          <w:tab/>
        </w:r>
        <w:r>
          <w:fldChar w:fldCharType="begin"/>
        </w:r>
        <w:r>
          <w:instrText xml:space="preserve"> PAGEREF _Toc623 \h </w:instrText>
        </w:r>
        <w:r>
          <w:fldChar w:fldCharType="separate"/>
        </w:r>
        <w:r>
          <w:t>66</w:t>
        </w:r>
        <w:r>
          <w:fldChar w:fldCharType="end"/>
        </w:r>
      </w:hyperlink>
    </w:p>
    <w:p>
      <w:pPr>
        <w:pStyle w:val="TOC2"/>
        <w:tabs>
          <w:tab w:val="right" w:leader="dot" w:pos="8306"/>
        </w:tabs>
      </w:pPr>
      <w:hyperlink w:anchor="_Toc8327" w:history="1">
        <w:r>
          <w:rPr>
            <w:rFonts w:ascii="仿宋" w:eastAsia="仿宋" w:hAnsi="仿宋" w:cs="仿宋" w:hint="eastAsia"/>
            <w:lang w:eastAsia="zh-CN"/>
          </w:rPr>
          <w:t>(二)、市场定位与竞争分析</w:t>
        </w:r>
        <w:r>
          <w:tab/>
        </w:r>
        <w:r>
          <w:fldChar w:fldCharType="begin"/>
        </w:r>
        <w:r>
          <w:instrText xml:space="preserve"> PAGEREF _Toc8327 \h </w:instrText>
        </w:r>
        <w:r>
          <w:fldChar w:fldCharType="separate"/>
        </w:r>
        <w:r>
          <w:t>67</w:t>
        </w:r>
        <w:r>
          <w:fldChar w:fldCharType="end"/>
        </w:r>
      </w:hyperlink>
    </w:p>
    <w:p>
      <w:pPr>
        <w:pStyle w:val="TOC2"/>
        <w:tabs>
          <w:tab w:val="right" w:leader="dot" w:pos="8306"/>
        </w:tabs>
      </w:pPr>
      <w:hyperlink w:anchor="_Toc21573" w:history="1">
        <w:r>
          <w:rPr>
            <w:rFonts w:ascii="仿宋" w:eastAsia="仿宋" w:hAnsi="仿宋" w:cs="仿宋" w:hint="eastAsia"/>
            <w:lang w:eastAsia="zh-CN"/>
          </w:rPr>
          <w:t>(三)、营销渠道与策略</w:t>
        </w:r>
        <w:r>
          <w:tab/>
        </w:r>
        <w:r>
          <w:fldChar w:fldCharType="begin"/>
        </w:r>
        <w:r>
          <w:instrText xml:space="preserve"> PAGEREF _Toc21573 \h </w:instrText>
        </w:r>
        <w:r>
          <w:fldChar w:fldCharType="separate"/>
        </w:r>
        <w:r>
          <w:t>68</w:t>
        </w:r>
        <w:r>
          <w:fldChar w:fldCharType="end"/>
        </w:r>
      </w:hyperlink>
    </w:p>
    <w:p>
      <w:pPr>
        <w:pStyle w:val="TOC2"/>
        <w:tabs>
          <w:tab w:val="right" w:leader="dot" w:pos="8306"/>
        </w:tabs>
      </w:pPr>
      <w:hyperlink w:anchor="_Toc32741" w:history="1">
        <w:r>
          <w:rPr>
            <w:rFonts w:ascii="仿宋" w:eastAsia="仿宋" w:hAnsi="仿宋" w:cs="仿宋" w:hint="eastAsia"/>
            <w:lang w:eastAsia="zh-CN"/>
          </w:rPr>
          <w:t>(四)、推广与宣传活动</w:t>
        </w:r>
        <w:r>
          <w:tab/>
        </w:r>
        <w:r>
          <w:fldChar w:fldCharType="begin"/>
        </w:r>
        <w:r>
          <w:instrText xml:space="preserve"> PAGEREF _Toc32741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57"/>
      <w:r>
        <w:rPr>
          <w:rFonts w:ascii="仿宋" w:eastAsia="仿宋" w:hAnsi="仿宋" w:cs="仿宋" w:hint="eastAsia"/>
          <w:sz w:val="28"/>
          <w:lang w:eastAsia="zh-CN"/>
        </w:rPr>
        <w:t>一、高速内圆磨床项目可持续发展</w:t>
      </w:r>
      <w:bookmarkEnd w:id="2"/>
    </w:p>
    <w:p>
      <w:pPr>
        <w:pStyle w:val="Heading2"/>
        <w:rPr>
          <w:rFonts w:ascii="仿宋" w:eastAsia="仿宋" w:hAnsi="仿宋" w:cs="仿宋" w:hint="eastAsia"/>
          <w:lang w:eastAsia="zh-CN"/>
        </w:rPr>
      </w:pPr>
      <w:bookmarkStart w:id="3" w:name="_Toc157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内圆磨床项目中，高速内圆磨床项目团队着眼于未来，明确了可持续发展的战略方向。制定的具体可持续发展目标包括降低资源使用、采用环保技术、最大化社会效益等。这一步骤不仅有助于高速内圆磨床项目在环保和社会责任方面达到最高标准，也为未来提供了明确的指引，确保高速内圆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可持续实践的融入高速内圆磨床项目管理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内圆磨床项目管理周期。从高速内圆磨床项目规划开始，高速内圆磨床项目团队就考虑了环境和社会的因素。在执行阶段，高速内圆磨床项目团队积极推动绿色技术的应用，优化资源利用。此外，关注员工的社会责任，通过培训和沟通活动提高员工对可持续发展的认知，使他们能够在日常工作中践行可持续实践。这些举措不仅为高速内圆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扎根于高速内圆磨床项目的可持续发展理念，我们深信环保与社会责任是高速内圆磨床项目成功的关键支柱。在高速内圆磨床项目的每一步，我们都致力于通过创新和实践，履行对环境和社会的坚定责任。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内圆磨床项目团队通过引入先进的环保技术、建立高效的废物处理系统以及推动能源节约措施，积极履行环保责任。定期的环保监测和评估确保高速内圆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内圆磨床项目不仅致力于自身可持续发展，还注重对社会的回馈。通过支持社区高速内圆磨床项目、参与慈善事业、提供培训机会等方式，高速内圆磨床项目积极履行社会责任。与当地社区建立积极互动，关注员工的工作与生活平衡，以及员工的身心健康，是高速内圆磨床项目在社会责任层面的关键举措。这样的实践不仅增强了高速内圆磨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614"/>
      <w:r>
        <w:rPr>
          <w:rFonts w:ascii="仿宋" w:eastAsia="仿宋" w:hAnsi="仿宋" w:cs="仿宋" w:hint="eastAsia"/>
          <w:sz w:val="28"/>
          <w:lang w:eastAsia="zh-CN"/>
        </w:rPr>
        <w:t>二、高速内圆磨床项目土建工程</w:t>
      </w:r>
      <w:bookmarkEnd w:id="5"/>
    </w:p>
    <w:p>
      <w:pPr>
        <w:pStyle w:val="Heading2"/>
        <w:rPr>
          <w:rFonts w:ascii="仿宋" w:eastAsia="仿宋" w:hAnsi="仿宋" w:cs="仿宋" w:hint="eastAsia"/>
          <w:lang w:eastAsia="zh-CN"/>
        </w:rPr>
      </w:pPr>
      <w:bookmarkStart w:id="6" w:name="_Toc1736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在高速内圆磨床项目的建筑工程设计中，我们将秉承一系列重要的设计原则，以确保高速内圆磨床项目建筑在功能、美观、可持续性等方面达到最佳效果。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首要原则是确保建筑的功能性得到最大化的发挥。我们将充分理解高速内圆磨床项目的实际需求，合理布局各个功能区域，保证建筑在满足业务需求的同时，提供高效的工作环境。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在建筑设计中，我们将综合考虑建设和运营成本。通过精细的经济效益分析，确保设计方案在高效利用资源的同时，对高速内圆磨床项目的长期盈利能力有积极的贡献。</w:t>
      </w:r>
    </w:p>
    <w:p>
      <w:pPr>
        <w:pStyle w:val="Heading2"/>
        <w:ind w:firstLine="560" w:firstLineChars="200"/>
        <w:rPr>
          <w:rFonts w:ascii="仿宋" w:eastAsia="仿宋" w:hAnsi="仿宋" w:cs="仿宋" w:hint="eastAsia"/>
          <w:sz w:val="28"/>
          <w:lang w:eastAsia="zh-CN"/>
        </w:rPr>
      </w:pPr>
      <w:bookmarkStart w:id="7" w:name="_Toc95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内圆磨床项目的土建工程设计中，我们将精准设定设计年限，结合高速内圆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速内圆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6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速内圆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速内圆磨床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速内圆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3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本期工程高速内圆磨床项目预计总建筑面积XXX平方米，其中：计容建筑面积XXX平方米，计划建筑工程投资XX万元，占高速内圆磨床项目总投资的XX%。</w:t>
      </w:r>
    </w:p>
    <w:p>
      <w:pPr>
        <w:pStyle w:val="Heading1"/>
        <w:ind w:firstLine="560" w:firstLineChars="200"/>
        <w:rPr>
          <w:rFonts w:ascii="仿宋" w:eastAsia="仿宋" w:hAnsi="仿宋" w:cs="仿宋" w:hint="eastAsia"/>
          <w:sz w:val="28"/>
          <w:lang w:eastAsia="zh-CN"/>
        </w:rPr>
      </w:pPr>
      <w:bookmarkStart w:id="10" w:name="_Toc7781"/>
      <w:r>
        <w:rPr>
          <w:rFonts w:ascii="仿宋" w:eastAsia="仿宋" w:hAnsi="仿宋" w:cs="仿宋" w:hint="eastAsia"/>
          <w:sz w:val="28"/>
          <w:lang w:eastAsia="zh-CN"/>
        </w:rPr>
        <w:t>三、高速内圆磨床项目建设单位说明</w:t>
      </w:r>
      <w:bookmarkEnd w:id="10"/>
    </w:p>
    <w:p>
      <w:pPr>
        <w:pStyle w:val="Heading2"/>
        <w:rPr>
          <w:rFonts w:ascii="仿宋" w:eastAsia="仿宋" w:hAnsi="仿宋" w:cs="仿宋" w:hint="eastAsia"/>
          <w:lang w:eastAsia="zh-CN"/>
        </w:rPr>
      </w:pPr>
      <w:bookmarkStart w:id="11" w:name="_Toc11589"/>
      <w:r>
        <w:rPr>
          <w:rFonts w:ascii="仿宋" w:eastAsia="仿宋" w:hAnsi="仿宋" w:cs="仿宋" w:hint="eastAsia"/>
          <w:lang w:eastAsia="zh-CN"/>
        </w:rPr>
        <w:t>(一)、高速内圆磨床项目承办单位基本情况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83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内圆磨床项目承办单位的XXXX，我们着眼于实现可持续的经济效益。通过技术创新和解决方案的提供，公司预计在高速内圆磨床项目执行期间将获得可观的收入增长。这一收入来源主要包括高速内圆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同时，我们注重成本控制和效率提升，以确保高速内圆磨床项目的可持续盈利。透过精细的管理和资源优化，公司期望实现高速内圆磨床项目利润最大化。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内圆磨床项目实施进行全面的投资评估，包括高速内圆磨床项目启动阶段的资金投入和后续运营成本。通过对高速内圆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高速内圆磨床项目实施过程中具备足够的资金流动性，公司将进行详尽的现金流分析。这包括资金需求的合理预测、高速内圆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04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972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速内圆磨床项目的技术管理特点体现在其创新导向。通过引入最先进的技术趋势和解决方案，高速内圆磨床项目致力于提升科技含量、提高质量和效率水平。这意味着我们将采用最新的工具和方法，确保高速内圆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内圆磨床项目技术管理的显著特征。通过整合不同领域的技术资源，我们实现了跨学科的协同工作。这有助于优化技术架构，提高整体效能。此外，整合性策略还促进了不同技术团队之间的紧密沟通和高效合作，确保高速内圆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内圆磨床项目所采用的技术。通过不断优化技术方案，高速内圆磨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速内圆磨床项目团队将在高速内圆磨床项目初期识别可能的技术风险，并采取相应的预防和应对措施。通过建立健全的风险评估机制，高速内圆磨床项目能够在实施过程中及时发现并解决潜在的技术问题，保障高速内圆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内圆磨床项目中，技术将成为高速内圆磨床项目成功的有力支持。这一深度剖析揭示了技术管理在高速内圆磨床项目实施中的关键作用，为高速内圆磨床项目的技术基础奠定了坚实的基础。</w:t>
      </w:r>
    </w:p>
    <w:p>
      <w:pPr>
        <w:pStyle w:val="Heading2"/>
        <w:ind w:firstLine="560" w:firstLineChars="200"/>
        <w:rPr>
          <w:rFonts w:ascii="仿宋" w:eastAsia="仿宋" w:hAnsi="仿宋" w:cs="仿宋" w:hint="eastAsia"/>
          <w:sz w:val="28"/>
          <w:lang w:eastAsia="zh-CN"/>
        </w:rPr>
      </w:pPr>
      <w:bookmarkStart w:id="15" w:name="_Toc28287"/>
      <w:r>
        <w:rPr>
          <w:rFonts w:ascii="仿宋" w:eastAsia="仿宋" w:hAnsi="仿宋" w:cs="仿宋" w:hint="eastAsia"/>
          <w:sz w:val="28"/>
          <w:lang w:eastAsia="zh-CN"/>
        </w:rPr>
        <w:t>(二)、高速内圆磨床项目工艺技术设计方案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内圆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内圆磨床项目将严格按照相关行业规范要求进行组织。通过有效控制产品质量，高速内圆磨床项目将致力于为顾客提供优质的高速内圆磨床项目产品和良好的服务。这体现了高速内圆磨床项目对于生产活动合规性和质量标准的高度重视，为高速内圆磨床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高速内圆磨床项目注重生态效益和清洁生产原则。高速内圆磨床项目建设将紧密结合地方特色经济发展，与社会经济发展规划和区域环境保护规划方案相协调一致。通过与当地区域自然生态系统的结合，高速内圆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内圆磨床项目产品具有多样化的客户需求和个性化的特点。因此，高速内圆磨床项目产品规格品种多样，且单批生产数量较小。为满足这一特点，高速内圆磨床项目承办单位将建设先进的柔性制造生产线。通过广泛应用柔性制造技术，高速内圆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内圆磨床项目采用的技术具有较高的技术含量和自动化水平，处于国内先进水平。这一技术选用不仅体现了对生产效率、质量和环境友好性的高标准要求，同时为高速内圆磨床项目的可持续发展奠定了坚实的基础。</w:t>
      </w:r>
    </w:p>
    <w:p>
      <w:pPr>
        <w:pStyle w:val="Heading2"/>
        <w:ind w:firstLine="560" w:firstLineChars="200"/>
        <w:rPr>
          <w:rFonts w:ascii="仿宋" w:eastAsia="仿宋" w:hAnsi="仿宋" w:cs="仿宋" w:hint="eastAsia"/>
          <w:sz w:val="28"/>
          <w:lang w:eastAsia="zh-CN"/>
        </w:rPr>
      </w:pPr>
      <w:bookmarkStart w:id="16" w:name="_Toc983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为确保高速内圆磨床项目的高效生产和技术实施，我们制定了一套精心设计的设备选型方案，以满足高速内圆磨床项目生产、质量和环保的要求。该方案的主要特点如下：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内圆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针对高速内圆磨床项目产品的多样性和小批量生产的特点，我们将建设柔性制造生产线。通过在设备选型中考虑柔性制造技术，可以灵活应对不同产品规格和生产需求，实现生产线的高度灵活性和适应性。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5459"/>
      <w:r>
        <w:rPr>
          <w:rFonts w:ascii="仿宋" w:eastAsia="仿宋" w:hAnsi="仿宋" w:cs="仿宋" w:hint="eastAsia"/>
          <w:sz w:val="28"/>
          <w:lang w:eastAsia="zh-CN"/>
        </w:rPr>
        <w:t>五、高速内圆磨床项目选址可行性分析</w:t>
      </w:r>
      <w:bookmarkEnd w:id="17"/>
    </w:p>
    <w:p>
      <w:pPr>
        <w:pStyle w:val="Heading2"/>
        <w:rPr>
          <w:rFonts w:ascii="仿宋" w:eastAsia="仿宋" w:hAnsi="仿宋" w:cs="仿宋" w:hint="eastAsia"/>
          <w:lang w:eastAsia="zh-CN"/>
        </w:rPr>
      </w:pPr>
      <w:bookmarkStart w:id="18" w:name="_Toc29276"/>
      <w:r>
        <w:rPr>
          <w:rFonts w:ascii="仿宋" w:eastAsia="仿宋" w:hAnsi="仿宋" w:cs="仿宋" w:hint="eastAsia"/>
          <w:lang w:eastAsia="zh-CN"/>
        </w:rPr>
        <w:t>(一)、高速内圆磨床项目选址</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该高速内圆磨床项目选址位于XX省XX市XX区XXX街道</w:t>
      </w:r>
    </w:p>
    <w:p>
      <w:pPr>
        <w:pStyle w:val="Heading2"/>
        <w:ind w:firstLine="560" w:firstLineChars="200"/>
        <w:rPr>
          <w:rFonts w:ascii="仿宋" w:eastAsia="仿宋" w:hAnsi="仿宋" w:cs="仿宋" w:hint="eastAsia"/>
          <w:sz w:val="28"/>
          <w:lang w:eastAsia="zh-CN"/>
        </w:rPr>
      </w:pPr>
      <w:bookmarkStart w:id="19" w:name="_Toc2211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高速内圆磨床项目的征地面积将根据高速内圆磨床项目的实际规模和需求进行精确规划。具体面积XXX平方米，旨在确保高速内圆磨床项目不仅能够满足当前的发展需求，还能够预留空间以适应未来的扩展。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净用地面积是在征地面积基础上去除不可利用面积后的实际可开发用地。具体面积XXX平方米，考虑到环保、交通、安全等多方面因素，以确保高速内圆磨床项目在整体利用效率上达到最优。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高速内圆磨床项目计划建设的建筑总规模具体面积XXX平方米。这一规模的确定综合考虑了高速内圆磨床项目的性质、规模，以及城市规划的相关要求，确保建筑布局与周边环境协调一致。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绿地率是高速内圆磨床项目用地中被规划为绿地的比例。具体面积XXX平方米，旨在通过合理规划绿地，改善高速内圆磨床项目周边环境，提升居民生活质量，并符合城市整体绿化规划。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容积率是用地上可以建设的建筑总体积与用地面积之比。具体面积XXX，通过合理的容积率规划，确保高速内圆磨床项目建筑规模与周边环境和谐共生。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高速内圆磨床项目选址与当地城市规划相一致，具体面积XXX平方米。通过与城市规划部门深入沟通，确保高速内圆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内圆磨床项目选址符合当地产业政策，具体面积XXX平方米。这包括高速内圆磨床项目对当地经济的促进作用，以及对相关产业的带动效应，确保高速内圆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用地总体要求必须符合环保和可持续发展的原则，具体面积XXX平方米。通过采用绿色建筑设计、节能减排等措施，确保高速内圆磨床项目在建设和运营过程中对环境的影响最小化，达到可持续发展的要求。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确保高速内圆磨床项目选址具备必要的公共设施配套，具体面积XXX平方米。这包括交通便利性、教育、医疗等基础设施，以提高居民生活品质，使得高速内圆磨床项目选址更具吸引力。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考虑用地总体要求对当地社会稳定性的影响，具体面积XXX平方米。通过深入了解当地社区反馈，确保高速内圆磨床项目的选址和建设过程对当地社会和谐稳定产生积极作用。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内圆磨床项目选址不仅符合法规和规划，还在实际操作中具有可行性。这一全面规划将为高速内圆磨床项目的成功实施提供坚实的基础，确保高速内圆磨床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406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内圆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内圆磨床项目的设备规划和空间设计中，我们将采取灵活设备布局的措施。设备布局将根据实际需求进行灵活设计，避免不必要的浪费。通过合理规划设备摆放位置，我们将提高设备的利用率，减少设备间距，以确保高速内圆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内圆磨床项目内部引入共享设施的概念，例如共享会议室、办公区等。通过这种方式，我们可以减少对资源的重复建设，提高资源共享效率，从而减小高速内圆磨床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https://d.book118.com/236110011053010050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高速内圆磨床项目规划设计蓝图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871F0"/>
    <w:rsid w:val="62B871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10011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2024-02-09T18:39:00Z</dcterms:created>
  <dcterms:modified xsi:type="dcterms:W3CDTF">2024-02-09T18:39:27Z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26C6CE5CB3E94C3EA0827C64CD9B5E0B_11</vt:lpwstr>
  </property>
  <property fmtid="{D5CDD505-2E9C-101B-9397-08002B2CF9AE}" pid="3" name="KSOProductBuildVer">
    <vt:lpwstr>2052-12.1.0.16250</vt:lpwstr>
  </property>
</Properties>
</file>