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低汽气比CO高温变换催化剂行业相关公司设立可行性研究报告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一、低汽气比CO高温变换催化剂项目概况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(二)、低汽气比CO高温变换催化剂项目提出的理由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(三)、低汽气比CO高温变换催化剂项目选址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(六)、低汽气比CO高温变换催化剂项目投资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(七)、低汽气比CO高温变换催化剂项目进度规划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(九)、低汽气比CO高温变换催化剂项目综合评价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eastAsia="zh-CN"/>
          </w:rPr>
          <w:t>(一)、低汽气比CO高温变换催化剂项目选址原则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(五)、低汽气比CO高温变换催化剂项目选址综合评价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_Toc9792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(五)、低汽气比CO高温变换催化剂项目总投资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3" w:history="1">
        <w:r>
          <w:rPr>
            <w:rFonts w:ascii="仿宋" w:eastAsia="仿宋" w:hAnsi="仿宋" w:cs="仿宋" w:hint="eastAsia"/>
            <w:lang w:eastAsia="zh-CN"/>
          </w:rPr>
          <w:t>(一)、低汽气比CO高温变换催化剂项目进度安排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(二)、低汽气比CO高温变换催化剂项目实施保障措施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_Toc12352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(一)、低汽气比CO高温变换催化剂项目背景分析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(二)、低汽气比CO高温变换催化剂项目建设必要性分析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_Toc19957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74"/>
      <w:r>
        <w:rPr>
          <w:rFonts w:ascii="仿宋" w:eastAsia="仿宋" w:hAnsi="仿宋" w:cs="仿宋" w:hint="eastAsia"/>
          <w:sz w:val="28"/>
          <w:lang w:eastAsia="zh-CN"/>
        </w:rPr>
        <w:t>一、低汽气比CO高温变换催化剂项目概况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6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44"/>
      <w:r>
        <w:rPr>
          <w:rFonts w:ascii="仿宋" w:eastAsia="仿宋" w:hAnsi="仿宋" w:cs="仿宋" w:hint="eastAsia"/>
          <w:sz w:val="28"/>
          <w:lang w:eastAsia="zh-CN"/>
        </w:rPr>
        <w:t>(二)、低汽气比CO高温变换催化剂项目提出的理由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低汽气比CO高温变换催化剂项目提出的理由可能包括以下几个方面：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低汽气比CO高温变换催化剂的需求也在不断增加。市场上对于高品质、符合个性化需求的低汽气比CO高温变换催化剂需求量大，因此低汽气比CO高温变换催化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利润空间：低汽气比CO高温变换催化剂行业的利润空间较大，通过生产和销售高品质的低汽气比CO高温变换催化剂，可以获得可观的利润。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低汽气比CO高温变换催化剂行业是一个不断创新和发展的行业，随着人们生活方式和审美观念的改变，对低汽气比CO高温变换催化剂的需求也在不断变化。因此，在低汽气比CO高温变换催化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低汽气比CO高温变换催化剂行业也开始注重环保和可持续性发展。通过使用环保材料和生产工艺，低汽气比CO高温变换催化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个人兴趣和激情：一些人可能对低汽气比CO高温变换催化剂设计和制造有着浓厚的兴趣和激情，他们希望通过自己的努力和创新，提供更好的低汽气比CO高温变换催化剂产品和服务，满足消费者的需求。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低汽气比CO高温变换催化剂项目的理由可能因具体情况而异，不同的低汽气比CO高温变换催化剂项目可能有不同的原因和背景。因此，在选择低汽气比CO高温变换催化剂项目时，我们需要根据自己的实际情况和需求来综合考虑各种因素，并选择最适合自己的低汽气比CO高温变换催化剂项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https://d.book118.com/236120213224010050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低汽气比CO高温变换催化剂行业相关公司设立可行性研究报告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低汽气比CO高温变换催化剂行业相关公司设立可行性研究报告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低汽气比CO高温变换催化剂行业相关公司设立可行性研究报告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低汽气比CO高温变换催化剂行业相关公司设立可行性研究报告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低汽气比CO高温变换催化剂行业相关公司设立可行性研究报告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120213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2024-02-04T14:18:00Z</dcterms:created>
  <dcterms:modified xsi:type="dcterms:W3CDTF">2024-02-04T14:18:09Z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30BF76A99D9E4834A336E8B71636964E_11</vt:lpwstr>
  </property>
  <property fmtid="{D5CDD505-2E9C-101B-9397-08002B2CF9AE}" pid="3" name="KSOProductBuildVer">
    <vt:lpwstr>2052-12.1.0.16250</vt:lpwstr>
  </property>
</Properties>
</file>