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line="360" w:lineRule="auto"/>
        <w:jc w:val="center"/>
        <w:rPr>
          <w:rFonts w:ascii="幼圆" w:eastAsia="幼圆" w:hAnsi="幼圆" w:cs="幼圆" w:hint="eastAsia"/>
          <w:b/>
          <w:bCs/>
          <w:sz w:val="36"/>
          <w:szCs w:val="36"/>
        </w:rPr>
      </w:pPr>
      <w:bookmarkStart w:id="0" w:name="_GoBack"/>
      <w:r>
        <w:rPr>
          <w:rFonts w:ascii="幼圆" w:eastAsia="幼圆" w:hAnsi="幼圆" w:cs="幼圆" w:hint="eastAsia"/>
          <w:b/>
          <w:bCs/>
          <w:sz w:val="36"/>
          <w:szCs w:val="36"/>
        </w:rPr>
        <w:t>基于</w:t>
      </w:r>
      <w:r>
        <w:rPr>
          <w:rFonts w:ascii="幼圆" w:eastAsia="幼圆" w:hAnsi="幼圆" w:cs="幼圆" w:hint="eastAsia"/>
          <w:b/>
          <w:bCs/>
          <w:sz w:val="36"/>
          <w:szCs w:val="36"/>
          <w:lang w:val="en-US" w:eastAsia="zh-CN"/>
        </w:rPr>
        <w:t>单片机</w:t>
      </w:r>
      <w:r>
        <w:rPr>
          <w:rFonts w:ascii="幼圆" w:eastAsia="幼圆" w:hAnsi="幼圆" w:cs="幼圆" w:hint="eastAsia"/>
          <w:b/>
          <w:bCs/>
          <w:sz w:val="36"/>
          <w:szCs w:val="36"/>
        </w:rPr>
        <w:t>的血氧测量仪设计</w:t>
      </w:r>
    </w:p>
    <w:bookmarkEnd w:id="0"/>
    <w:sdt>
      <w:sdtPr>
        <w:rPr>
          <w:rFonts w:ascii="幼圆" w:eastAsia="幼圆" w:hAnsi="幼圆" w:cs="幼圆" w:hint="eastAsia"/>
          <w:lang w:val="zh-CN"/>
        </w:rPr>
        <w:id w:val="-61182814"/>
        <w:docPartObj>
          <w:docPartGallery w:val="Table of Contents"/>
          <w:docPartUnique/>
        </w:docPartObj>
      </w:sdtPr>
      <w:sdtEndPr>
        <w:rPr>
          <w:rFonts w:ascii="幼圆" w:eastAsia="幼圆" w:hAnsi="幼圆" w:cs="幼圆" w:hint="eastAsia"/>
          <w:bCs/>
          <w:color w:val="auto"/>
          <w:kern w:val="2"/>
          <w:sz w:val="21"/>
          <w:szCs w:val="24"/>
          <w:lang w:val="zh-CN"/>
        </w:rPr>
      </w:sdtEndPr>
      <w:sdtContent>
        <w:p>
          <w:pPr>
            <w:pStyle w:val="TOCHeading"/>
            <w:spacing w:before="312" w:after="312"/>
            <w:jc w:val="center"/>
            <w:rPr>
              <w:rFonts w:ascii="幼圆" w:eastAsia="幼圆" w:hAnsi="幼圆" w:cs="幼圆" w:hint="eastAsia"/>
              <w:color w:val="auto"/>
            </w:rPr>
          </w:pPr>
          <w:r>
            <w:rPr>
              <w:rFonts w:ascii="幼圆" w:eastAsia="幼圆" w:hAnsi="幼圆" w:cs="幼圆" w:hint="eastAsia"/>
              <w:color w:val="auto"/>
              <w:lang w:val="zh-CN"/>
            </w:rPr>
            <w:t>目录</w:t>
          </w:r>
        </w:p>
        <w:p>
          <w:pPr>
            <w:pStyle w:val="TOC1"/>
            <w:tabs>
              <w:tab w:val="right" w:leader="dot" w:pos="8296"/>
            </w:tabs>
            <w:spacing w:line="360" w:lineRule="auto"/>
            <w:rPr>
              <w:rFonts w:ascii="幼圆" w:eastAsia="幼圆" w:hAnsi="幼圆" w:cs="幼圆" w:hint="eastAsia"/>
              <w:sz w:val="24"/>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482154614" w:history="1">
            <w:r>
              <w:rPr>
                <w:rStyle w:val="Hyperlink"/>
                <w:rFonts w:ascii="幼圆" w:eastAsia="幼圆" w:hAnsi="幼圆" w:cs="幼圆" w:hint="eastAsia"/>
                <w:sz w:val="24"/>
              </w:rPr>
              <w:t>1</w:t>
            </w:r>
            <w:r>
              <w:rPr>
                <w:rStyle w:val="Hyperlink"/>
                <w:rFonts w:ascii="幼圆" w:eastAsia="幼圆" w:hAnsi="幼圆" w:cs="幼圆" w:hint="eastAsia"/>
                <w:sz w:val="24"/>
              </w:rPr>
              <w:t>、前言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_Toc482154614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15" w:history="1">
            <w:r>
              <w:rPr>
                <w:rStyle w:val="Hyperlink"/>
                <w:rFonts w:ascii="幼圆" w:eastAsia="幼圆" w:hAnsi="幼圆" w:cs="幼圆" w:hint="eastAsia"/>
                <w:sz w:val="24"/>
              </w:rPr>
              <w:t>1.1</w:t>
            </w:r>
            <w:r>
              <w:rPr>
                <w:rStyle w:val="Hyperlink"/>
                <w:rFonts w:ascii="幼圆" w:eastAsia="幼圆" w:hAnsi="幼圆" w:cs="幼圆" w:hint="eastAsia"/>
                <w:sz w:val="24"/>
              </w:rPr>
              <w:t>研究背景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_Toc482154615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16" w:history="1">
            <w:r>
              <w:rPr>
                <w:rStyle w:val="Hyperlink"/>
                <w:rFonts w:ascii="幼圆" w:eastAsia="幼圆" w:hAnsi="幼圆" w:cs="幼圆" w:hint="eastAsia"/>
                <w:sz w:val="24"/>
              </w:rPr>
              <w:t>1.2</w:t>
            </w:r>
            <w:r>
              <w:rPr>
                <w:rStyle w:val="Hyperlink"/>
                <w:rFonts w:ascii="幼圆" w:eastAsia="幼圆" w:hAnsi="幼圆" w:cs="幼圆" w:hint="eastAsia"/>
                <w:sz w:val="24"/>
              </w:rPr>
              <w:t>研究意义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_Toc482154616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17" w:history="1">
            <w:r>
              <w:rPr>
                <w:rStyle w:val="Hyperlink"/>
                <w:rFonts w:ascii="幼圆" w:eastAsia="幼圆" w:hAnsi="幼圆" w:cs="幼圆" w:hint="eastAsia"/>
                <w:sz w:val="24"/>
              </w:rPr>
              <w:t>2</w:t>
            </w:r>
            <w:r>
              <w:rPr>
                <w:rStyle w:val="Hyperlink"/>
                <w:rFonts w:ascii="幼圆" w:eastAsia="幼圆" w:hAnsi="幼圆" w:cs="幼圆" w:hint="eastAsia"/>
                <w:sz w:val="24"/>
              </w:rPr>
              <w:t>、脉搏血氧仪设计方案介绍</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_Toc482154617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18" w:history="1">
            <w:r>
              <w:rPr>
                <w:rStyle w:val="Hyperlink"/>
                <w:rFonts w:ascii="幼圆" w:eastAsia="幼圆" w:hAnsi="幼圆" w:cs="幼圆" w:hint="eastAsia"/>
                <w:sz w:val="24"/>
              </w:rPr>
              <w:t xml:space="preserve">2.1 </w:t>
            </w:r>
            <w:r>
              <w:rPr>
                <w:rStyle w:val="Hyperlink"/>
                <w:rFonts w:ascii="幼圆" w:eastAsia="幼圆" w:hAnsi="幼圆" w:cs="幼圆" w:hint="eastAsia"/>
                <w:sz w:val="24"/>
              </w:rPr>
              <w:t>设计原理及整体原理框图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_Toc482154618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19" w:history="1">
            <w:r>
              <w:rPr>
                <w:rStyle w:val="Hyperlink"/>
                <w:rFonts w:ascii="幼圆" w:eastAsia="幼圆" w:hAnsi="幼圆" w:cs="幼圆" w:hint="eastAsia"/>
                <w:sz w:val="24"/>
              </w:rPr>
              <w:t>2.2</w:t>
            </w:r>
            <w:r>
              <w:rPr>
                <w:rStyle w:val="Hyperlink"/>
                <w:rFonts w:ascii="幼圆" w:eastAsia="幼圆" w:hAnsi="幼圆" w:cs="幼圆" w:hint="eastAsia"/>
                <w:sz w:val="24"/>
              </w:rPr>
              <w:t>各部分器件选择原理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_Toc482154619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0" w:history="1">
            <w:r>
              <w:rPr>
                <w:rStyle w:val="Hyperlink"/>
                <w:rFonts w:ascii="幼圆" w:eastAsia="幼圆" w:hAnsi="幼圆" w:cs="幼圆" w:hint="eastAsia"/>
                <w:sz w:val="24"/>
              </w:rPr>
              <w:t>2.2.1</w:t>
            </w:r>
            <w:r>
              <w:rPr>
                <w:rStyle w:val="Hyperlink"/>
                <w:rFonts w:ascii="幼圆" w:eastAsia="幼圆" w:hAnsi="幼圆" w:cs="幼圆" w:hint="eastAsia"/>
                <w:sz w:val="24"/>
              </w:rPr>
              <w:t>单片机控制模块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_Toc482154620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1" w:history="1">
            <w:r>
              <w:rPr>
                <w:rStyle w:val="Hyperlink"/>
                <w:rFonts w:ascii="幼圆" w:eastAsia="幼圆" w:hAnsi="幼圆" w:cs="幼圆" w:hint="eastAsia"/>
                <w:sz w:val="24"/>
              </w:rPr>
              <w:t>2.2.2</w:t>
            </w:r>
            <w:r>
              <w:rPr>
                <w:rStyle w:val="Hyperlink"/>
                <w:rFonts w:ascii="幼圆" w:eastAsia="幼圆" w:hAnsi="幼圆" w:cs="幼圆" w:hint="eastAsia"/>
                <w:sz w:val="24"/>
              </w:rPr>
              <w:t>血氧饱和度测量模块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_Toc482154621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2" w:history="1">
            <w:r>
              <w:rPr>
                <w:rStyle w:val="Hyperlink"/>
                <w:rFonts w:ascii="幼圆" w:eastAsia="幼圆" w:hAnsi="幼圆" w:cs="幼圆" w:hint="eastAsia"/>
                <w:sz w:val="24"/>
              </w:rPr>
              <w:t>2.2.3</w:t>
            </w:r>
            <w:r>
              <w:rPr>
                <w:rStyle w:val="Hyperlink"/>
                <w:rFonts w:ascii="幼圆" w:eastAsia="幼圆" w:hAnsi="幼圆" w:cs="幼圆" w:hint="eastAsia"/>
                <w:sz w:val="24"/>
              </w:rPr>
              <w:t>测量数值的显示部分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_Toc482154622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3" w:history="1">
            <w:r>
              <w:rPr>
                <w:rStyle w:val="Hyperlink"/>
                <w:rFonts w:ascii="幼圆" w:eastAsia="幼圆" w:hAnsi="幼圆" w:cs="幼圆" w:hint="eastAsia"/>
                <w:sz w:val="24"/>
              </w:rPr>
              <w:t>2.2.4</w:t>
            </w:r>
            <w:r>
              <w:rPr>
                <w:rStyle w:val="Hyperlink"/>
                <w:rFonts w:ascii="幼圆" w:eastAsia="幼圆" w:hAnsi="幼圆" w:cs="幼圆" w:hint="eastAsia"/>
                <w:sz w:val="24"/>
              </w:rPr>
              <w:t>测量数据超限报警部分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_Toc482154623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4" w:history="1">
            <w:r>
              <w:rPr>
                <w:rStyle w:val="Hyperlink"/>
                <w:rFonts w:ascii="幼圆" w:eastAsia="幼圆" w:hAnsi="幼圆" w:cs="幼圆" w:hint="eastAsia"/>
                <w:sz w:val="24"/>
              </w:rPr>
              <w:t>2.2.5</w:t>
            </w:r>
            <w:r>
              <w:rPr>
                <w:rStyle w:val="Hyperlink"/>
                <w:rFonts w:ascii="幼圆" w:eastAsia="幼圆" w:hAnsi="幼圆" w:cs="幼圆" w:hint="eastAsia"/>
                <w:sz w:val="24"/>
              </w:rPr>
              <w:t>光感探测模块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_Toc482154624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25" w:history="1">
            <w:r>
              <w:rPr>
                <w:rStyle w:val="Hyperlink"/>
                <w:rFonts w:ascii="幼圆" w:eastAsia="幼圆" w:hAnsi="幼圆" w:cs="幼圆" w:hint="eastAsia"/>
                <w:sz w:val="24"/>
              </w:rPr>
              <w:t>3</w:t>
            </w:r>
            <w:r>
              <w:rPr>
                <w:rStyle w:val="Hyperlink"/>
                <w:rFonts w:ascii="幼圆" w:eastAsia="幼圆" w:hAnsi="幼圆" w:cs="幼圆" w:hint="eastAsia"/>
                <w:sz w:val="24"/>
              </w:rPr>
              <w:t>、脉搏血氧仪硬件系统设计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_Toc482154625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26" w:history="1">
            <w:r>
              <w:rPr>
                <w:rStyle w:val="Hyperlink"/>
                <w:rFonts w:ascii="幼圆" w:eastAsia="幼圆" w:hAnsi="幼圆" w:cs="幼圆" w:hint="eastAsia"/>
                <w:sz w:val="24"/>
              </w:rPr>
              <w:t>3.1</w:t>
            </w:r>
            <w:r>
              <w:rPr>
                <w:rStyle w:val="Hyperlink"/>
                <w:rFonts w:ascii="幼圆" w:eastAsia="幼圆" w:hAnsi="幼圆" w:cs="幼圆" w:hint="eastAsia"/>
                <w:sz w:val="24"/>
              </w:rPr>
              <w:t>最小系统设计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_Toc482154626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7" w:history="1">
            <w:r>
              <w:rPr>
                <w:rStyle w:val="Hyperlink"/>
                <w:rFonts w:ascii="幼圆" w:eastAsia="幼圆" w:hAnsi="幼圆" w:cs="幼圆" w:hint="eastAsia"/>
                <w:sz w:val="24"/>
              </w:rPr>
              <w:t>3.1.1</w:t>
            </w:r>
            <w:r>
              <w:rPr>
                <w:rStyle w:val="Hyperlink"/>
                <w:rFonts w:ascii="幼圆" w:eastAsia="幼圆" w:hAnsi="幼圆" w:cs="幼圆" w:hint="eastAsia"/>
                <w:sz w:val="24"/>
              </w:rPr>
              <w:t>单片机的选用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_Toc482154627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8" w:history="1">
            <w:r>
              <w:rPr>
                <w:rStyle w:val="Hyperlink"/>
                <w:rFonts w:ascii="幼圆" w:eastAsia="幼圆" w:hAnsi="幼圆" w:cs="幼圆" w:hint="eastAsia"/>
                <w:sz w:val="24"/>
              </w:rPr>
              <w:t>3.1.2</w:t>
            </w:r>
            <w:r>
              <w:rPr>
                <w:rStyle w:val="Hyperlink"/>
                <w:rFonts w:ascii="幼圆" w:eastAsia="幼圆" w:hAnsi="幼圆" w:cs="幼圆" w:hint="eastAsia"/>
                <w:sz w:val="24"/>
              </w:rPr>
              <w:t>振荡电路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_Toc482154628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29" w:history="1">
            <w:r>
              <w:rPr>
                <w:rStyle w:val="Hyperlink"/>
                <w:rFonts w:ascii="幼圆" w:eastAsia="幼圆" w:hAnsi="幼圆" w:cs="幼圆" w:hint="eastAsia"/>
                <w:sz w:val="24"/>
              </w:rPr>
              <w:t>3.1.3</w:t>
            </w:r>
            <w:r>
              <w:rPr>
                <w:rStyle w:val="Hyperlink"/>
                <w:rFonts w:ascii="幼圆" w:eastAsia="幼圆" w:hAnsi="幼圆" w:cs="幼圆" w:hint="eastAsia"/>
                <w:sz w:val="24"/>
              </w:rPr>
              <w:t>复位电路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_Toc482154629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0" w:history="1">
            <w:r>
              <w:rPr>
                <w:rStyle w:val="Hyperlink"/>
                <w:rFonts w:ascii="幼圆" w:eastAsia="幼圆" w:hAnsi="幼圆" w:cs="幼圆" w:hint="eastAsia"/>
                <w:sz w:val="24"/>
              </w:rPr>
              <w:t>3.1.4</w:t>
            </w:r>
            <w:r>
              <w:rPr>
                <w:rStyle w:val="Hyperlink"/>
                <w:rFonts w:ascii="幼圆" w:eastAsia="幼圆" w:hAnsi="幼圆" w:cs="幼圆" w:hint="eastAsia"/>
                <w:sz w:val="24"/>
              </w:rPr>
              <w:t>时钟</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_Toc482154630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31" w:history="1">
            <w:r>
              <w:rPr>
                <w:rStyle w:val="Hyperlink"/>
                <w:rFonts w:ascii="幼圆" w:eastAsia="幼圆" w:hAnsi="幼圆" w:cs="幼圆" w:hint="eastAsia"/>
                <w:sz w:val="24"/>
              </w:rPr>
              <w:t>3.2</w:t>
            </w:r>
            <w:r>
              <w:rPr>
                <w:rStyle w:val="Hyperlink"/>
                <w:rFonts w:ascii="幼圆" w:eastAsia="幼圆" w:hAnsi="幼圆" w:cs="幼圆" w:hint="eastAsia"/>
                <w:sz w:val="24"/>
              </w:rPr>
              <w:t>系统操作显示电路设计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_Toc482154631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2" w:history="1">
            <w:r>
              <w:rPr>
                <w:rStyle w:val="Hyperlink"/>
                <w:rFonts w:ascii="幼圆" w:eastAsia="幼圆" w:hAnsi="幼圆" w:cs="幼圆" w:hint="eastAsia"/>
                <w:sz w:val="24"/>
              </w:rPr>
              <w:t>3.2.1</w:t>
            </w:r>
            <w:r>
              <w:rPr>
                <w:rStyle w:val="Hyperlink"/>
                <w:rFonts w:ascii="幼圆" w:eastAsia="幼圆" w:hAnsi="幼圆" w:cs="幼圆" w:hint="eastAsia"/>
                <w:sz w:val="24"/>
              </w:rPr>
              <w:t>输入键盘</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_Toc482154632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3" w:history="1">
            <w:r>
              <w:rPr>
                <w:rStyle w:val="Hyperlink"/>
                <w:rFonts w:ascii="幼圆" w:eastAsia="幼圆" w:hAnsi="幼圆" w:cs="幼圆" w:hint="eastAsia"/>
                <w:sz w:val="24"/>
              </w:rPr>
              <w:t>3.2.2</w:t>
            </w:r>
            <w:r>
              <w:rPr>
                <w:rStyle w:val="Hyperlink"/>
                <w:rFonts w:ascii="幼圆" w:eastAsia="幼圆" w:hAnsi="幼圆" w:cs="幼圆" w:hint="eastAsia"/>
                <w:sz w:val="24"/>
              </w:rPr>
              <w:t>显示部分的电路设计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_Toc482154633 \h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4" w:history="1">
            <w:r>
              <w:rPr>
                <w:rStyle w:val="Hyperlink"/>
                <w:rFonts w:ascii="幼圆" w:eastAsia="幼圆" w:hAnsi="幼圆" w:cs="幼圆" w:hint="eastAsia"/>
                <w:sz w:val="24"/>
              </w:rPr>
              <w:t>3.2.3</w:t>
            </w:r>
            <w:r>
              <w:rPr>
                <w:rStyle w:val="Hyperlink"/>
                <w:rFonts w:ascii="幼圆" w:eastAsia="幼圆" w:hAnsi="幼圆" w:cs="幼圆" w:hint="eastAsia"/>
                <w:sz w:val="24"/>
              </w:rPr>
              <w:t>蜂鸣报警器的电路设计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_Toc482154634 \h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5" w:history="1">
            <w:r>
              <w:rPr>
                <w:rStyle w:val="Hyperlink"/>
                <w:rFonts w:ascii="幼圆" w:eastAsia="幼圆" w:hAnsi="幼圆" w:cs="幼圆" w:hint="eastAsia"/>
                <w:sz w:val="24"/>
              </w:rPr>
              <w:t>3.2.4</w:t>
            </w:r>
            <w:r>
              <w:rPr>
                <w:rStyle w:val="Hyperlink"/>
                <w:rFonts w:ascii="幼圆" w:eastAsia="幼圆" w:hAnsi="幼圆" w:cs="幼圆" w:hint="eastAsia"/>
                <w:sz w:val="24"/>
              </w:rPr>
              <w:t>光敏传感器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_Toc482154635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36" w:history="1">
            <w:r>
              <w:rPr>
                <w:rStyle w:val="Hyperlink"/>
                <w:rFonts w:ascii="幼圆" w:eastAsia="幼圆" w:hAnsi="幼圆" w:cs="幼圆" w:hint="eastAsia"/>
                <w:sz w:val="24"/>
              </w:rPr>
              <w:t>3.3</w:t>
            </w:r>
            <w:r>
              <w:rPr>
                <w:rStyle w:val="Hyperlink"/>
                <w:rFonts w:ascii="幼圆" w:eastAsia="幼圆" w:hAnsi="幼圆" w:cs="幼圆" w:hint="eastAsia"/>
                <w:sz w:val="24"/>
              </w:rPr>
              <w:t>血氧饱和度测量环节的电路设计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_Toc482154636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37" w:history="1">
            <w:r>
              <w:rPr>
                <w:rStyle w:val="Hyperlink"/>
                <w:rFonts w:ascii="幼圆" w:eastAsia="幼圆" w:hAnsi="幼圆" w:cs="幼圆" w:hint="eastAsia"/>
                <w:sz w:val="24"/>
              </w:rPr>
              <w:t>3.3.1</w:t>
            </w:r>
            <w:r>
              <w:rPr>
                <w:rStyle w:val="Hyperlink"/>
                <w:rFonts w:ascii="幼圆" w:eastAsia="幼圆" w:hAnsi="幼圆" w:cs="幼圆" w:hint="eastAsia"/>
                <w:sz w:val="24"/>
              </w:rPr>
              <w:t>信号采集电路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_Toc482154637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sectPr>
              <w:footerReference w:type="default" r:id="rId6"/>
              <w:pgSz w:w="11906" w:h="16838"/>
              <w:pgMar w:top="1440" w:right="1800" w:bottom="1440" w:left="1800" w:header="851" w:footer="992" w:gutter="0"/>
              <w:pgNumType w:fmt="upperRoman"/>
              <w:cols w:num="1" w:space="425"/>
              <w:docGrid w:type="lines" w:linePitch="312" w:charSpace="0"/>
            </w:sectPr>
          </w:pPr>
          <w:hyperlink w:anchor="_Toc482154638" w:history="1">
            <w:r>
              <w:rPr>
                <w:rStyle w:val="Hyperlink"/>
                <w:rFonts w:ascii="幼圆" w:eastAsia="幼圆" w:hAnsi="幼圆" w:cs="幼圆" w:hint="eastAsia"/>
                <w:sz w:val="24"/>
              </w:rPr>
              <w:t>3.3.2</w:t>
            </w:r>
            <w:r>
              <w:rPr>
                <w:rStyle w:val="Hyperlink"/>
                <w:rFonts w:ascii="幼圆" w:eastAsia="幼圆" w:hAnsi="幼圆" w:cs="幼圆" w:hint="eastAsia"/>
                <w:sz w:val="24"/>
              </w:rPr>
              <w:t>信号的低通放大电路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_Toc482154638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sdtContent>
    </w:sdt>
    <w:sdt>
      <w:sdtPr>
        <w:rPr>
          <w:rFonts w:ascii="幼圆" w:eastAsia="幼圆" w:hAnsi="幼圆" w:cs="幼圆" w:hint="eastAsia"/>
          <w:lang w:val="zh-CN"/>
        </w:rPr>
        <w:id w:val="487293123"/>
        <w:docPartObj>
          <w:docPartGallery w:val="Table of Contents"/>
          <w:docPartUnique/>
        </w:docPartObj>
      </w:sdtPr>
      <w:sdtEndPr>
        <w:rPr>
          <w:rFonts w:ascii="幼圆" w:eastAsia="幼圆" w:hAnsi="幼圆" w:cs="幼圆" w:hint="eastAsia"/>
          <w:bCs/>
          <w:color w:val="auto"/>
          <w:kern w:val="2"/>
          <w:sz w:val="21"/>
          <w:szCs w:val="24"/>
          <w:lang w:val="zh-CN"/>
        </w:rPr>
      </w:sdtEndPr>
      <w:sdtContent>
        <w:p>
          <w:pPr>
            <w:pStyle w:val="TOC3"/>
            <w:tabs>
              <w:tab w:val="right" w:leader="dot" w:pos="8296"/>
            </w:tabs>
            <w:spacing w:line="360" w:lineRule="auto"/>
            <w:rPr>
              <w:rFonts w:ascii="幼圆" w:eastAsia="幼圆" w:hAnsi="幼圆" w:cs="幼圆" w:hint="eastAsia"/>
              <w:sz w:val="24"/>
            </w:rPr>
          </w:pPr>
          <w:hyperlink w:anchor="_Toc482154639" w:history="1">
            <w:r>
              <w:rPr>
                <w:rStyle w:val="Hyperlink"/>
                <w:rFonts w:ascii="幼圆" w:eastAsia="幼圆" w:hAnsi="幼圆" w:cs="幼圆" w:hint="eastAsia"/>
                <w:sz w:val="24"/>
              </w:rPr>
              <w:t>3.3.3</w:t>
            </w:r>
            <w:r>
              <w:rPr>
                <w:rStyle w:val="Hyperlink"/>
                <w:rFonts w:ascii="幼圆" w:eastAsia="幼圆" w:hAnsi="幼圆" w:cs="幼圆" w:hint="eastAsia"/>
                <w:sz w:val="24"/>
              </w:rPr>
              <w:t>信号分离电路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_Toc482154639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40" w:history="1">
            <w:r>
              <w:rPr>
                <w:rStyle w:val="Hyperlink"/>
                <w:rFonts w:ascii="幼圆" w:eastAsia="幼圆" w:hAnsi="幼圆" w:cs="幼圆" w:hint="eastAsia"/>
                <w:sz w:val="24"/>
              </w:rPr>
              <w:t>3.3.4</w:t>
            </w:r>
            <w:r>
              <w:rPr>
                <w:rStyle w:val="Hyperlink"/>
                <w:rFonts w:ascii="幼圆" w:eastAsia="幼圆" w:hAnsi="幼圆" w:cs="幼圆" w:hint="eastAsia"/>
                <w:sz w:val="24"/>
              </w:rPr>
              <w:t>低通滤波电路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_Toc482154640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41" w:history="1">
            <w:r>
              <w:rPr>
                <w:rStyle w:val="Hyperlink"/>
                <w:rFonts w:ascii="幼圆" w:eastAsia="幼圆" w:hAnsi="幼圆" w:cs="幼圆" w:hint="eastAsia"/>
                <w:sz w:val="24"/>
              </w:rPr>
              <w:t>3.4</w:t>
            </w:r>
            <w:r>
              <w:rPr>
                <w:rStyle w:val="Hyperlink"/>
                <w:rFonts w:ascii="幼圆" w:eastAsia="幼圆" w:hAnsi="幼圆" w:cs="幼圆" w:hint="eastAsia"/>
                <w:sz w:val="24"/>
              </w:rPr>
              <w:t>其他功能模块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_Toc482154641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42" w:history="1">
            <w:r>
              <w:rPr>
                <w:rStyle w:val="Hyperlink"/>
                <w:rFonts w:ascii="幼圆" w:eastAsia="幼圆" w:hAnsi="幼圆" w:cs="幼圆" w:hint="eastAsia"/>
                <w:sz w:val="24"/>
              </w:rPr>
              <w:t>3.3.1</w:t>
            </w:r>
            <w:r>
              <w:rPr>
                <w:rStyle w:val="Hyperlink"/>
                <w:rFonts w:ascii="幼圆" w:eastAsia="幼圆" w:hAnsi="幼圆" w:cs="幼圆" w:hint="eastAsia"/>
                <w:sz w:val="24"/>
              </w:rPr>
              <w:t>信号转换部分的设计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_Toc482154642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43" w:history="1">
            <w:r>
              <w:rPr>
                <w:rStyle w:val="Hyperlink"/>
                <w:rFonts w:ascii="幼圆" w:eastAsia="幼圆" w:hAnsi="幼圆" w:cs="幼圆" w:hint="eastAsia"/>
                <w:sz w:val="24"/>
              </w:rPr>
              <w:t>3.4.2</w:t>
            </w:r>
            <w:r>
              <w:rPr>
                <w:rStyle w:val="Hyperlink"/>
                <w:rFonts w:ascii="幼圆" w:eastAsia="幼圆" w:hAnsi="幼圆" w:cs="幼圆" w:hint="eastAsia"/>
                <w:sz w:val="24"/>
              </w:rPr>
              <w:t>恒流源电路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_Toc482154643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44" w:history="1">
            <w:r>
              <w:rPr>
                <w:rStyle w:val="Hyperlink"/>
                <w:rFonts w:ascii="幼圆" w:eastAsia="幼圆" w:hAnsi="幼圆" w:cs="幼圆" w:hint="eastAsia"/>
                <w:sz w:val="24"/>
              </w:rPr>
              <w:t>3.4.3</w:t>
            </w:r>
            <w:r>
              <w:rPr>
                <w:rStyle w:val="Hyperlink"/>
                <w:rFonts w:ascii="幼圆" w:eastAsia="幼圆" w:hAnsi="幼圆" w:cs="幼圆" w:hint="eastAsia"/>
                <w:sz w:val="24"/>
              </w:rPr>
              <w:t>与</w:t>
            </w:r>
            <w:r>
              <w:rPr>
                <w:rStyle w:val="Hyperlink"/>
                <w:rFonts w:ascii="幼圆" w:eastAsia="幼圆" w:hAnsi="幼圆" w:cs="幼圆" w:hint="eastAsia"/>
                <w:sz w:val="24"/>
              </w:rPr>
              <w:t>PC</w:t>
            </w:r>
            <w:r>
              <w:rPr>
                <w:rStyle w:val="Hyperlink"/>
                <w:rFonts w:ascii="幼圆" w:eastAsia="幼圆" w:hAnsi="幼圆" w:cs="幼圆" w:hint="eastAsia"/>
                <w:sz w:val="24"/>
              </w:rPr>
              <w:t>机串口通信电路设计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_Toc482154644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45" w:history="1">
            <w:r>
              <w:rPr>
                <w:rStyle w:val="Hyperlink"/>
                <w:rFonts w:ascii="幼圆" w:eastAsia="幼圆" w:hAnsi="幼圆" w:cs="幼圆" w:hint="eastAsia"/>
                <w:sz w:val="24"/>
              </w:rPr>
              <w:t>4</w:t>
            </w:r>
            <w:r>
              <w:rPr>
                <w:rStyle w:val="Hyperlink"/>
                <w:rFonts w:ascii="幼圆" w:eastAsia="幼圆" w:hAnsi="幼圆" w:cs="幼圆" w:hint="eastAsia"/>
                <w:sz w:val="24"/>
              </w:rPr>
              <w:t>、脉搏血氧仪系统实现的软件设计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_Toc482154645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46" w:history="1">
            <w:r>
              <w:rPr>
                <w:rStyle w:val="Hyperlink"/>
                <w:rFonts w:ascii="幼圆" w:eastAsia="幼圆" w:hAnsi="幼圆" w:cs="幼圆" w:hint="eastAsia"/>
                <w:sz w:val="24"/>
              </w:rPr>
              <w:t xml:space="preserve">4.1MCU </w:t>
            </w:r>
            <w:r>
              <w:rPr>
                <w:rStyle w:val="Hyperlink"/>
                <w:rFonts w:ascii="幼圆" w:eastAsia="幼圆" w:hAnsi="幼圆" w:cs="幼圆" w:hint="eastAsia"/>
                <w:sz w:val="24"/>
              </w:rPr>
              <w:t>软件开发</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_Toc482154646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47" w:history="1">
            <w:r>
              <w:rPr>
                <w:rStyle w:val="Hyperlink"/>
                <w:rFonts w:ascii="幼圆" w:eastAsia="幼圆" w:hAnsi="幼圆" w:cs="幼圆" w:hint="eastAsia"/>
                <w:sz w:val="24"/>
              </w:rPr>
              <w:t>4.2</w:t>
            </w:r>
            <w:r>
              <w:rPr>
                <w:rStyle w:val="Hyperlink"/>
                <w:rFonts w:ascii="幼圆" w:eastAsia="幼圆" w:hAnsi="幼圆" w:cs="幼圆" w:hint="eastAsia"/>
                <w:sz w:val="24"/>
              </w:rPr>
              <w:t>系统主程序流程图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_Toc482154647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48" w:history="1">
            <w:r>
              <w:rPr>
                <w:rStyle w:val="Hyperlink"/>
                <w:rFonts w:ascii="幼圆" w:eastAsia="幼圆" w:hAnsi="幼圆" w:cs="幼圆" w:hint="eastAsia"/>
                <w:sz w:val="24"/>
              </w:rPr>
              <w:t>4.3</w:t>
            </w:r>
            <w:r>
              <w:rPr>
                <w:rStyle w:val="Hyperlink"/>
                <w:rFonts w:ascii="幼圆" w:eastAsia="幼圆" w:hAnsi="幼圆" w:cs="幼圆" w:hint="eastAsia"/>
                <w:sz w:val="24"/>
              </w:rPr>
              <w:t>子程序设计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_Toc482154648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49" w:history="1">
            <w:r>
              <w:rPr>
                <w:rStyle w:val="Hyperlink"/>
                <w:rFonts w:ascii="幼圆" w:eastAsia="幼圆" w:hAnsi="幼圆" w:cs="幼圆" w:hint="eastAsia"/>
                <w:sz w:val="24"/>
              </w:rPr>
              <w:t>4.2.1 ADC0809</w:t>
            </w:r>
            <w:r>
              <w:rPr>
                <w:rStyle w:val="Hyperlink"/>
                <w:rFonts w:ascii="幼圆" w:eastAsia="幼圆" w:hAnsi="幼圆" w:cs="幼圆" w:hint="eastAsia"/>
                <w:sz w:val="24"/>
              </w:rPr>
              <w:t>采集数据流程图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_Toc482154649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50" w:history="1">
            <w:r>
              <w:rPr>
                <w:rStyle w:val="Hyperlink"/>
                <w:rFonts w:ascii="幼圆" w:eastAsia="幼圆" w:hAnsi="幼圆" w:cs="幼圆" w:hint="eastAsia"/>
                <w:sz w:val="24"/>
              </w:rPr>
              <w:t>4.2.2</w:t>
            </w:r>
            <w:r>
              <w:rPr>
                <w:rStyle w:val="Hyperlink"/>
                <w:rFonts w:ascii="幼圆" w:eastAsia="幼圆" w:hAnsi="幼圆" w:cs="幼圆" w:hint="eastAsia"/>
                <w:sz w:val="24"/>
              </w:rPr>
              <w:t>显示部分子程序流程图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_Toc482154650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51" w:history="1">
            <w:r>
              <w:rPr>
                <w:rStyle w:val="Hyperlink"/>
                <w:rFonts w:ascii="幼圆" w:eastAsia="幼圆" w:hAnsi="幼圆" w:cs="幼圆" w:hint="eastAsia"/>
                <w:sz w:val="24"/>
              </w:rPr>
              <w:t>4.2.5</w:t>
            </w:r>
            <w:r>
              <w:rPr>
                <w:rStyle w:val="Hyperlink"/>
                <w:rFonts w:ascii="幼圆" w:eastAsia="幼圆" w:hAnsi="幼圆" w:cs="幼圆" w:hint="eastAsia"/>
                <w:sz w:val="24"/>
              </w:rPr>
              <w:t>报警部分程序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_Toc482154651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360" w:lineRule="auto"/>
            <w:rPr>
              <w:rFonts w:ascii="幼圆" w:eastAsia="幼圆" w:hAnsi="幼圆" w:cs="幼圆" w:hint="eastAsia"/>
              <w:sz w:val="24"/>
            </w:rPr>
          </w:pPr>
          <w:hyperlink w:anchor="_Toc482154652" w:history="1">
            <w:r>
              <w:rPr>
                <w:rStyle w:val="Hyperlink"/>
                <w:rFonts w:ascii="幼圆" w:eastAsia="幼圆" w:hAnsi="幼圆" w:cs="幼圆" w:hint="eastAsia"/>
                <w:sz w:val="24"/>
              </w:rPr>
              <w:t>4.3.7</w:t>
            </w:r>
            <w:r>
              <w:rPr>
                <w:rStyle w:val="Hyperlink"/>
                <w:rFonts w:ascii="幼圆" w:eastAsia="幼圆" w:hAnsi="幼圆" w:cs="幼圆" w:hint="eastAsia"/>
                <w:sz w:val="24"/>
              </w:rPr>
              <w:t>光电数据传输程序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_Toc482154652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53" w:history="1">
            <w:r>
              <w:rPr>
                <w:rStyle w:val="Hyperlink"/>
                <w:rFonts w:ascii="幼圆" w:eastAsia="幼圆" w:hAnsi="幼圆" w:cs="幼圆" w:hint="eastAsia"/>
                <w:sz w:val="24"/>
              </w:rPr>
              <w:t>5</w:t>
            </w:r>
            <w:r>
              <w:rPr>
                <w:rStyle w:val="Hyperlink"/>
                <w:rFonts w:ascii="幼圆" w:eastAsia="幼圆" w:hAnsi="幼圆" w:cs="幼圆" w:hint="eastAsia"/>
                <w:sz w:val="24"/>
              </w:rPr>
              <w:t>、基于</w:t>
            </w:r>
            <w:r>
              <w:rPr>
                <w:rStyle w:val="Hyperlink"/>
                <w:rFonts w:ascii="幼圆" w:eastAsia="幼圆" w:hAnsi="幼圆" w:cs="幼圆" w:hint="eastAsia"/>
                <w:sz w:val="24"/>
              </w:rPr>
              <w:t>proteus</w:t>
            </w:r>
            <w:r>
              <w:rPr>
                <w:rStyle w:val="Hyperlink"/>
                <w:rFonts w:ascii="幼圆" w:eastAsia="幼圆" w:hAnsi="幼圆" w:cs="幼圆" w:hint="eastAsia"/>
                <w:sz w:val="24"/>
              </w:rPr>
              <w:t>软件的仿真实现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_Toc482154653 \h </w:instrText>
            </w:r>
            <w:r>
              <w:rPr>
                <w:rFonts w:ascii="幼圆" w:eastAsia="幼圆" w:hAnsi="幼圆" w:cs="幼圆" w:hint="eastAsia"/>
                <w:sz w:val="24"/>
              </w:rPr>
              <w:fldChar w:fldCharType="separate"/>
            </w:r>
            <w:r>
              <w:rPr>
                <w:rFonts w:ascii="幼圆" w:eastAsia="幼圆" w:hAnsi="幼圆" w:cs="幼圆" w:hint="eastAsia"/>
                <w:sz w:val="24"/>
              </w:rPr>
              <w:t>23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54" w:history="1">
            <w:r>
              <w:rPr>
                <w:rStyle w:val="Hyperlink"/>
                <w:rFonts w:ascii="幼圆" w:eastAsia="幼圆" w:hAnsi="幼圆" w:cs="幼圆" w:hint="eastAsia"/>
                <w:sz w:val="24"/>
              </w:rPr>
              <w:t>5.1</w:t>
            </w:r>
            <w:r>
              <w:rPr>
                <w:rStyle w:val="Hyperlink"/>
                <w:rFonts w:ascii="幼圆" w:eastAsia="幼圆" w:hAnsi="幼圆" w:cs="幼圆" w:hint="eastAsia"/>
                <w:sz w:val="24"/>
              </w:rPr>
              <w:t>系统终端的焊接</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_Toc482154654 \h </w:instrText>
            </w:r>
            <w:r>
              <w:rPr>
                <w:rFonts w:ascii="幼圆" w:eastAsia="幼圆" w:hAnsi="幼圆" w:cs="幼圆" w:hint="eastAsia"/>
                <w:sz w:val="24"/>
              </w:rPr>
              <w:fldChar w:fldCharType="separate"/>
            </w:r>
            <w:r>
              <w:rPr>
                <w:rFonts w:ascii="幼圆" w:eastAsia="幼圆" w:hAnsi="幼圆" w:cs="幼圆" w:hint="eastAsia"/>
                <w:sz w:val="24"/>
              </w:rPr>
              <w:t>23</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55" w:history="1">
            <w:r>
              <w:rPr>
                <w:rStyle w:val="Hyperlink"/>
                <w:rFonts w:ascii="幼圆" w:eastAsia="幼圆" w:hAnsi="幼圆" w:cs="幼圆" w:hint="eastAsia"/>
                <w:sz w:val="24"/>
              </w:rPr>
              <w:t>5.2</w:t>
            </w:r>
            <w:r>
              <w:rPr>
                <w:rStyle w:val="Hyperlink"/>
                <w:rFonts w:ascii="幼圆" w:eastAsia="幼圆" w:hAnsi="幼圆" w:cs="幼圆" w:hint="eastAsia"/>
                <w:sz w:val="24"/>
              </w:rPr>
              <w:t>电路测试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_Toc482154655 \h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56" w:history="1">
            <w:r>
              <w:rPr>
                <w:rStyle w:val="Hyperlink"/>
                <w:rFonts w:ascii="幼圆" w:eastAsia="幼圆" w:hAnsi="幼圆" w:cs="幼圆" w:hint="eastAsia"/>
                <w:sz w:val="24"/>
              </w:rPr>
              <w:t>5.3</w:t>
            </w:r>
            <w:r>
              <w:rPr>
                <w:rStyle w:val="Hyperlink"/>
                <w:rFonts w:ascii="幼圆" w:eastAsia="幼圆" w:hAnsi="幼圆" w:cs="幼圆" w:hint="eastAsia"/>
                <w:sz w:val="24"/>
              </w:rPr>
              <w:t>仿真和编译工具</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_Toc482154656 \h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2"/>
            <w:tabs>
              <w:tab w:val="right" w:leader="dot" w:pos="8296"/>
            </w:tabs>
            <w:spacing w:line="360" w:lineRule="auto"/>
            <w:rPr>
              <w:rFonts w:ascii="幼圆" w:eastAsia="幼圆" w:hAnsi="幼圆" w:cs="幼圆" w:hint="eastAsia"/>
              <w:sz w:val="24"/>
            </w:rPr>
          </w:pPr>
          <w:hyperlink w:anchor="_Toc482154657" w:history="1">
            <w:r>
              <w:rPr>
                <w:rStyle w:val="Hyperlink"/>
                <w:rFonts w:ascii="幼圆" w:eastAsia="幼圆" w:hAnsi="幼圆" w:cs="幼圆" w:hint="eastAsia"/>
                <w:sz w:val="24"/>
              </w:rPr>
              <w:t>5.4</w:t>
            </w:r>
            <w:r>
              <w:rPr>
                <w:rStyle w:val="Hyperlink"/>
                <w:rFonts w:ascii="幼圆" w:eastAsia="幼圆" w:hAnsi="幼圆" w:cs="幼圆" w:hint="eastAsia"/>
                <w:sz w:val="24"/>
              </w:rPr>
              <w:t>硬件电路仿真输出波形</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_Toc482154657 \h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58" w:history="1">
            <w:r>
              <w:rPr>
                <w:rStyle w:val="Hyperlink"/>
                <w:rFonts w:ascii="幼圆" w:eastAsia="幼圆" w:hAnsi="幼圆" w:cs="幼圆" w:hint="eastAsia"/>
                <w:sz w:val="24"/>
              </w:rPr>
              <w:t>结论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_Toc482154658 \h </w:instrText>
            </w:r>
            <w:r>
              <w:rPr>
                <w:rFonts w:ascii="幼圆" w:eastAsia="幼圆" w:hAnsi="幼圆" w:cs="幼圆" w:hint="eastAsia"/>
                <w:sz w:val="24"/>
              </w:rPr>
              <w:fldChar w:fldCharType="separate"/>
            </w:r>
            <w:r>
              <w:rPr>
                <w:rFonts w:ascii="幼圆" w:eastAsia="幼圆" w:hAnsi="幼圆" w:cs="幼圆" w:hint="eastAsia"/>
                <w:sz w:val="24"/>
              </w:rPr>
              <w:t>28</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59" w:history="1">
            <w:r>
              <w:rPr>
                <w:rStyle w:val="Hyperlink"/>
                <w:rFonts w:ascii="幼圆" w:eastAsia="幼圆" w:hAnsi="幼圆" w:cs="幼圆" w:hint="eastAsia"/>
                <w:sz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_Toc482154659 \h </w:instrText>
            </w:r>
            <w:r>
              <w:rPr>
                <w:rFonts w:ascii="幼圆" w:eastAsia="幼圆" w:hAnsi="幼圆" w:cs="幼圆" w:hint="eastAsia"/>
                <w:sz w:val="24"/>
              </w:rPr>
              <w:fldChar w:fldCharType="separate"/>
            </w:r>
            <w:r>
              <w:rPr>
                <w:rFonts w:ascii="幼圆" w:eastAsia="幼圆" w:hAnsi="幼圆" w:cs="幼圆" w:hint="eastAsia"/>
                <w:sz w:val="24"/>
              </w:rPr>
              <w:t>29</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 w:val="24"/>
            </w:rPr>
          </w:pPr>
          <w:hyperlink w:anchor="_Toc482154660" w:history="1">
            <w:r>
              <w:rPr>
                <w:rStyle w:val="Hyperlink"/>
                <w:rFonts w:ascii="幼圆" w:eastAsia="幼圆" w:hAnsi="幼圆" w:cs="幼圆" w:hint="eastAsia"/>
                <w:sz w:val="24"/>
              </w:rPr>
              <w:t>致谢</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_Toc482154660 \h </w:instrText>
            </w:r>
            <w:r>
              <w:rPr>
                <w:rFonts w:ascii="幼圆" w:eastAsia="幼圆" w:hAnsi="幼圆" w:cs="幼圆" w:hint="eastAsia"/>
                <w:sz w:val="24"/>
              </w:rPr>
              <w:fldChar w:fldCharType="separate"/>
            </w:r>
            <w:r>
              <w:rPr>
                <w:rFonts w:ascii="幼圆" w:eastAsia="幼圆" w:hAnsi="幼圆" w:cs="幼圆" w:hint="eastAsia"/>
                <w:sz w:val="24"/>
              </w:rPr>
              <w:t>30</w:t>
            </w:r>
            <w:r>
              <w:rPr>
                <w:rFonts w:ascii="幼圆" w:eastAsia="幼圆" w:hAnsi="幼圆" w:cs="幼圆" w:hint="eastAsia"/>
                <w:sz w:val="24"/>
              </w:rPr>
              <w:fldChar w:fldCharType="end"/>
            </w:r>
          </w:hyperlink>
        </w:p>
        <w:p>
          <w:pPr>
            <w:pStyle w:val="TOC1"/>
            <w:tabs>
              <w:tab w:val="right" w:leader="dot" w:pos="8296"/>
            </w:tabs>
            <w:spacing w:line="360" w:lineRule="auto"/>
            <w:rPr>
              <w:rFonts w:ascii="幼圆" w:eastAsia="幼圆" w:hAnsi="幼圆" w:cs="幼圆" w:hint="eastAsia"/>
              <w:szCs w:val="22"/>
            </w:rPr>
          </w:pPr>
          <w:hyperlink w:anchor="_Toc482154661" w:history="1">
            <w:r>
              <w:rPr>
                <w:rStyle w:val="Hyperlink"/>
                <w:rFonts w:ascii="幼圆" w:eastAsia="幼圆" w:hAnsi="幼圆" w:cs="幼圆" w:hint="eastAsia"/>
                <w:sz w:val="24"/>
              </w:rPr>
              <w:t>附录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_Toc482154661 \h </w:instrText>
            </w:r>
            <w:r>
              <w:rPr>
                <w:rFonts w:ascii="幼圆" w:eastAsia="幼圆" w:hAnsi="幼圆" w:cs="幼圆" w:hint="eastAsia"/>
                <w:sz w:val="24"/>
              </w:rPr>
              <w:fldChar w:fldCharType="separate"/>
            </w:r>
            <w:r>
              <w:rPr>
                <w:rFonts w:ascii="幼圆" w:eastAsia="幼圆" w:hAnsi="幼圆" w:cs="幼圆" w:hint="eastAsia"/>
                <w:sz w:val="24"/>
              </w:rPr>
              <w:t>31</w:t>
            </w:r>
            <w:r>
              <w:rPr>
                <w:rFonts w:ascii="幼圆" w:eastAsia="幼圆" w:hAnsi="幼圆" w:cs="幼圆" w:hint="eastAsia"/>
                <w:sz w:val="24"/>
              </w:rPr>
              <w:fldChar w:fldCharType="end"/>
            </w:r>
          </w:hyperlink>
        </w:p>
        <w:p>
          <w:pPr>
            <w:rPr>
              <w:rFonts w:ascii="幼圆" w:eastAsia="幼圆" w:hAnsi="幼圆" w:cs="幼圆" w:hint="eastAsia"/>
            </w:rPr>
          </w:pPr>
          <w:r>
            <w:rPr>
              <w:rFonts w:ascii="幼圆" w:eastAsia="幼圆" w:hAnsi="幼圆" w:cs="幼圆" w:hint="eastAsia"/>
              <w:b/>
              <w:bCs/>
              <w:lang w:val="zh-CN"/>
            </w:rPr>
            <w:fldChar w:fldCharType="end"/>
          </w:r>
        </w:p>
      </w:sdtContent>
    </w:sdt>
    <w:p>
      <w:pPr>
        <w:pStyle w:val="a"/>
        <w:rPr>
          <w:rFonts w:ascii="幼圆" w:eastAsia="幼圆" w:hAnsi="幼圆" w:cs="幼圆" w:hint="eastAsia"/>
        </w:rPr>
      </w:pPr>
    </w:p>
    <w:p>
      <w:pPr>
        <w:pStyle w:val="a"/>
        <w:rPr>
          <w:rFonts w:ascii="幼圆" w:eastAsia="幼圆" w:hAnsi="幼圆" w:cs="幼圆" w:hint="eastAsia"/>
        </w:rPr>
      </w:pPr>
    </w:p>
    <w:p>
      <w:pPr>
        <w:pStyle w:val="1"/>
        <w:spacing w:before="312" w:after="312"/>
        <w:rPr>
          <w:rFonts w:ascii="幼圆" w:eastAsia="幼圆" w:hAnsi="幼圆" w:cs="幼圆" w:hint="eastAsia"/>
        </w:rPr>
        <w:sectPr>
          <w:footerReference w:type="default" r:id="rId7"/>
          <w:type w:val="nextPage"/>
          <w:pgSz w:w="11906" w:h="16838"/>
          <w:pgMar w:top="1440" w:right="1800" w:bottom="1440" w:left="1800" w:header="851" w:footer="992" w:gutter="0"/>
          <w:pgNumType w:fmt="upperRoman" w:start="2"/>
          <w:cols w:num="1" w:space="425"/>
          <w:titlePg w:val="0"/>
          <w:docGrid w:type="lines" w:linePitch="312" w:charSpace="0"/>
        </w:sectPr>
      </w:pPr>
    </w:p>
    <w:p>
      <w:pPr>
        <w:pStyle w:val="1"/>
        <w:spacing w:before="312" w:after="312"/>
        <w:rPr>
          <w:rFonts w:ascii="幼圆" w:eastAsia="幼圆" w:hAnsi="幼圆" w:cs="幼圆" w:hint="eastAsia"/>
        </w:rPr>
      </w:pPr>
      <w:bookmarkStart w:id="1" w:name="_Toc482154614"/>
      <w:r>
        <w:rPr>
          <w:rFonts w:ascii="幼圆" w:eastAsia="幼圆" w:hAnsi="幼圆" w:cs="幼圆" w:hint="eastAsia"/>
        </w:rPr>
        <w:t>1、前言</w:t>
      </w:r>
      <w:bookmarkEnd w:id="1"/>
    </w:p>
    <w:p>
      <w:pPr>
        <w:pStyle w:val="2"/>
        <w:spacing w:before="156" w:after="156"/>
        <w:rPr>
          <w:rFonts w:ascii="幼圆" w:eastAsia="幼圆" w:hAnsi="幼圆" w:cs="幼圆" w:hint="eastAsia"/>
        </w:rPr>
      </w:pPr>
      <w:bookmarkStart w:id="2" w:name="_Toc482154615"/>
      <w:r>
        <w:rPr>
          <w:rFonts w:ascii="幼圆" w:eastAsia="幼圆" w:hAnsi="幼圆" w:cs="幼圆" w:hint="eastAsia"/>
        </w:rPr>
        <w:t>1.1研究背景</w:t>
      </w:r>
      <w:bookmarkEnd w:id="2"/>
    </w:p>
    <w:p>
      <w:pPr>
        <w:pStyle w:val="a"/>
        <w:rPr>
          <w:rFonts w:ascii="幼圆" w:eastAsia="幼圆" w:hAnsi="幼圆" w:cs="幼圆" w:hint="eastAsia"/>
        </w:rPr>
      </w:pPr>
      <w:r>
        <w:rPr>
          <w:rFonts w:ascii="幼圆" w:eastAsia="幼圆" w:hAnsi="幼圆" w:cs="幼圆" w:hint="eastAsia"/>
        </w:rPr>
        <w:t>随着人们生活水平的提高，饮食结构的改变以及工作压力等造成的体育锻炼的减少，肺心病已成为严重威胁中老年人身体健康的一种常见疾病。缺氧在临床上重要特征是血氧饱和度（SpO</w:t>
      </w:r>
      <w:r>
        <w:rPr>
          <w:rFonts w:ascii="幼圆" w:eastAsia="幼圆" w:hAnsi="幼圆" w:cs="幼圆" w:hint="eastAsia"/>
          <w:vertAlign w:val="subscript"/>
        </w:rPr>
        <w:t>2</w:t>
      </w:r>
      <w:r>
        <w:rPr>
          <w:rFonts w:ascii="幼圆" w:eastAsia="幼圆" w:hAnsi="幼圆" w:cs="幼圆" w:hint="eastAsia"/>
        </w:rPr>
        <w:t>）显著下降，因此，监测人体 SpO</w:t>
      </w:r>
      <w:r>
        <w:rPr>
          <w:rFonts w:ascii="幼圆" w:eastAsia="幼圆" w:hAnsi="幼圆" w:cs="幼圆" w:hint="eastAsia"/>
          <w:vertAlign w:val="subscript"/>
        </w:rPr>
        <w:t>2</w:t>
      </w:r>
      <w:r>
        <w:rPr>
          <w:rFonts w:ascii="幼圆" w:eastAsia="幼圆" w:hAnsi="幼圆" w:cs="幼圆" w:hint="eastAsia"/>
        </w:rPr>
        <w:t>的变化对肺心病的预防和治疗有重要的作用。传统的脉搏血氧饱和度检测系统多是通过模拟技术完成信号调制解调、双光束分离、交直流分离、滤波放大、脉搏波检出等一系列工作的，这种方法不仅硬件复杂，而且增加了系统不可靠和不稳定因素。</w:t>
      </w:r>
    </w:p>
    <w:p>
      <w:pPr>
        <w:pStyle w:val="a"/>
        <w:rPr>
          <w:rFonts w:ascii="幼圆" w:eastAsia="幼圆" w:hAnsi="幼圆" w:cs="幼圆" w:hint="eastAsia"/>
        </w:rPr>
      </w:pPr>
      <w:r>
        <w:rPr>
          <w:rFonts w:ascii="幼圆" w:eastAsia="幼圆" w:hAnsi="幼圆" w:cs="幼圆" w:hint="eastAsia"/>
        </w:rPr>
        <w:t>在临床实践中，估计动脉氧合能力有多种方法，最常用的是取动脉血，但这种方法需要动脉穿刺或者插管，且不能连续监测。无创伤检测动脉血氧饱和度的方法，是一种采用脉搏血氧测量法的动脉血氧饱和度测量方法，它的特点是能够在无创伤条件下实现连续测量动脉血氧饱和度，使用方便，应用前景广泛。</w:t>
      </w:r>
    </w:p>
    <w:p>
      <w:pPr>
        <w:pStyle w:val="a"/>
        <w:rPr>
          <w:rFonts w:ascii="幼圆" w:eastAsia="幼圆" w:hAnsi="幼圆" w:cs="幼圆" w:hint="eastAsia"/>
        </w:rPr>
      </w:pPr>
      <w:r>
        <w:rPr>
          <w:rFonts w:ascii="幼圆" w:eastAsia="幼圆" w:hAnsi="幼圆" w:cs="幼圆" w:hint="eastAsia"/>
        </w:rPr>
        <w:t>本论文目标就是研制一种低功耗、便携式生理信号采集系统，以单片机为主要的控制系统，开发了一套数模结合的采集和处理板块，并把它运用到实际的情况中，具有现实意义，在医疗资源不充分的情况下能够有效对医疗资源的合理分配改善，并节省一定的医疗费用。</w:t>
      </w:r>
    </w:p>
    <w:p>
      <w:pPr>
        <w:pStyle w:val="2"/>
        <w:spacing w:before="156" w:after="156"/>
        <w:rPr>
          <w:rFonts w:ascii="幼圆" w:eastAsia="幼圆" w:hAnsi="幼圆" w:cs="幼圆" w:hint="eastAsia"/>
        </w:rPr>
      </w:pPr>
      <w:bookmarkStart w:id="3" w:name="_Toc482154616"/>
      <w:r>
        <w:rPr>
          <w:rFonts w:ascii="幼圆" w:eastAsia="幼圆" w:hAnsi="幼圆" w:cs="幼圆" w:hint="eastAsia"/>
        </w:rPr>
        <w:t>1.2研究意义</w:t>
      </w:r>
      <w:bookmarkEnd w:id="3"/>
    </w:p>
    <w:p>
      <w:pPr>
        <w:pStyle w:val="a"/>
        <w:rPr>
          <w:rFonts w:ascii="幼圆" w:eastAsia="幼圆" w:hAnsi="幼圆" w:cs="幼圆" w:hint="eastAsia"/>
        </w:rPr>
      </w:pPr>
      <w:r>
        <w:rPr>
          <w:rFonts w:ascii="幼圆" w:eastAsia="幼圆" w:hAnsi="幼圆" w:cs="幼圆" w:hint="eastAsia"/>
        </w:rPr>
        <w:t>人体的新陈代谢过程是生物氧化过程，而新陈代谢过程中所需要的氧，是通过呼吸系统进入人体血液，与血液红细胞中的血红蛋白(Hb)，结合成氧合血红蛋白(HbO2)，再输送到人体各部分组织细胞中去通过连续或间断地监测血氧饱和度可以对人体携带氧的能力进行估计，同时，其又是判断人体呼吸系统、循环系统是否出现障碍或者周围环境是否缺氧的重要指标，在手术麻醉、监护室急救病房、病人运动和睡眠研究、以及慢性呼吸循环系统疾病患者的监上都有着重要的作用。</w:t>
      </w:r>
    </w:p>
    <w:p>
      <w:pPr>
        <w:pStyle w:val="a"/>
        <w:rPr>
          <w:rFonts w:ascii="幼圆" w:eastAsia="幼圆" w:hAnsi="幼圆" w:cs="幼圆" w:hint="eastAsia"/>
        </w:rPr>
        <w:sectPr>
          <w:footerReference w:type="default" r:id="rId8"/>
          <w:pgSz w:w="11906" w:h="16838"/>
          <w:pgMar w:top="1440" w:right="1800" w:bottom="1440" w:left="1800" w:header="851" w:footer="992" w:gutter="0"/>
          <w:pgNumType w:start="3"/>
          <w:cols w:num="1" w:space="425"/>
          <w:docGrid w:type="lines" w:linePitch="312" w:charSpace="0"/>
        </w:sectPr>
      </w:pPr>
      <w:r>
        <w:rPr>
          <w:rFonts w:ascii="幼圆" w:eastAsia="幼圆" w:hAnsi="幼圆" w:cs="幼圆" w:hint="eastAsia"/>
        </w:rPr>
        <w:t>传统的血氧饱和度测量方法是先进行人体采血，再利用血气分析仪进行电化学分析，测出血氧分压PO：，计算</w:t>
      </w:r>
      <w:r>
        <w:rPr>
          <w:rFonts w:ascii="幼圆" w:eastAsia="幼圆" w:hAnsi="幼圆" w:cs="幼圆" w:hint="eastAsia"/>
        </w:rPr>
        <w:t>SpO</w:t>
      </w:r>
      <w:r>
        <w:rPr>
          <w:rFonts w:ascii="幼圆" w:eastAsia="幼圆" w:hAnsi="幼圆" w:cs="幼圆" w:hint="eastAsia"/>
          <w:vertAlign w:val="subscript"/>
        </w:rPr>
        <w:t>2</w:t>
      </w:r>
    </w:p>
    <w:p>
      <w:pPr>
        <w:pStyle w:val="a"/>
        <w:rPr>
          <w:rFonts w:ascii="幼圆" w:eastAsia="幼圆" w:hAnsi="幼圆" w:cs="幼圆" w:hint="eastAsia"/>
        </w:rPr>
      </w:pPr>
      <w:r>
        <w:rPr>
          <w:rFonts w:ascii="幼圆" w:eastAsia="幼圆" w:hAnsi="幼圆" w:cs="幼圆" w:hint="eastAsia"/>
        </w:rPr>
        <w:t>：。这种方法比较麻烦，且不能进行连续的监测。因此，一种采用无损光谱学连续检测人体的血氧含量的方法应运而生。其基本原理是根据组织对光的固有特性，利用光在组织中传播的效应来获取和研究生物组织生理的、代谢的有用信息，安全、可靠、对肌体无损，具有广泛的研究应用前景和重要的实用价值。</w:t>
      </w:r>
    </w:p>
    <w:p>
      <w:pPr>
        <w:pStyle w:val="Heading1"/>
        <w:rPr>
          <w:rFonts w:ascii="幼圆" w:eastAsia="幼圆" w:hAnsi="幼圆" w:cs="幼圆" w:hint="eastAsia"/>
        </w:rPr>
      </w:pPr>
      <w:bookmarkStart w:id="4" w:name="_Toc478432768"/>
      <w:bookmarkStart w:id="5" w:name="_Toc482154617"/>
      <w:r>
        <w:rPr>
          <w:rFonts w:ascii="幼圆" w:eastAsia="幼圆" w:hAnsi="幼圆" w:cs="幼圆" w:hint="eastAsia"/>
        </w:rPr>
        <w:t>2、脉搏血氧仪设计方案介绍</w:t>
      </w:r>
      <w:bookmarkEnd w:id="4"/>
      <w:bookmarkEnd w:id="5"/>
    </w:p>
    <w:p>
      <w:pPr>
        <w:pStyle w:val="Heading2"/>
        <w:rPr>
          <w:rFonts w:ascii="幼圆" w:eastAsia="幼圆" w:hAnsi="幼圆" w:cs="幼圆" w:hint="eastAsia"/>
        </w:rPr>
      </w:pPr>
      <w:bookmarkStart w:id="6" w:name="_Toc482154618"/>
      <w:bookmarkStart w:id="7" w:name="_Toc478432769"/>
      <w:bookmarkStart w:id="8" w:name="_Toc307"/>
      <w:r>
        <w:rPr>
          <w:rFonts w:ascii="幼圆" w:eastAsia="幼圆" w:hAnsi="幼圆" w:cs="幼圆" w:hint="eastAsia"/>
        </w:rPr>
        <w:t>2.1 设计原理及整体原理框图</w:t>
      </w:r>
      <w:bookmarkEnd w:id="6"/>
      <w:bookmarkEnd w:id="7"/>
      <w:bookmarkEnd w:id="8"/>
    </w:p>
    <w:p>
      <w:pPr>
        <w:pStyle w:val="a"/>
        <w:rPr>
          <w:rFonts w:ascii="幼圆" w:eastAsia="幼圆" w:hAnsi="幼圆" w:cs="幼圆" w:hint="eastAsia"/>
        </w:rPr>
      </w:pPr>
      <w:r>
        <w:rPr>
          <w:rFonts w:ascii="幼圆" w:eastAsia="幼圆" w:hAnsi="幼圆" w:cs="幼圆" w:hint="eastAsia"/>
        </w:rPr>
        <w:t>人体血氧饱和度</w:t>
      </w:r>
      <w:r>
        <w:rPr>
          <w:rFonts w:ascii="幼圆" w:eastAsia="幼圆" w:hAnsi="幼圆" w:cs="幼圆" w:hint="eastAsia"/>
        </w:rPr>
        <w:t>测量仪主要由</w:t>
      </w:r>
      <w:r>
        <w:rPr>
          <w:rFonts w:ascii="幼圆" w:eastAsia="幼圆" w:hAnsi="幼圆" w:cs="幼圆" w:hint="eastAsia"/>
        </w:rPr>
        <w:t>STM32</w:t>
      </w:r>
      <w:r>
        <w:rPr>
          <w:rFonts w:ascii="幼圆" w:eastAsia="幼圆" w:hAnsi="幼圆" w:cs="幼圆" w:hint="eastAsia"/>
        </w:rPr>
        <w:t>单片机</w:t>
      </w:r>
      <w:r>
        <w:rPr>
          <w:rFonts w:ascii="幼圆" w:eastAsia="幼圆" w:hAnsi="幼圆" w:cs="幼圆" w:hint="eastAsia"/>
        </w:rPr>
        <w:t>主控部分</w:t>
      </w:r>
      <w:r>
        <w:rPr>
          <w:rFonts w:ascii="幼圆" w:eastAsia="幼圆" w:hAnsi="幼圆" w:cs="幼圆" w:hint="eastAsia"/>
        </w:rPr>
        <w:t>、</w:t>
      </w:r>
      <w:r>
        <w:rPr>
          <w:rFonts w:ascii="幼圆" w:eastAsia="幼圆" w:hAnsi="幼圆" w:cs="幼圆" w:hint="eastAsia"/>
        </w:rPr>
        <w:t>血氧饱和度</w:t>
      </w:r>
      <w:r>
        <w:rPr>
          <w:rFonts w:ascii="幼圆" w:eastAsia="幼圆" w:hAnsi="幼圆" w:cs="幼圆" w:hint="eastAsia"/>
        </w:rPr>
        <w:t>测量</w:t>
      </w:r>
      <w:r>
        <w:rPr>
          <w:rFonts w:ascii="幼圆" w:eastAsia="幼圆" w:hAnsi="幼圆" w:cs="幼圆" w:hint="eastAsia"/>
        </w:rPr>
        <w:t>部分</w:t>
      </w:r>
      <w:r>
        <w:rPr>
          <w:rFonts w:ascii="幼圆" w:eastAsia="幼圆" w:hAnsi="幼圆" w:cs="幼圆" w:hint="eastAsia"/>
        </w:rPr>
        <w:t>、</w:t>
      </w:r>
      <w:r>
        <w:rPr>
          <w:rFonts w:ascii="幼圆" w:eastAsia="幼圆" w:hAnsi="幼圆" w:cs="幼圆" w:hint="eastAsia"/>
        </w:rPr>
        <w:t>数据显示部分和超额报警部分</w:t>
      </w:r>
      <w:r>
        <w:rPr>
          <w:rFonts w:ascii="幼圆" w:eastAsia="幼圆" w:hAnsi="幼圆" w:cs="幼圆" w:hint="eastAsia"/>
        </w:rPr>
        <w:t>等</w:t>
      </w:r>
      <w:r>
        <w:rPr>
          <w:rFonts w:ascii="幼圆" w:eastAsia="幼圆" w:hAnsi="幼圆" w:cs="幼圆" w:hint="eastAsia"/>
        </w:rPr>
        <w:t>部分</w:t>
      </w:r>
      <w:r>
        <w:rPr>
          <w:rFonts w:ascii="幼圆" w:eastAsia="幼圆" w:hAnsi="幼圆" w:cs="幼圆" w:hint="eastAsia"/>
        </w:rPr>
        <w:t>组成</w:t>
      </w:r>
      <w:r>
        <w:rPr>
          <w:rFonts w:ascii="幼圆" w:eastAsia="幼圆" w:hAnsi="幼圆" w:cs="幼圆" w:hint="eastAsia"/>
        </w:rPr>
        <w:t>。对反映人体健康状况所必须的数据可以通过该设计的仪器来显示，同时对出现测量数据的超限情况可以及时报警。下图2.1是关于此次设计方案的模块图。</w:t>
      </w:r>
    </w:p>
    <w:p>
      <w:pPr>
        <w:pStyle w:val="a0"/>
        <w:rPr>
          <w:rFonts w:ascii="幼圆" w:eastAsia="幼圆" w:hAnsi="幼圆" w:cs="幼圆" w:hint="eastAsia"/>
        </w:rPr>
      </w:pPr>
      <w:r>
        <w:rPr>
          <w:rFonts w:ascii="幼圆" w:eastAsia="幼圆" w:hAnsi="幼圆" w:cs="幼圆" w:hint="eastAsia"/>
        </w:rPr>
        <w:drawing>
          <wp:inline distT="0" distB="0" distL="0" distR="0">
            <wp:extent cx="5266055" cy="3009265"/>
            <wp:effectExtent l="0" t="0" r="0" b="63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9"/>
                    <a:stretch>
                      <a:fillRect/>
                    </a:stretch>
                  </pic:blipFill>
                  <pic:spPr>
                    <a:xfrm>
                      <a:off x="0" y="0"/>
                      <a:ext cx="5266667" cy="3009524"/>
                    </a:xfrm>
                    <a:prstGeom prst="rect">
                      <a:avLst/>
                    </a:prstGeom>
                  </pic:spPr>
                </pic:pic>
              </a:graphicData>
            </a:graphic>
          </wp:inline>
        </w:drawing>
      </w:r>
      <w:r>
        <w:rPr>
          <w:rStyle w:val="Char0"/>
          <w:rFonts w:ascii="幼圆" w:eastAsia="幼圆" w:hAnsi="幼圆" w:cs="幼圆" w:hint="eastAsia"/>
        </w:rPr>
        <w:t>图2.1 血氧饱和度测量仪的模块组成框图</w:t>
      </w:r>
    </w:p>
    <w:p>
      <w:pPr>
        <w:pStyle w:val="Heading2"/>
        <w:rPr>
          <w:rFonts w:ascii="幼圆" w:eastAsia="幼圆" w:hAnsi="幼圆" w:cs="幼圆" w:hint="eastAsia"/>
        </w:rPr>
      </w:pPr>
      <w:bookmarkStart w:id="9" w:name="_Toc482154619"/>
      <w:bookmarkStart w:id="10" w:name="_Toc327128992"/>
      <w:bookmarkStart w:id="11" w:name="_Toc12812"/>
      <w:bookmarkStart w:id="12" w:name="_Toc478432770"/>
      <w:r>
        <w:rPr>
          <w:rFonts w:ascii="幼圆" w:eastAsia="幼圆" w:hAnsi="幼圆" w:cs="幼圆" w:hint="eastAsia"/>
        </w:rPr>
        <w:t>2.2各部分器件选择原理</w:t>
      </w:r>
      <w:bookmarkEnd w:id="9"/>
      <w:bookmarkEnd w:id="10"/>
      <w:bookmarkEnd w:id="11"/>
      <w:bookmarkEnd w:id="12"/>
    </w:p>
    <w:p>
      <w:pPr>
        <w:pStyle w:val="a"/>
        <w:rPr>
          <w:rFonts w:ascii="幼圆" w:eastAsia="幼圆" w:hAnsi="幼圆" w:cs="幼圆" w:hint="eastAsia"/>
        </w:rPr>
      </w:pPr>
      <w:r>
        <w:rPr>
          <w:rFonts w:ascii="幼圆" w:eastAsia="幼圆" w:hAnsi="幼圆" w:cs="幼圆" w:hint="eastAsia"/>
        </w:rPr>
        <w:t>从上述的设计方案框图可以看出，本次设计方案包括6个主要部分，分别是单片机、血氧饱和度测量部分、显示部分以及超额报警部分。</w:t>
      </w:r>
    </w:p>
    <w:p>
      <w:pPr>
        <w:pStyle w:val="Heading3"/>
        <w:rPr>
          <w:rFonts w:ascii="幼圆" w:eastAsia="幼圆" w:hAnsi="幼圆" w:cs="幼圆" w:hint="eastAsia"/>
        </w:rPr>
      </w:pPr>
      <w:bookmarkStart w:id="13" w:name="_Toc327128993"/>
      <w:bookmarkStart w:id="14" w:name="_Toc1206"/>
      <w:bookmarkStart w:id="15" w:name="_Toc478432771"/>
      <w:bookmarkStart w:id="16" w:name="_Toc482154620"/>
      <w:r>
        <w:rPr>
          <w:rFonts w:ascii="幼圆" w:eastAsia="幼圆" w:hAnsi="幼圆" w:cs="幼圆" w:hint="eastAsia"/>
        </w:rPr>
        <w:t>2.2.1单片机</w:t>
      </w:r>
      <w:bookmarkEnd w:id="13"/>
      <w:bookmarkEnd w:id="14"/>
      <w:bookmarkEnd w:id="15"/>
      <w:r>
        <w:rPr>
          <w:rFonts w:ascii="幼圆" w:eastAsia="幼圆" w:hAnsi="幼圆" w:cs="幼圆" w:hint="eastAsia"/>
        </w:rPr>
        <w:t>控制模块</w:t>
      </w:r>
      <w:bookmarkEnd w:id="16"/>
    </w:p>
    <w:p>
      <w:pPr>
        <w:pStyle w:val="a"/>
        <w:rPr>
          <w:rFonts w:ascii="幼圆" w:eastAsia="幼圆" w:hAnsi="幼圆" w:cs="幼圆" w:hint="eastAsia"/>
        </w:rPr>
        <w:sectPr>
          <w:footerReference w:type="default" r:id="rId10"/>
          <w:type w:val="nextPage"/>
          <w:pgSz w:w="11906" w:h="16838"/>
          <w:pgMar w:top="1440" w:right="1800" w:bottom="1440" w:left="1800" w:header="851" w:footer="992" w:gutter="0"/>
          <w:pgNumType w:start="4"/>
          <w:cols w:num="1" w:space="425"/>
          <w:titlePg w:val="0"/>
          <w:docGrid w:type="lines" w:linePitch="312" w:charSpace="0"/>
        </w:sectPr>
      </w:pPr>
      <w:bookmarkStart w:id="17" w:name="_Toc30923"/>
      <w:bookmarkStart w:id="18" w:name="_Toc327128994"/>
      <w:bookmarkStart w:id="19" w:name="_Toc233170147"/>
    </w:p>
    <w:p>
      <w:pPr>
        <w:pStyle w:val="a"/>
        <w:rPr>
          <w:rFonts w:ascii="幼圆" w:eastAsia="幼圆" w:hAnsi="幼圆" w:cs="幼圆" w:hint="eastAsia"/>
        </w:rPr>
      </w:pPr>
      <w:r>
        <w:rPr>
          <w:rFonts w:ascii="幼圆" w:eastAsia="幼圆" w:hAnsi="幼圆" w:cs="幼圆" w:hint="eastAsia"/>
        </w:rPr>
        <w:t>本设计单片机模块选用STM32。STM32是TI公司主打的一款超低功耗的16位单片机。根据所检测到的每路光脉冲周期及其波动量计算出相应的直流分量和交流分量，从而按通常的脉搏血氧仪求得容积脉搏波数据，脉搏血氧饱和度及心率值。</w:t>
      </w:r>
    </w:p>
    <w:bookmarkEnd w:id="17"/>
    <w:bookmarkEnd w:id="18"/>
    <w:bookmarkEnd w:id="19"/>
    <w:p>
      <w:pPr>
        <w:pStyle w:val="Heading3"/>
        <w:rPr>
          <w:rFonts w:ascii="幼圆" w:eastAsia="幼圆" w:hAnsi="幼圆" w:cs="幼圆" w:hint="eastAsia"/>
        </w:rPr>
      </w:pPr>
      <w:bookmarkStart w:id="20" w:name="_Toc20478"/>
      <w:bookmarkStart w:id="21" w:name="_Toc478432774"/>
      <w:bookmarkStart w:id="22" w:name="_Toc482154621"/>
      <w:r>
        <w:rPr>
          <w:rFonts w:ascii="幼圆" w:eastAsia="幼圆" w:hAnsi="幼圆" w:cs="幼圆" w:hint="eastAsia"/>
        </w:rPr>
        <w:t>2.2.2血氧饱和度测量模块</w:t>
      </w:r>
      <w:bookmarkEnd w:id="20"/>
      <w:bookmarkEnd w:id="21"/>
      <w:bookmarkEnd w:id="22"/>
    </w:p>
    <w:p>
      <w:pPr>
        <w:pStyle w:val="a"/>
        <w:rPr>
          <w:rFonts w:ascii="幼圆" w:eastAsia="幼圆" w:hAnsi="幼圆" w:cs="幼圆" w:hint="eastAsia"/>
        </w:rPr>
      </w:pPr>
      <w:r>
        <w:rPr>
          <w:rFonts w:ascii="幼圆" w:eastAsia="幼圆" w:hAnsi="幼圆" w:cs="幼圆" w:hint="eastAsia"/>
        </w:rPr>
        <w:t>本系统设计利用指套式的光电传感器，实现了光电隔离，最大限度地减少了对后续相关电路的干扰。</w:t>
      </w:r>
      <w:r>
        <w:rPr>
          <w:rFonts w:ascii="幼圆" w:eastAsia="幼圆" w:hAnsi="幼圆" w:cs="幼圆" w:hint="eastAsia"/>
        </w:rPr>
        <w:t>有关血氧饱和度测量模块的流程原理可参照下图2.2，信号采集过后还需放大和整形，所以外接辅助电路自然包括这三个电路。用到放大电路来将信号放大，但因为采集信号过程中可能存在干扰，接下来就需要调整这个电信号波形的电路，经过这两个电路的处理结果出来的将是一个接近完整的方波信号，然后将该信号送入单片机中进行相关处理，最后将处理的结果显示在显示屏上面。</w:t>
      </w:r>
    </w:p>
    <w:p>
      <w:pPr>
        <w:spacing w:line="300" w:lineRule="auto"/>
        <w:ind w:firstLine="420" w:firstLineChars="200"/>
        <w:rPr>
          <w:rFonts w:ascii="幼圆" w:eastAsia="幼圆" w:hAnsi="幼圆" w:cs="幼圆" w:hint="eastAsia"/>
          <w:szCs w:val="21"/>
        </w:rPr>
      </w:pPr>
      <w:r>
        <w:rPr>
          <w:rFonts w:ascii="幼圆" w:eastAsia="幼圆" w:hAnsi="幼圆" w:cs="幼圆" w:hint="eastAsia"/>
        </w:rPr>
        <w:drawing>
          <wp:inline distT="0" distB="0" distL="0" distR="0">
            <wp:extent cx="4933950" cy="1000125"/>
            <wp:effectExtent l="0" t="0" r="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4933950" cy="1000125"/>
                    </a:xfrm>
                    <a:prstGeom prst="rect">
                      <a:avLst/>
                    </a:prstGeom>
                    <a:noFill/>
                    <a:ln>
                      <a:noFill/>
                    </a:ln>
                  </pic:spPr>
                </pic:pic>
              </a:graphicData>
            </a:graphic>
          </wp:inline>
        </w:drawing>
      </w:r>
    </w:p>
    <w:p>
      <w:pPr>
        <w:pStyle w:val="a0"/>
        <w:rPr>
          <w:rFonts w:ascii="幼圆" w:eastAsia="幼圆" w:hAnsi="幼圆" w:cs="幼圆" w:hint="eastAsia"/>
        </w:rPr>
      </w:pPr>
      <w:r>
        <w:rPr>
          <w:rFonts w:ascii="幼圆" w:eastAsia="幼圆" w:hAnsi="幼圆" w:cs="幼圆" w:hint="eastAsia"/>
        </w:rPr>
        <w:t>图2.2 血氧饱和度模块信号采集原理流程图</w:t>
      </w:r>
    </w:p>
    <w:p>
      <w:pPr>
        <w:pStyle w:val="Heading3"/>
        <w:rPr>
          <w:rFonts w:ascii="幼圆" w:eastAsia="幼圆" w:hAnsi="幼圆" w:cs="幼圆" w:hint="eastAsia"/>
        </w:rPr>
      </w:pPr>
      <w:bookmarkStart w:id="23" w:name="_Toc327128996"/>
      <w:bookmarkStart w:id="24" w:name="_Toc478432775"/>
      <w:bookmarkStart w:id="25" w:name="_Toc482154622"/>
      <w:bookmarkStart w:id="26" w:name="_Toc22769"/>
      <w:r>
        <w:rPr>
          <w:rFonts w:ascii="幼圆" w:eastAsia="幼圆" w:hAnsi="幼圆" w:cs="幼圆" w:hint="eastAsia"/>
        </w:rPr>
        <w:t>2.2.3测量数值的显示</w:t>
      </w:r>
      <w:bookmarkEnd w:id="23"/>
      <w:r>
        <w:rPr>
          <w:rFonts w:ascii="幼圆" w:eastAsia="幼圆" w:hAnsi="幼圆" w:cs="幼圆" w:hint="eastAsia"/>
        </w:rPr>
        <w:t>部分</w:t>
      </w:r>
      <w:bookmarkEnd w:id="24"/>
      <w:bookmarkEnd w:id="25"/>
      <w:bookmarkEnd w:id="26"/>
    </w:p>
    <w:p>
      <w:pPr>
        <w:pStyle w:val="a"/>
        <w:rPr>
          <w:rFonts w:ascii="幼圆" w:eastAsia="幼圆" w:hAnsi="幼圆" w:cs="幼圆" w:hint="eastAsia"/>
          <w:color w:val="FF0000"/>
        </w:rPr>
      </w:pPr>
      <w:r>
        <w:rPr>
          <w:rFonts w:ascii="幼圆" w:eastAsia="幼圆" w:hAnsi="幼圆" w:cs="幼圆" w:hint="eastAsia"/>
        </w:rPr>
        <w:t>本次设计的脉搏血氧仪的一大期望功能就是尽量清晰的将测量的三组数据同时显示在一个屏幕上。根据设计需求的同时显示多组数据的效果，所以最终选择液晶显示屏。考虑到所要显示的三组数据，选择LCD1602液晶显示屏，</w:t>
      </w:r>
      <w:r>
        <w:rPr>
          <w:rFonts w:ascii="幼圆" w:eastAsia="幼圆" w:hAnsi="幼圆" w:cs="幼圆" w:hint="eastAsia"/>
        </w:rPr>
        <w:t>有利于更加方便的区分显示的内容，对有效的传递信息具有重要的意义。</w:t>
      </w:r>
    </w:p>
    <w:p>
      <w:pPr>
        <w:pStyle w:val="Heading3"/>
        <w:rPr>
          <w:rFonts w:ascii="幼圆" w:eastAsia="幼圆" w:hAnsi="幼圆" w:cs="幼圆" w:hint="eastAsia"/>
        </w:rPr>
      </w:pPr>
      <w:bookmarkStart w:id="27" w:name="_Toc327128997"/>
      <w:bookmarkStart w:id="28" w:name="_Toc15520"/>
      <w:bookmarkStart w:id="29" w:name="_Toc482154623"/>
      <w:bookmarkStart w:id="30" w:name="_Toc478432776"/>
      <w:r>
        <w:rPr>
          <w:rFonts w:ascii="幼圆" w:eastAsia="幼圆" w:hAnsi="幼圆" w:cs="幼圆" w:hint="eastAsia"/>
        </w:rPr>
        <w:t>2.2.4测量数据超限报警</w:t>
      </w:r>
      <w:bookmarkEnd w:id="27"/>
      <w:r>
        <w:rPr>
          <w:rFonts w:ascii="幼圆" w:eastAsia="幼圆" w:hAnsi="幼圆" w:cs="幼圆" w:hint="eastAsia"/>
        </w:rPr>
        <w:t>部分</w:t>
      </w:r>
      <w:bookmarkEnd w:id="28"/>
      <w:bookmarkEnd w:id="29"/>
      <w:bookmarkEnd w:id="30"/>
    </w:p>
    <w:p>
      <w:pPr>
        <w:pStyle w:val="a"/>
        <w:rPr>
          <w:rFonts w:ascii="幼圆" w:eastAsia="幼圆" w:hAnsi="幼圆" w:cs="幼圆" w:hint="eastAsia"/>
        </w:rPr>
      </w:pPr>
      <w:r>
        <w:rPr>
          <w:rFonts w:ascii="幼圆" w:eastAsia="幼圆" w:hAnsi="幼圆" w:cs="幼圆" w:hint="eastAsia"/>
        </w:rPr>
        <w:t>本次设计的测量仪将采用蜂鸣器作为报警装置。蜂鸣器是一个常见的搭配单片机的报警装置，通过单片机编程控制，来在出现超限的测量数据时发出警报提醒测量者。所以一旦测量的血氧饱和度值中数据异常时，蜂鸣器就会发出报警声响，从而来提醒人们身体出现异常了。</w:t>
      </w:r>
    </w:p>
    <w:p>
      <w:pPr>
        <w:pStyle w:val="Heading3"/>
        <w:rPr>
          <w:rFonts w:ascii="幼圆" w:eastAsia="幼圆" w:hAnsi="幼圆" w:cs="幼圆" w:hint="eastAsia"/>
        </w:rPr>
      </w:pPr>
      <w:bookmarkStart w:id="31" w:name="_Toc482154624"/>
      <w:r>
        <w:rPr>
          <w:rFonts w:ascii="幼圆" w:eastAsia="幼圆" w:hAnsi="幼圆" w:cs="幼圆" w:hint="eastAsia"/>
        </w:rPr>
        <w:t>2.2.5光感探测模块</w:t>
      </w:r>
      <w:bookmarkEnd w:id="31"/>
    </w:p>
    <w:p>
      <w:pPr>
        <w:pStyle w:val="a"/>
        <w:rPr>
          <w:rFonts w:ascii="幼圆" w:eastAsia="幼圆" w:hAnsi="幼圆" w:cs="幼圆" w:hint="eastAsia"/>
        </w:rPr>
        <w:sectPr>
          <w:footerReference w:type="default" r:id="rId12"/>
          <w:type w:val="nextPage"/>
          <w:pgSz w:w="11906" w:h="16838"/>
          <w:pgMar w:top="1440" w:right="1800" w:bottom="1440" w:left="1800" w:header="851" w:footer="992" w:gutter="0"/>
          <w:pgNumType w:start="5"/>
          <w:cols w:num="1" w:space="425"/>
          <w:titlePg w:val="0"/>
          <w:docGrid w:type="lines" w:linePitch="312" w:charSpace="0"/>
        </w:sectPr>
      </w:pPr>
    </w:p>
    <w:p>
      <w:pPr>
        <w:pStyle w:val="a"/>
        <w:rPr>
          <w:rFonts w:ascii="幼圆" w:eastAsia="幼圆" w:hAnsi="幼圆" w:cs="幼圆" w:hint="eastAsia"/>
        </w:rPr>
      </w:pPr>
      <w:r>
        <w:rPr>
          <w:rFonts w:ascii="幼圆" w:eastAsia="幼圆" w:hAnsi="幼圆" w:cs="幼圆" w:hint="eastAsia"/>
        </w:rPr>
        <w:t>在对经过组织的透射光做光电转换后，提高了系统的检测范围，单片机控制发光管工作状态以产生红外光、红光双光束脉冲调制信号，另外完成光增益自动调节功能，光增益自动调节的目的是为了满足不同患者脉搏强弱、皮肤厚薄、皮肤光洁度以及皮肤颜色等存在巨大差异的要求。</w:t>
      </w:r>
    </w:p>
    <w:p>
      <w:pPr>
        <w:pStyle w:val="Heading1"/>
        <w:rPr>
          <w:rFonts w:ascii="幼圆" w:eastAsia="幼圆" w:hAnsi="幼圆" w:cs="幼圆" w:hint="eastAsia"/>
        </w:rPr>
      </w:pPr>
      <w:bookmarkStart w:id="32" w:name="_Toc478432777"/>
      <w:bookmarkStart w:id="33" w:name="_Toc482154625"/>
      <w:r>
        <w:rPr>
          <w:rFonts w:ascii="幼圆" w:eastAsia="幼圆" w:hAnsi="幼圆" w:cs="幼圆" w:hint="eastAsia"/>
        </w:rPr>
        <w:t>3、脉搏血氧仪硬件系统设计</w:t>
      </w:r>
      <w:bookmarkEnd w:id="32"/>
      <w:bookmarkEnd w:id="33"/>
    </w:p>
    <w:p>
      <w:pPr>
        <w:pStyle w:val="Heading2"/>
        <w:rPr>
          <w:rFonts w:ascii="幼圆" w:eastAsia="幼圆" w:hAnsi="幼圆" w:cs="幼圆" w:hint="eastAsia"/>
        </w:rPr>
      </w:pPr>
      <w:bookmarkStart w:id="34" w:name="_Toc482154626"/>
      <w:r>
        <w:rPr>
          <w:rFonts w:ascii="幼圆" w:eastAsia="幼圆" w:hAnsi="幼圆" w:cs="幼圆" w:hint="eastAsia"/>
        </w:rPr>
        <w:t>3.1最小系统设计</w:t>
      </w:r>
      <w:bookmarkEnd w:id="34"/>
    </w:p>
    <w:p>
      <w:pPr>
        <w:pStyle w:val="Heading3"/>
        <w:rPr>
          <w:rFonts w:ascii="幼圆" w:eastAsia="幼圆" w:hAnsi="幼圆" w:cs="幼圆" w:hint="eastAsia"/>
        </w:rPr>
      </w:pPr>
      <w:bookmarkStart w:id="35" w:name="_Toc482154627"/>
      <w:r>
        <w:rPr>
          <w:rFonts w:ascii="幼圆" w:eastAsia="幼圆" w:hAnsi="幼圆" w:cs="幼圆" w:hint="eastAsia"/>
        </w:rPr>
        <w:t>3.1.1单片机的选用</w:t>
      </w:r>
      <w:bookmarkEnd w:id="35"/>
    </w:p>
    <w:p>
      <w:pPr>
        <w:pStyle w:val="a"/>
        <w:rPr>
          <w:rFonts w:ascii="幼圆" w:eastAsia="幼圆" w:hAnsi="幼圆" w:cs="幼圆" w:hint="eastAsia"/>
        </w:rPr>
      </w:pPr>
      <w:r>
        <w:rPr>
          <w:rFonts w:ascii="幼圆" w:eastAsia="幼圆" w:hAnsi="幼圆" w:cs="幼圆" w:hint="eastAsia"/>
        </w:rPr>
        <w:t>STM32系列是为要求高性能、低成本、低功耗的嵌入式应用专门设计的ARM Cortex-M3内核。</w:t>
      </w:r>
    </w:p>
    <w:p>
      <w:pPr>
        <w:pStyle w:val="a0"/>
        <w:rPr>
          <w:rFonts w:ascii="幼圆" w:eastAsia="幼圆" w:hAnsi="幼圆" w:cs="幼圆" w:hint="eastAsia"/>
          <w:sz w:val="18"/>
          <w:szCs w:val="18"/>
        </w:rPr>
      </w:pPr>
      <w:r>
        <w:rPr>
          <w:rFonts w:ascii="幼圆" w:eastAsia="幼圆" w:hAnsi="幼圆" w:cs="幼圆" w:hint="eastAsia"/>
        </w:rPr>
        <w:drawing>
          <wp:inline distT="0" distB="0" distL="0" distR="0">
            <wp:extent cx="3799840" cy="389509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3"/>
                    <a:stretch>
                      <a:fillRect/>
                    </a:stretch>
                  </pic:blipFill>
                  <pic:spPr>
                    <a:xfrm>
                      <a:off x="0" y="0"/>
                      <a:ext cx="3800000" cy="3895238"/>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图3.1  STM32开发板</w:t>
      </w:r>
    </w:p>
    <w:p>
      <w:pPr>
        <w:pStyle w:val="a"/>
        <w:rPr>
          <w:rFonts w:ascii="幼圆" w:eastAsia="幼圆" w:hAnsi="幼圆" w:cs="幼圆" w:hint="eastAsia"/>
        </w:rPr>
      </w:pPr>
      <w:r>
        <w:rPr>
          <w:rFonts w:ascii="幼圆" w:eastAsia="幼圆" w:hAnsi="幼圆" w:cs="幼圆" w:hint="eastAsia"/>
        </w:rPr>
        <w:t>在引脚功能和应用软件上是兼容的。这就使得开发人员在使用STM32系列微控制器时，不必改动PCB就可以根据需要随意更换器件型号。在中断的压栈阶段，更高优先级的中断可以不耗费任何额外的CPU周期就能完成嵌入低优先级中断的动作。STM32的每一个定时器都具备4个捕获比较单元，而且每个定时器都可以和另外的定时器联合工作以生成更为精密的时序。</w:t>
      </w:r>
    </w:p>
    <w:p>
      <w:pPr>
        <w:pStyle w:val="Heading3"/>
        <w:rPr>
          <w:rFonts w:ascii="幼圆" w:eastAsia="幼圆" w:hAnsi="幼圆" w:cs="幼圆" w:hint="eastAsia"/>
        </w:rPr>
        <w:sectPr>
          <w:footerReference w:type="default" r:id="rId14"/>
          <w:type w:val="nextPage"/>
          <w:pgSz w:w="11906" w:h="16838"/>
          <w:pgMar w:top="1440" w:right="1800" w:bottom="1440" w:left="1800" w:header="851" w:footer="992" w:gutter="0"/>
          <w:pgNumType w:start="6"/>
          <w:cols w:num="1" w:space="425"/>
          <w:titlePg w:val="0"/>
          <w:docGrid w:type="lines" w:linePitch="312" w:charSpace="0"/>
        </w:sectPr>
      </w:pPr>
      <w:bookmarkStart w:id="36" w:name="_Toc482154628"/>
      <w:r>
        <w:rPr>
          <w:rFonts w:ascii="幼圆" w:eastAsia="幼圆" w:hAnsi="幼圆" w:cs="幼圆" w:hint="eastAsia"/>
        </w:rPr>
        <w:t>3.1.2振荡电路</w:t>
      </w:r>
      <w:bookmarkEnd w:id="36"/>
    </w:p>
    <w:p>
      <w:pPr>
        <w:pStyle w:val="a"/>
        <w:rPr>
          <w:rFonts w:ascii="幼圆" w:eastAsia="幼圆" w:hAnsi="幼圆" w:cs="幼圆" w:hint="eastAsia"/>
        </w:rPr>
      </w:pPr>
      <w:r>
        <w:rPr>
          <w:rFonts w:ascii="幼圆" w:eastAsia="幼圆" w:hAnsi="幼圆" w:cs="幼圆" w:hint="eastAsia"/>
        </w:rPr>
        <w:t>晶振</w:t>
      </w:r>
      <w:r>
        <w:rPr>
          <w:rFonts w:ascii="幼圆" w:eastAsia="幼圆" w:hAnsi="幼圆" w:cs="幼圆" w:hint="eastAsia"/>
        </w:rPr>
        <w:t>为</w:t>
      </w:r>
      <w:r>
        <w:rPr>
          <w:rFonts w:ascii="幼圆" w:eastAsia="幼圆" w:hAnsi="幼圆" w:cs="幼圆" w:hint="eastAsia"/>
        </w:rPr>
        <w:t>16MHz</w:t>
      </w:r>
      <w:r>
        <w:rPr>
          <w:rFonts w:ascii="幼圆" w:eastAsia="幼圆" w:hAnsi="幼圆" w:cs="幼圆" w:hint="eastAsia"/>
        </w:rPr>
        <w:t>（频率可设置，可满足不同外部设备的驱动）</w:t>
      </w:r>
      <w:r>
        <w:rPr>
          <w:rFonts w:ascii="幼圆" w:eastAsia="幼圆" w:hAnsi="幼圆" w:cs="幼圆" w:hint="eastAsia"/>
        </w:rPr>
        <w:t>。8MHz RC电路。40 kHz的RC振荡电路</w:t>
      </w:r>
      <w:r>
        <w:rPr>
          <w:rFonts w:ascii="幼圆" w:eastAsia="幼圆" w:hAnsi="幼圆" w:cs="幼圆" w:hint="eastAsia"/>
        </w:rPr>
        <w:t>（可外接振荡电路，也可利用自身具有的振荡电路）</w:t>
      </w:r>
      <w:r>
        <w:rPr>
          <w:rFonts w:ascii="幼圆" w:eastAsia="幼圆" w:hAnsi="幼圆" w:cs="幼圆" w:hint="eastAsia"/>
        </w:rPr>
        <w:t>。CPU时钟</w:t>
      </w:r>
      <w:r>
        <w:rPr>
          <w:rFonts w:ascii="幼圆" w:eastAsia="幼圆" w:hAnsi="幼圆" w:cs="幼圆" w:hint="eastAsia"/>
        </w:rPr>
        <w:t>具有</w:t>
      </w:r>
      <w:r>
        <w:rPr>
          <w:rFonts w:ascii="幼圆" w:eastAsia="幼圆" w:hAnsi="幼圆" w:cs="幼圆" w:hint="eastAsia"/>
        </w:rPr>
        <w:t>校准</w:t>
      </w:r>
      <w:r>
        <w:rPr>
          <w:rFonts w:ascii="幼圆" w:eastAsia="幼圆" w:hAnsi="幼圆" w:cs="幼圆" w:hint="eastAsia"/>
        </w:rPr>
        <w:t>功能，由</w:t>
      </w:r>
      <w:r>
        <w:rPr>
          <w:rFonts w:ascii="幼圆" w:eastAsia="幼圆" w:hAnsi="幼圆" w:cs="幼圆" w:hint="eastAsia"/>
        </w:rPr>
        <w:t>的32kHz的晶振</w:t>
      </w:r>
      <w:r>
        <w:rPr>
          <w:rFonts w:ascii="幼圆" w:eastAsia="幼圆" w:hAnsi="幼圆" w:cs="幼圆" w:hint="eastAsia"/>
        </w:rPr>
        <w:t>单独完成</w:t>
      </w:r>
      <w:r>
        <w:rPr>
          <w:rFonts w:ascii="幼圆" w:eastAsia="幼圆" w:hAnsi="幼圆" w:cs="幼圆" w:hint="eastAsia"/>
        </w:rPr>
        <w:t>。</w:t>
      </w:r>
    </w:p>
    <w:p>
      <w:pPr>
        <w:pStyle w:val="a0"/>
        <w:rPr>
          <w:rFonts w:ascii="幼圆" w:eastAsia="幼圆" w:hAnsi="幼圆" w:cs="幼圆" w:hint="eastAsia"/>
        </w:rPr>
      </w:pPr>
      <w:bookmarkStart w:id="37" w:name="_Toc2522"/>
      <w:bookmarkStart w:id="38" w:name="_Toc4576"/>
      <w:r>
        <w:rPr>
          <w:rFonts w:ascii="幼圆" w:eastAsia="幼圆" w:hAnsi="幼圆" w:cs="幼圆" w:hint="eastAsia"/>
        </w:rPr>
        <w:drawing>
          <wp:inline distT="0" distB="0" distL="0" distR="0">
            <wp:extent cx="3253105" cy="2301875"/>
            <wp:effectExtent l="0" t="0" r="4445" b="3175"/>
            <wp:docPr id="1" name="图片 1" descr="振荡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振荡电路"/>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3257007" cy="2304415"/>
                    </a:xfrm>
                    <a:prstGeom prst="rect">
                      <a:avLst/>
                    </a:prstGeom>
                    <a:noFill/>
                    <a:ln>
                      <a:noFill/>
                    </a:ln>
                  </pic:spPr>
                </pic:pic>
              </a:graphicData>
            </a:graphic>
          </wp:inline>
        </w:drawing>
      </w:r>
      <w:bookmarkEnd w:id="37"/>
      <w:bookmarkEnd w:id="38"/>
      <w:bookmarkStart w:id="39" w:name="_Toc8010"/>
    </w:p>
    <w:p>
      <w:pPr>
        <w:pStyle w:val="a0"/>
        <w:rPr>
          <w:rFonts w:ascii="幼圆" w:eastAsia="幼圆" w:hAnsi="幼圆" w:cs="幼圆" w:hint="eastAsia"/>
        </w:rPr>
      </w:pPr>
      <w:bookmarkStart w:id="40" w:name="_Toc23549"/>
      <w:bookmarkStart w:id="41" w:name="_Toc31658"/>
      <w:bookmarkStart w:id="42" w:name="_Toc454180616"/>
      <w:bookmarkStart w:id="43" w:name="_Toc453942292"/>
      <w:bookmarkStart w:id="44" w:name="_Toc453942552"/>
      <w:r>
        <w:rPr>
          <w:rFonts w:ascii="幼圆" w:eastAsia="幼圆" w:hAnsi="幼圆" w:cs="幼圆" w:hint="eastAsia"/>
        </w:rPr>
        <w:t>图3.2 振荡电路</w:t>
      </w:r>
      <w:bookmarkEnd w:id="39"/>
      <w:bookmarkEnd w:id="40"/>
      <w:bookmarkEnd w:id="41"/>
      <w:bookmarkEnd w:id="42"/>
      <w:bookmarkEnd w:id="43"/>
      <w:bookmarkEnd w:id="44"/>
    </w:p>
    <w:p>
      <w:pPr>
        <w:pStyle w:val="Heading3"/>
        <w:rPr>
          <w:rFonts w:ascii="幼圆" w:eastAsia="幼圆" w:hAnsi="幼圆" w:cs="幼圆" w:hint="eastAsia"/>
        </w:rPr>
      </w:pPr>
      <w:bookmarkStart w:id="45" w:name="_Toc482154629"/>
      <w:r>
        <w:rPr>
          <w:rFonts w:ascii="幼圆" w:eastAsia="幼圆" w:hAnsi="幼圆" w:cs="幼圆" w:hint="eastAsia"/>
        </w:rPr>
        <w:t>3.1.3复位电路</w:t>
      </w:r>
      <w:bookmarkEnd w:id="45"/>
    </w:p>
    <w:p>
      <w:pPr>
        <w:pStyle w:val="a0"/>
        <w:rPr>
          <w:rFonts w:ascii="幼圆" w:eastAsia="幼圆" w:hAnsi="幼圆" w:cs="幼圆" w:hint="eastAsia"/>
        </w:rPr>
      </w:pPr>
      <w:bookmarkStart w:id="46" w:name="_Toc28485"/>
      <w:bookmarkStart w:id="47" w:name="_Toc32318"/>
      <w:r>
        <w:rPr>
          <w:rFonts w:ascii="幼圆" w:eastAsia="幼圆" w:hAnsi="幼圆" w:cs="幼圆" w:hint="eastAsia"/>
        </w:rPr>
        <w:drawing>
          <wp:inline distT="0" distB="0" distL="0" distR="0">
            <wp:extent cx="3333750" cy="2286000"/>
            <wp:effectExtent l="0" t="0" r="0" b="0"/>
            <wp:docPr id="37" name="图片 37" descr="复位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复位电路"/>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3339628" cy="2289810"/>
                    </a:xfrm>
                    <a:prstGeom prst="rect">
                      <a:avLst/>
                    </a:prstGeom>
                    <a:noFill/>
                    <a:ln>
                      <a:noFill/>
                    </a:ln>
                  </pic:spPr>
                </pic:pic>
              </a:graphicData>
            </a:graphic>
          </wp:inline>
        </w:drawing>
      </w:r>
      <w:bookmarkEnd w:id="46"/>
      <w:bookmarkEnd w:id="47"/>
      <w:bookmarkStart w:id="48" w:name="_Toc454180618"/>
      <w:bookmarkStart w:id="49" w:name="_Toc2893"/>
      <w:bookmarkStart w:id="50" w:name="_Toc11619"/>
      <w:bookmarkStart w:id="51" w:name="_Toc453942554"/>
      <w:bookmarkStart w:id="52" w:name="_Toc4650"/>
      <w:bookmarkStart w:id="53" w:name="_Toc453942294"/>
    </w:p>
    <w:p>
      <w:pPr>
        <w:pStyle w:val="a0"/>
        <w:rPr>
          <w:rFonts w:ascii="幼圆" w:eastAsia="幼圆" w:hAnsi="幼圆" w:cs="幼圆" w:hint="eastAsia"/>
        </w:rPr>
      </w:pPr>
      <w:r>
        <w:rPr>
          <w:rFonts w:ascii="幼圆" w:eastAsia="幼圆" w:hAnsi="幼圆" w:cs="幼圆" w:hint="eastAsia"/>
        </w:rPr>
        <w:t>图3.3 复位电路</w:t>
      </w:r>
      <w:bookmarkEnd w:id="48"/>
      <w:bookmarkEnd w:id="49"/>
      <w:bookmarkEnd w:id="50"/>
      <w:bookmarkEnd w:id="51"/>
      <w:bookmarkEnd w:id="52"/>
      <w:bookmarkEnd w:id="53"/>
    </w:p>
    <w:p>
      <w:pPr>
        <w:pStyle w:val="a"/>
        <w:rPr>
          <w:rFonts w:ascii="幼圆" w:eastAsia="幼圆" w:hAnsi="幼圆" w:cs="幼圆" w:hint="eastAsia"/>
        </w:rPr>
      </w:pPr>
      <w:bookmarkStart w:id="54" w:name="_Toc30115"/>
      <w:bookmarkStart w:id="55" w:name="_Toc21612"/>
      <w:bookmarkStart w:id="56" w:name="_Toc453942555"/>
      <w:bookmarkStart w:id="57" w:name="_Toc21302"/>
      <w:bookmarkStart w:id="58" w:name="_Toc453942295"/>
      <w:bookmarkStart w:id="59" w:name="_Toc454180619"/>
      <w:r>
        <w:rPr>
          <w:rFonts w:ascii="幼圆" w:eastAsia="幼圆" w:hAnsi="幼圆" w:cs="幼圆" w:hint="eastAsia"/>
        </w:rPr>
        <w:t>Stm32是低电平复位并且每次上电是会复位一次，所以系统上电之后默认情况下其RST脚应该为高电平。其电路如图3.3所示。R1位上拉电阻，REST为单片机复位引脚，当按键K1按下RST引脚输出低电平，此时系统复位；当复位按键K1没按下时，由于RST直接接在上拉电阻上，默认为高电平，所以系统正常工作。</w:t>
      </w:r>
      <w:bookmarkEnd w:id="54"/>
      <w:bookmarkEnd w:id="55"/>
      <w:bookmarkEnd w:id="56"/>
      <w:bookmarkEnd w:id="57"/>
      <w:bookmarkEnd w:id="58"/>
      <w:bookmarkEnd w:id="59"/>
    </w:p>
    <w:p>
      <w:pPr>
        <w:pStyle w:val="Heading3"/>
        <w:rPr>
          <w:rFonts w:ascii="幼圆" w:eastAsia="幼圆" w:hAnsi="幼圆" w:cs="幼圆" w:hint="eastAsia"/>
        </w:rPr>
      </w:pPr>
      <w:bookmarkStart w:id="60" w:name="_Toc482154630"/>
      <w:r>
        <w:rPr>
          <w:rFonts w:ascii="幼圆" w:eastAsia="幼圆" w:hAnsi="幼圆" w:cs="幼圆" w:hint="eastAsia"/>
        </w:rPr>
        <w:t>3.1.4时钟</w:t>
      </w:r>
      <w:bookmarkEnd w:id="60"/>
    </w:p>
    <w:p>
      <w:pPr>
        <w:pStyle w:val="a"/>
        <w:rPr>
          <w:rFonts w:ascii="幼圆" w:eastAsia="幼圆" w:hAnsi="幼圆" w:cs="幼圆" w:hint="eastAsia"/>
        </w:rPr>
        <w:sectPr>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幼圆" w:eastAsia="幼圆" w:hAnsi="幼圆" w:cs="幼圆" w:hint="eastAsia"/>
        </w:rPr>
        <w:t>系统的时钟在系统在工作前，先需要时钟的设定</w:t>
      </w:r>
      <w:r>
        <w:rPr>
          <w:rFonts w:ascii="幼圆" w:eastAsia="幼圆" w:hAnsi="幼圆" w:cs="幼圆" w:hint="eastAsia"/>
        </w:rPr>
        <w:t>，</w:t>
      </w:r>
      <w:r>
        <w:rPr>
          <w:rFonts w:ascii="幼圆" w:eastAsia="幼圆" w:hAnsi="幼圆" w:cs="幼圆" w:hint="eastAsia"/>
        </w:rPr>
        <w:t>一种是利用</w:t>
      </w:r>
    </w:p>
    <w:p>
      <w:pPr>
        <w:pStyle w:val="a"/>
        <w:rPr>
          <w:rFonts w:ascii="幼圆" w:eastAsia="幼圆" w:hAnsi="幼圆" w:cs="幼圆" w:hint="eastAsia"/>
        </w:rPr>
      </w:pPr>
      <w:r>
        <w:rPr>
          <w:rFonts w:ascii="幼圆" w:eastAsia="幼圆" w:hAnsi="幼圆" w:cs="幼圆" w:hint="eastAsia"/>
        </w:rPr>
        <w:t>内部8MHz的晶振作</w:t>
      </w:r>
      <w:r>
        <w:rPr>
          <w:rFonts w:ascii="幼圆" w:eastAsia="幼圆" w:hAnsi="幼圆" w:cs="幼圆" w:hint="eastAsia"/>
        </w:rPr>
        <w:t>为</w:t>
      </w:r>
      <w:r>
        <w:rPr>
          <w:rFonts w:ascii="幼圆" w:eastAsia="幼圆" w:hAnsi="幼圆" w:cs="幼圆" w:hint="eastAsia"/>
        </w:rPr>
        <w:t>CPU时钟</w:t>
      </w:r>
      <w:r>
        <w:rPr>
          <w:rFonts w:ascii="幼圆" w:eastAsia="幼圆" w:hAnsi="幼圆" w:cs="幼圆" w:hint="eastAsia"/>
        </w:rPr>
        <w:t>源</w:t>
      </w:r>
      <w:r>
        <w:rPr>
          <w:rFonts w:ascii="幼圆" w:eastAsia="幼圆" w:hAnsi="幼圆" w:cs="幼圆" w:hint="eastAsia"/>
        </w:rPr>
        <w:t>。</w:t>
      </w:r>
      <w:r>
        <w:rPr>
          <w:rFonts w:ascii="幼圆" w:eastAsia="幼圆" w:hAnsi="幼圆" w:cs="幼圆" w:hint="eastAsia"/>
        </w:rPr>
        <w:t>STM32还可以选择一个时钟信号输出到MCO脚(PA8)上，可以选择为PLL输出的2分频、HSI、HSE、或者系统时钟。另外</w:t>
      </w:r>
      <w:r>
        <w:rPr>
          <w:rFonts w:ascii="幼圆" w:eastAsia="幼圆" w:hAnsi="幼圆" w:cs="幼圆" w:hint="eastAsia"/>
        </w:rPr>
        <w:t>可以选择一个外部的4-16MHz时钟</w:t>
      </w:r>
      <w:r>
        <w:rPr>
          <w:rFonts w:ascii="幼圆" w:eastAsia="幼圆" w:hAnsi="幼圆" w:cs="幼圆" w:hint="eastAsia"/>
        </w:rPr>
        <w:t>源</w:t>
      </w:r>
      <w:r>
        <w:rPr>
          <w:rFonts w:ascii="幼圆" w:eastAsia="幼圆" w:hAnsi="幼圆" w:cs="幼圆" w:hint="eastAsia"/>
        </w:rPr>
        <w:t>，</w:t>
      </w:r>
      <w:r>
        <w:rPr>
          <w:rFonts w:ascii="幼圆" w:eastAsia="幼圆" w:hAnsi="幼圆" w:cs="幼圆" w:hint="eastAsia"/>
        </w:rPr>
        <w:t>STM32在时钟的检测十分严格，会实时监控当与</w:t>
      </w:r>
      <w:r>
        <w:rPr>
          <w:rFonts w:ascii="幼圆" w:eastAsia="幼圆" w:hAnsi="幼圆" w:cs="幼圆" w:hint="eastAsia"/>
        </w:rPr>
        <w:t>控制器被禁止</w:t>
      </w:r>
      <w:r>
        <w:rPr>
          <w:rFonts w:ascii="幼圆" w:eastAsia="幼圆" w:hAnsi="幼圆" w:cs="幼圆" w:hint="eastAsia"/>
        </w:rPr>
        <w:t>那么</w:t>
      </w:r>
      <w:r>
        <w:rPr>
          <w:rFonts w:ascii="幼圆" w:eastAsia="幼圆" w:hAnsi="幼圆" w:cs="幼圆" w:hint="eastAsia"/>
        </w:rPr>
        <w:t>软件中断管理也</w:t>
      </w:r>
      <w:r>
        <w:rPr>
          <w:rFonts w:ascii="幼圆" w:eastAsia="幼圆" w:hAnsi="幼圆" w:cs="幼圆" w:hint="eastAsia"/>
        </w:rPr>
        <w:t>会跟着</w:t>
      </w:r>
      <w:r>
        <w:rPr>
          <w:rFonts w:ascii="幼圆" w:eastAsia="幼圆" w:hAnsi="幼圆" w:cs="幼圆" w:hint="eastAsia"/>
        </w:rPr>
        <w:t>被禁止。</w:t>
      </w:r>
      <w:r>
        <w:rPr>
          <w:rFonts w:ascii="幼圆" w:eastAsia="幼圆" w:hAnsi="幼圆" w:cs="幼圆" w:hint="eastAsia"/>
        </w:rPr>
        <w:t>还可以在</w:t>
      </w:r>
      <w:r>
        <w:rPr>
          <w:rFonts w:ascii="幼圆" w:eastAsia="幼圆" w:hAnsi="幼圆" w:cs="幼圆" w:hint="eastAsia"/>
        </w:rPr>
        <w:t>PLL时钟的中断管理</w:t>
      </w:r>
      <w:r>
        <w:rPr>
          <w:rFonts w:ascii="幼圆" w:eastAsia="幼圆" w:hAnsi="幼圆" w:cs="幼圆" w:hint="eastAsia"/>
        </w:rPr>
        <w:t>设定时钟</w:t>
      </w:r>
      <w:r>
        <w:rPr>
          <w:rFonts w:ascii="幼圆" w:eastAsia="幼圆" w:hAnsi="幼圆" w:cs="幼圆" w:hint="eastAsia"/>
        </w:rPr>
        <w:t>。多个预比较器可以用</w:t>
      </w:r>
      <w:r>
        <w:rPr>
          <w:rFonts w:ascii="幼圆" w:eastAsia="幼圆" w:hAnsi="幼圆" w:cs="幼圆" w:hint="eastAsia"/>
        </w:rPr>
        <w:t>来</w:t>
      </w:r>
      <w:r>
        <w:rPr>
          <w:rFonts w:ascii="幼圆" w:eastAsia="幼圆" w:hAnsi="幼圆" w:cs="幼圆" w:hint="eastAsia"/>
        </w:rPr>
        <w:t>配置AHB频率，包括高速APB2和低速APB1，高速APB最高的频率为72MHz，低速APB最高的频率为36MHz。</w:t>
      </w:r>
    </w:p>
    <w:p>
      <w:pPr>
        <w:pStyle w:val="a0"/>
        <w:rPr>
          <w:rFonts w:ascii="幼圆" w:eastAsia="幼圆" w:hAnsi="幼圆" w:cs="幼圆" w:hint="eastAsia"/>
        </w:rPr>
      </w:pPr>
      <w:r>
        <w:rPr>
          <w:rFonts w:ascii="幼圆" w:eastAsia="幼圆" w:hAnsi="幼圆" w:cs="幼圆" w:hint="eastAsia"/>
        </w:rPr>
        <w:drawing>
          <wp:inline distT="0" distB="0" distL="0" distR="0">
            <wp:extent cx="4798695" cy="2319020"/>
            <wp:effectExtent l="0" t="0" r="1905" b="5080"/>
            <wp:docPr id="50" name="图片 50" descr="说明: 新建 BMP 图像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说明: 新建 BMP 图像 (8)"/>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4798695" cy="2319020"/>
                    </a:xfrm>
                    <a:prstGeom prst="rect">
                      <a:avLst/>
                    </a:prstGeom>
                    <a:noFill/>
                    <a:ln>
                      <a:noFill/>
                    </a:ln>
                  </pic:spPr>
                </pic:pic>
              </a:graphicData>
            </a:graphic>
          </wp:inline>
        </w:drawing>
      </w:r>
    </w:p>
    <w:p>
      <w:pPr>
        <w:pStyle w:val="a0"/>
        <w:rPr>
          <w:rFonts w:ascii="幼圆" w:eastAsia="幼圆" w:hAnsi="幼圆" w:cs="幼圆" w:hint="eastAsia"/>
        </w:rPr>
      </w:pPr>
      <w:r>
        <w:rPr>
          <w:rFonts w:ascii="幼圆" w:eastAsia="幼圆" w:hAnsi="幼圆" w:cs="幼圆" w:hint="eastAsia"/>
        </w:rPr>
        <w:t>图3.4 时钟模块硬件电路图</w:t>
      </w:r>
    </w:p>
    <w:p>
      <w:pPr>
        <w:pStyle w:val="Heading2"/>
        <w:spacing w:before="120" w:after="120"/>
        <w:rPr>
          <w:rFonts w:ascii="幼圆" w:eastAsia="幼圆" w:hAnsi="幼圆" w:cs="幼圆" w:hint="eastAsia"/>
        </w:rPr>
      </w:pPr>
      <w:bookmarkStart w:id="61" w:name="_Toc480369434"/>
      <w:bookmarkStart w:id="62" w:name="_Toc481172929"/>
      <w:bookmarkStart w:id="63" w:name="_Toc482154631"/>
      <w:r>
        <w:rPr>
          <w:rFonts w:ascii="幼圆" w:eastAsia="幼圆" w:hAnsi="幼圆" w:cs="幼圆" w:hint="eastAsia"/>
        </w:rPr>
        <w:t>3.2系统操作显示电路设计</w:t>
      </w:r>
      <w:bookmarkEnd w:id="61"/>
      <w:bookmarkEnd w:id="62"/>
      <w:bookmarkEnd w:id="63"/>
    </w:p>
    <w:p>
      <w:pPr>
        <w:pStyle w:val="Heading3"/>
        <w:rPr>
          <w:rFonts w:ascii="幼圆" w:eastAsia="幼圆" w:hAnsi="幼圆" w:cs="幼圆" w:hint="eastAsia"/>
        </w:rPr>
      </w:pPr>
      <w:bookmarkStart w:id="64" w:name="_Toc480369435"/>
      <w:bookmarkStart w:id="65" w:name="_Toc481172930"/>
      <w:bookmarkStart w:id="66" w:name="_Toc445994261"/>
      <w:bookmarkStart w:id="67" w:name="_Toc482154632"/>
      <w:r>
        <w:rPr>
          <w:rFonts w:ascii="幼圆" w:eastAsia="幼圆" w:hAnsi="幼圆" w:cs="幼圆" w:hint="eastAsia"/>
        </w:rPr>
        <w:t>3.2.1</w:t>
      </w:r>
      <w:r>
        <w:rPr>
          <w:rFonts w:ascii="幼圆" w:eastAsia="幼圆" w:hAnsi="幼圆" w:cs="幼圆" w:hint="eastAsia"/>
        </w:rPr>
        <w:t>输入</w:t>
      </w:r>
      <w:r>
        <w:rPr>
          <w:rFonts w:ascii="幼圆" w:eastAsia="幼圆" w:hAnsi="幼圆" w:cs="幼圆" w:hint="eastAsia"/>
        </w:rPr>
        <w:t>键盘</w:t>
      </w:r>
      <w:bookmarkEnd w:id="64"/>
      <w:bookmarkEnd w:id="65"/>
      <w:bookmarkEnd w:id="66"/>
      <w:bookmarkEnd w:id="67"/>
    </w:p>
    <w:p>
      <w:pPr>
        <w:widowControl/>
        <w:spacing w:line="360" w:lineRule="auto"/>
        <w:ind w:firstLine="480" w:firstLineChars="200"/>
        <w:rPr>
          <w:rFonts w:ascii="幼圆" w:eastAsia="幼圆" w:hAnsi="幼圆" w:cs="幼圆" w:hint="eastAsia"/>
          <w:sz w:val="24"/>
        </w:rPr>
        <w:sectPr>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幼圆" w:eastAsia="幼圆" w:hAnsi="幼圆" w:cs="幼圆" w:hint="eastAsia"/>
          <w:sz w:val="24"/>
        </w:rPr>
        <w:t>本设计采用单片机控制器处理，按键是采用行列式键盘。键盘是最常见的人机接口设备，微机控制器通过键盘可以输入各种操作指令和数据，单片机控制器捕捉关键信息，与单片机控制器进行相应的处理。键盘在系统作用手动设灯亮时间、紧急情况处理。独立式按键是直接用I/O口线构成的单个按键电路，其特点是每个按键单独占用一根I/O口线，每个按键的工作不会影响其它I/O口线的状态。独立式按键的典型应用如图3.5所示。</w:t>
      </w:r>
    </w:p>
    <w:p>
      <w:pPr>
        <w:adjustRightInd w:val="0"/>
        <w:ind w:firstLine="480" w:firstLineChars="200"/>
        <w:jc w:val="center"/>
        <w:textAlignment w:val="baseline"/>
        <w:rPr>
          <w:rFonts w:ascii="幼圆" w:eastAsia="幼圆" w:hAnsi="幼圆" w:cs="幼圆" w:hint="eastAsia"/>
          <w:spacing w:val="10"/>
          <w:kern w:val="0"/>
          <w:sz w:val="24"/>
        </w:rPr>
      </w:pPr>
      <w:r>
        <w:rPr>
          <w:rFonts w:ascii="幼圆" w:eastAsia="幼圆" w:hAnsi="幼圆" w:cs="幼圆" w:hint="eastAsia"/>
          <w:spacing w:val="10"/>
          <w:kern w:val="0"/>
          <w:sz w:val="24"/>
        </w:rPr>
        <w:drawing>
          <wp:inline distT="0" distB="0" distL="0" distR="0">
            <wp:extent cx="3389630" cy="2112645"/>
            <wp:effectExtent l="0" t="0" r="1270" b="1905"/>
            <wp:docPr id="38" name="图片 38" descr="说明: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说明: 111"/>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3389630" cy="2112645"/>
                    </a:xfrm>
                    <a:prstGeom prst="rect">
                      <a:avLst/>
                    </a:prstGeom>
                    <a:noFill/>
                    <a:ln>
                      <a:noFill/>
                    </a:ln>
                  </pic:spPr>
                </pic:pic>
              </a:graphicData>
            </a:graphic>
          </wp:inline>
        </w:drawing>
      </w:r>
    </w:p>
    <w:p>
      <w:pPr>
        <w:pStyle w:val="a0"/>
        <w:rPr>
          <w:rFonts w:ascii="幼圆" w:eastAsia="幼圆" w:hAnsi="幼圆" w:cs="幼圆" w:hint="eastAsia"/>
        </w:rPr>
      </w:pPr>
      <w:r>
        <w:rPr>
          <w:rFonts w:ascii="幼圆" w:eastAsia="幼圆" w:hAnsi="幼圆" w:cs="幼圆" w:hint="eastAsia"/>
        </w:rPr>
        <w:t>图3.5 独立式按键电路</w:t>
      </w:r>
    </w:p>
    <w:p>
      <w:pPr>
        <w:widowControl/>
        <w:spacing w:line="360" w:lineRule="auto"/>
        <w:ind w:firstLine="480" w:firstLineChars="200"/>
        <w:rPr>
          <w:rFonts w:ascii="幼圆" w:eastAsia="幼圆" w:hAnsi="幼圆" w:cs="幼圆" w:hint="eastAsia"/>
          <w:sz w:val="24"/>
        </w:rPr>
      </w:pPr>
      <w:r>
        <w:rPr>
          <w:rFonts w:ascii="幼圆" w:eastAsia="幼圆" w:hAnsi="幼圆" w:cs="幼圆" w:hint="eastAsia"/>
          <w:sz w:val="24"/>
        </w:rPr>
        <w:t>独立式按键电路配置灵活，软件结构简单，但每个按键必须占用一根I/O口线，因此，在按键较多时，I/O口线浪费较大，不宜采用。键盘采用独立式键盘，单片机的I/O口数可以满足该键盘，并且可以完成题目中的所要求的设定时间、紧急情况控制功能。</w:t>
      </w:r>
    </w:p>
    <w:p>
      <w:pPr>
        <w:pStyle w:val="Heading3"/>
        <w:rPr>
          <w:rFonts w:ascii="幼圆" w:eastAsia="幼圆" w:hAnsi="幼圆" w:cs="幼圆" w:hint="eastAsia"/>
        </w:rPr>
      </w:pPr>
      <w:bookmarkStart w:id="68" w:name="_Toc482154633"/>
      <w:r>
        <w:rPr>
          <w:rFonts w:ascii="幼圆" w:eastAsia="幼圆" w:hAnsi="幼圆" w:cs="幼圆" w:hint="eastAsia"/>
        </w:rPr>
        <w:t>3.2.2显示部分的电路设计</w:t>
      </w:r>
      <w:bookmarkEnd w:id="68"/>
    </w:p>
    <w:p>
      <w:pPr>
        <w:pStyle w:val="a"/>
        <w:rPr>
          <w:rFonts w:ascii="幼圆" w:eastAsia="幼圆" w:hAnsi="幼圆" w:cs="幼圆" w:hint="eastAsia"/>
          <w:color w:val="FF0000"/>
        </w:rPr>
      </w:pPr>
      <w:r>
        <w:rPr>
          <w:rFonts w:ascii="幼圆" w:eastAsia="幼圆" w:hAnsi="幼圆" w:cs="幼圆" w:hint="eastAsia"/>
        </w:rPr>
        <w:t>本次测量仪系统的显示部分选择的LCD1602液晶显示屏，用来实时的显示测量结果和血氧容积波的波形</w:t>
      </w:r>
      <w:r>
        <w:rPr>
          <w:rFonts w:ascii="幼圆" w:eastAsia="幼圆" w:hAnsi="幼圆" w:cs="幼圆" w:hint="eastAsia"/>
        </w:rPr>
        <w:t>。而且它每行的各个字符之间都存在一定的距离，这样有利于更加方便的区分显示的内容，对有效的传递信息具有重要的意义。</w:t>
      </w:r>
      <w:r>
        <w:rPr>
          <w:rFonts w:ascii="幼圆" w:eastAsia="幼圆" w:hAnsi="幼圆" w:cs="幼圆" w:hint="eastAsia"/>
        </w:rPr>
        <w:t>显示部分的电路设计如下图3.6所示。LCD1602各引脚是怎么处理的从图中就可以看见。其余引脚都是与单片机相连接的。比如4引脚是指令端，5引脚是读写操作端。</w:t>
      </w:r>
    </w:p>
    <w:p>
      <w:pPr>
        <w:spacing w:line="300" w:lineRule="auto"/>
        <w:jc w:val="left"/>
        <w:rPr>
          <w:rFonts w:ascii="幼圆" w:eastAsia="幼圆" w:hAnsi="幼圆" w:cs="幼圆" w:hint="eastAsia"/>
          <w:bCs/>
        </w:rPr>
      </w:pPr>
    </w:p>
    <w:p>
      <w:pPr>
        <w:spacing w:line="300" w:lineRule="auto"/>
        <w:jc w:val="center"/>
        <w:rPr>
          <w:rFonts w:ascii="幼圆" w:eastAsia="幼圆" w:hAnsi="幼圆" w:cs="幼圆" w:hint="eastAsia"/>
        </w:rPr>
        <w:sectPr>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幼圆" w:eastAsia="幼圆" w:hAnsi="幼圆" w:cs="幼圆" w:hint="eastAsia"/>
        </w:rPr>
        <w:drawing>
          <wp:inline distT="0" distB="0" distL="0" distR="0">
            <wp:extent cx="2720975" cy="2574925"/>
            <wp:effectExtent l="0" t="0" r="317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2720975" cy="2574925"/>
                    </a:xfrm>
                    <a:prstGeom prst="rect">
                      <a:avLst/>
                    </a:prstGeom>
                    <a:noFill/>
                    <a:ln>
                      <a:noFill/>
                    </a:ln>
                  </pic:spPr>
                </pic:pic>
              </a:graphicData>
            </a:graphic>
          </wp:inline>
        </w:drawing>
      </w:r>
    </w:p>
    <w:p>
      <w:pPr>
        <w:pStyle w:val="a0"/>
        <w:rPr>
          <w:rFonts w:ascii="幼圆" w:eastAsia="幼圆" w:hAnsi="幼圆" w:cs="幼圆" w:hint="eastAsia"/>
        </w:rPr>
      </w:pPr>
      <w:r>
        <w:rPr>
          <w:rFonts w:ascii="幼圆" w:eastAsia="幼圆" w:hAnsi="幼圆" w:cs="幼圆" w:hint="eastAsia"/>
        </w:rPr>
        <w:t>图3.6  液晶显示器的电路图</w:t>
      </w:r>
    </w:p>
    <w:p>
      <w:pPr>
        <w:pStyle w:val="Heading3"/>
        <w:rPr>
          <w:rFonts w:ascii="幼圆" w:eastAsia="幼圆" w:hAnsi="幼圆" w:cs="幼圆" w:hint="eastAsia"/>
        </w:rPr>
      </w:pPr>
      <w:bookmarkStart w:id="69" w:name="_Toc482154634"/>
      <w:r>
        <w:rPr>
          <w:rFonts w:ascii="幼圆" w:eastAsia="幼圆" w:hAnsi="幼圆" w:cs="幼圆" w:hint="eastAsia"/>
        </w:rPr>
        <w:t>3.2.3蜂鸣报警器的电路设计</w:t>
      </w:r>
      <w:bookmarkEnd w:id="69"/>
    </w:p>
    <w:p>
      <w:pPr>
        <w:pStyle w:val="a"/>
        <w:rPr>
          <w:rFonts w:ascii="幼圆" w:eastAsia="幼圆" w:hAnsi="幼圆" w:cs="幼圆" w:hint="eastAsia"/>
        </w:rPr>
      </w:pPr>
      <w:r>
        <w:rPr>
          <w:rFonts w:ascii="幼圆" w:eastAsia="幼圆" w:hAnsi="幼圆" w:cs="幼圆" w:hint="eastAsia"/>
        </w:rPr>
        <w:t>为了方便被监测者和医生及时发现异常，引起他们的注意，当监测到脉率或血氧饱和度超出设定的阈值时，系统需要进行声光报警。本次测量仪系统的超限报警部分相当简单，这里只是在一个I/O口上送出数据来驱动蜂鸣器，能够让蜂鸣器发出声的只有是交流信号。在 LCD 显示屏上会出线报警图标闪烁，同时会通过蜂鸣器报警，蜂蜜器报警电路原理图如图3.7。</w:t>
      </w:r>
    </w:p>
    <w:p>
      <w:pPr>
        <w:spacing w:line="300" w:lineRule="auto"/>
        <w:jc w:val="center"/>
        <w:rPr>
          <w:rFonts w:ascii="幼圆" w:eastAsia="幼圆" w:hAnsi="幼圆" w:cs="幼圆" w:hint="eastAsia"/>
          <w:spacing w:val="10"/>
          <w:sz w:val="24"/>
        </w:rPr>
      </w:pPr>
      <w:r>
        <w:rPr>
          <w:rFonts w:ascii="幼圆" w:eastAsia="幼圆" w:hAnsi="幼圆" w:cs="幼圆" w:hint="eastAsia"/>
        </w:rPr>
        <w:drawing>
          <wp:inline distT="0" distB="0" distL="0" distR="0">
            <wp:extent cx="2823845" cy="1697355"/>
            <wp:effectExtent l="0" t="0" r="0" b="0"/>
            <wp:docPr id="51" name="图片 51" descr="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fm"/>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2823845" cy="1697355"/>
                    </a:xfrm>
                    <a:prstGeom prst="rect">
                      <a:avLst/>
                    </a:prstGeom>
                    <a:noFill/>
                    <a:ln>
                      <a:noFill/>
                    </a:ln>
                  </pic:spPr>
                </pic:pic>
              </a:graphicData>
            </a:graphic>
          </wp:inline>
        </w:drawing>
      </w:r>
    </w:p>
    <w:p>
      <w:pPr>
        <w:pStyle w:val="a0"/>
        <w:rPr>
          <w:rFonts w:ascii="幼圆" w:eastAsia="幼圆" w:hAnsi="幼圆" w:cs="幼圆" w:hint="eastAsia"/>
          <w:sz w:val="18"/>
          <w:szCs w:val="18"/>
        </w:rPr>
      </w:pPr>
      <w:r>
        <w:rPr>
          <w:rFonts w:ascii="幼圆" w:eastAsia="幼圆" w:hAnsi="幼圆" w:cs="幼圆" w:hint="eastAsia"/>
        </w:rPr>
        <w:t>图3.7 蜂鸣器连接电路图</w:t>
      </w:r>
    </w:p>
    <w:p>
      <w:pPr>
        <w:pStyle w:val="Heading3"/>
        <w:rPr>
          <w:rFonts w:ascii="幼圆" w:eastAsia="幼圆" w:hAnsi="幼圆" w:cs="幼圆" w:hint="eastAsia"/>
        </w:rPr>
      </w:pPr>
      <w:bookmarkStart w:id="70" w:name="_Toc480740746"/>
      <w:bookmarkStart w:id="71" w:name="_Toc482154635"/>
      <w:bookmarkStart w:id="72" w:name="_Toc479991786"/>
      <w:r>
        <w:rPr>
          <w:rFonts w:ascii="幼圆" w:eastAsia="幼圆" w:hAnsi="幼圆" w:cs="幼圆" w:hint="eastAsia"/>
        </w:rPr>
        <w:t>3.2.4光敏传感器</w:t>
      </w:r>
      <w:bookmarkEnd w:id="70"/>
      <w:bookmarkEnd w:id="71"/>
      <w:bookmarkEnd w:id="72"/>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本论文血氧饱和度探头传感器如图3.8所示。发射部分由红光发射管和红外光发射管组成，接收部分由硅光电池构成。</w:t>
      </w:r>
    </w:p>
    <w:p>
      <w:pPr>
        <w:pStyle w:val="a0"/>
        <w:rPr>
          <w:rFonts w:ascii="幼圆" w:eastAsia="幼圆" w:hAnsi="幼圆" w:cs="幼圆" w:hint="eastAsia"/>
          <w:sz w:val="24"/>
        </w:rPr>
      </w:pPr>
      <w:r>
        <w:rPr>
          <w:rFonts w:ascii="幼圆" w:eastAsia="幼圆" w:hAnsi="幼圆" w:cs="幼圆" w:hint="eastAsia"/>
        </w:rPr>
        <w:drawing>
          <wp:inline distT="0" distB="0" distL="0" distR="0">
            <wp:extent cx="3730625" cy="1418590"/>
            <wp:effectExtent l="0" t="0" r="317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4"/>
                    <a:stretch>
                      <a:fillRect/>
                    </a:stretch>
                  </pic:blipFill>
                  <pic:spPr>
                    <a:xfrm>
                      <a:off x="0" y="0"/>
                      <a:ext cx="3730786" cy="1419163"/>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 3.8 血氧饱和度探头</w:t>
      </w:r>
    </w:p>
    <w:p>
      <w:pPr>
        <w:pStyle w:val="a"/>
        <w:rPr>
          <w:rFonts w:ascii="幼圆" w:eastAsia="幼圆" w:hAnsi="幼圆" w:cs="幼圆" w:hint="eastAsia"/>
        </w:rPr>
      </w:pPr>
      <w:r>
        <w:rPr>
          <w:rFonts w:ascii="幼圆" w:eastAsia="幼圆" w:hAnsi="幼圆" w:cs="幼圆" w:hint="eastAsia"/>
        </w:rPr>
        <w:t>反射式血氧传感器探头采用的是波长为660nm的红光和波一长为940nm的红外光作为发光二极管进行血氧饱和度的无创检测。发光二级管采用脉冲驱动方式，光敏接收器件用同步脉冲开关把对二个光源的响应信号区分开来，从而避免了相互串扰。根据血液光照透射光的强度将主要由动脉血管的收缩和舒张引起，</w:t>
      </w: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https://d.book118.com/236145141234010030</w:t>
        </w:r>
      </w:hyperlink>
    </w:p>
    <w:p>
      <w:pPr>
        <w:pStyle w:val="a"/>
        <w:rPr>
          <w:rFonts w:ascii="幼圆" w:eastAsia="幼圆" w:hAnsi="幼圆" w:cs="幼圆" w:hint="eastAsia"/>
        </w:rPr>
      </w:pPr>
    </w:p>
    <w:sectPr>
      <w:footerReference w:type="default" r:id="rId26"/>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36288813"/>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6648013"/>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073874"/>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04985403"/>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9369996"/>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8924599"/>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8938962"/>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09607916"/>
      <w:docPartObj>
        <w:docPartGallery w:val="AutoText"/>
      </w:docPartObj>
    </w:sdtPr>
    <w:sdtContent>
      <w:p>
        <w:pPr>
          <w:pStyle w:val="Footer"/>
          <w:jc w:val="center"/>
        </w:pPr>
        <w:r>
          <w:fldChar w:fldCharType="begin"/>
        </w:r>
        <w:r>
          <w:instrText>PAGE   \* MERGEFORMAT</w:instrText>
        </w:r>
        <w:r>
          <w:fldChar w:fldCharType="separate"/>
        </w:r>
        <w:r>
          <w:rPr>
            <w:lang w:val="zh-CN"/>
          </w:rPr>
          <w:t>8</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6683710"/>
      <w:docPartObj>
        <w:docPartGallery w:val="AutoText"/>
      </w:docPartObj>
    </w:sdtPr>
    <w:sdtContent>
      <w:p>
        <w:pPr>
          <w:pStyle w:val="Footer"/>
          <w:jc w:val="center"/>
        </w:pPr>
        <w:r>
          <w:fldChar w:fldCharType="begin"/>
        </w:r>
        <w:r>
          <w:instrText>PAGE   \* MERGEFORMAT</w:instrText>
        </w:r>
        <w:r>
          <w:fldChar w:fldCharType="separate"/>
        </w:r>
        <w:r>
          <w:rPr>
            <w:lang w:val="zh-CN"/>
          </w:rPr>
          <w:t>9</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168763"/>
      <w:docPartObj>
        <w:docPartGallery w:val="AutoText"/>
      </w:docPartObj>
    </w:sdtPr>
    <w:sdtContent>
      <w:p>
        <w:pPr>
          <w:pStyle w:val="Footer"/>
          <w:jc w:val="center"/>
        </w:pPr>
        <w:r>
          <w:fldChar w:fldCharType="begin"/>
        </w:r>
        <w:r>
          <w:instrText>PAGE   \* MERGEFORMAT</w:instrText>
        </w:r>
        <w:r>
          <w:fldChar w:fldCharType="separate"/>
        </w:r>
        <w:r>
          <w:rPr>
            <w:lang w:val="zh-CN"/>
          </w:rPr>
          <w:t>10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74D"/>
    <w:rsid w:val="000557F4"/>
    <w:rsid w:val="0007405B"/>
    <w:rsid w:val="000B767C"/>
    <w:rsid w:val="000C12DF"/>
    <w:rsid w:val="000E4209"/>
    <w:rsid w:val="000E4D6F"/>
    <w:rsid w:val="00112C67"/>
    <w:rsid w:val="001224E1"/>
    <w:rsid w:val="00135629"/>
    <w:rsid w:val="00143F96"/>
    <w:rsid w:val="00180D9F"/>
    <w:rsid w:val="00192F12"/>
    <w:rsid w:val="001A02F1"/>
    <w:rsid w:val="001C5527"/>
    <w:rsid w:val="001D069C"/>
    <w:rsid w:val="001E474D"/>
    <w:rsid w:val="001F4BAA"/>
    <w:rsid w:val="0020571F"/>
    <w:rsid w:val="00237D53"/>
    <w:rsid w:val="00254923"/>
    <w:rsid w:val="00261C1D"/>
    <w:rsid w:val="00262FD8"/>
    <w:rsid w:val="002D3711"/>
    <w:rsid w:val="00304F6B"/>
    <w:rsid w:val="003073EE"/>
    <w:rsid w:val="00310EAD"/>
    <w:rsid w:val="003124E7"/>
    <w:rsid w:val="00383265"/>
    <w:rsid w:val="00390F92"/>
    <w:rsid w:val="003E2F25"/>
    <w:rsid w:val="003E425C"/>
    <w:rsid w:val="003F065E"/>
    <w:rsid w:val="0042688B"/>
    <w:rsid w:val="00447476"/>
    <w:rsid w:val="004F09A9"/>
    <w:rsid w:val="004F615C"/>
    <w:rsid w:val="005A629D"/>
    <w:rsid w:val="005A6F84"/>
    <w:rsid w:val="005D4B77"/>
    <w:rsid w:val="00650C0E"/>
    <w:rsid w:val="006563D5"/>
    <w:rsid w:val="00670942"/>
    <w:rsid w:val="00695CE6"/>
    <w:rsid w:val="006B7F72"/>
    <w:rsid w:val="00714CB2"/>
    <w:rsid w:val="00735A84"/>
    <w:rsid w:val="00743ED6"/>
    <w:rsid w:val="00791919"/>
    <w:rsid w:val="007A4915"/>
    <w:rsid w:val="007B0EA8"/>
    <w:rsid w:val="0082779A"/>
    <w:rsid w:val="008728E6"/>
    <w:rsid w:val="008D58C7"/>
    <w:rsid w:val="00911028"/>
    <w:rsid w:val="00925515"/>
    <w:rsid w:val="00962EA6"/>
    <w:rsid w:val="009B342D"/>
    <w:rsid w:val="009D1AE5"/>
    <w:rsid w:val="00A432AC"/>
    <w:rsid w:val="00A536E5"/>
    <w:rsid w:val="00A828B9"/>
    <w:rsid w:val="00A93401"/>
    <w:rsid w:val="00AD54C8"/>
    <w:rsid w:val="00AD69BE"/>
    <w:rsid w:val="00B3345E"/>
    <w:rsid w:val="00B37A20"/>
    <w:rsid w:val="00B61DBE"/>
    <w:rsid w:val="00B8278F"/>
    <w:rsid w:val="00B863E3"/>
    <w:rsid w:val="00BA28C9"/>
    <w:rsid w:val="00BC1117"/>
    <w:rsid w:val="00BC542F"/>
    <w:rsid w:val="00BE3198"/>
    <w:rsid w:val="00C51E3C"/>
    <w:rsid w:val="00C85B35"/>
    <w:rsid w:val="00CB14D2"/>
    <w:rsid w:val="00D06BC7"/>
    <w:rsid w:val="00D35B31"/>
    <w:rsid w:val="00D365C8"/>
    <w:rsid w:val="00D47DCF"/>
    <w:rsid w:val="00D51CD9"/>
    <w:rsid w:val="00D57307"/>
    <w:rsid w:val="00D729AC"/>
    <w:rsid w:val="00D808BB"/>
    <w:rsid w:val="00D829B9"/>
    <w:rsid w:val="00DD6CCE"/>
    <w:rsid w:val="00DE74C6"/>
    <w:rsid w:val="00E07796"/>
    <w:rsid w:val="00E21E4C"/>
    <w:rsid w:val="00EE430C"/>
    <w:rsid w:val="00F000D6"/>
    <w:rsid w:val="00F01FD0"/>
    <w:rsid w:val="00F2382E"/>
    <w:rsid w:val="00F74679"/>
    <w:rsid w:val="00F82E7A"/>
    <w:rsid w:val="00F902BA"/>
    <w:rsid w:val="00F9348A"/>
    <w:rsid w:val="00F96262"/>
    <w:rsid w:val="00F97516"/>
    <w:rsid w:val="00F97F4D"/>
    <w:rsid w:val="00FC3C02"/>
    <w:rsid w:val="00FD4A52"/>
    <w:rsid w:val="00FE41F1"/>
    <w:rsid w:val="00FE4BDF"/>
    <w:rsid w:val="7BF63540"/>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lsdException w:name="Emphasis"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heme="minorBidi"/>
      <w:kern w:val="2"/>
      <w:sz w:val="21"/>
      <w:szCs w:val="24"/>
      <w:lang w:val="en-US" w:eastAsia="zh-CN" w:bidi="ar-SA"/>
    </w:rPr>
  </w:style>
  <w:style w:type="paragraph" w:styleId="Heading1">
    <w:name w:val="heading 1"/>
    <w:basedOn w:val="Normal"/>
    <w:next w:val="Normal"/>
    <w:link w:val="1Char"/>
    <w:uiPriority w:val="9"/>
    <w:qFormat/>
    <w:pPr>
      <w:spacing w:before="312" w:beforeLines="100" w:after="312" w:afterLines="100" w:line="360" w:lineRule="auto"/>
      <w:jc w:val="center"/>
      <w:outlineLvl w:val="0"/>
    </w:pPr>
    <w:rPr>
      <w:rFonts w:cs="Times New Roman"/>
      <w:b/>
      <w:sz w:val="32"/>
      <w:szCs w:val="32"/>
    </w:rPr>
  </w:style>
  <w:style w:type="paragraph" w:styleId="Heading2">
    <w:name w:val="heading 2"/>
    <w:basedOn w:val="Normal"/>
    <w:next w:val="Normal"/>
    <w:link w:val="2Char"/>
    <w:uiPriority w:val="9"/>
    <w:unhideWhenUsed/>
    <w:qFormat/>
    <w:pPr>
      <w:spacing w:line="360" w:lineRule="auto"/>
      <w:outlineLvl w:val="1"/>
    </w:pPr>
    <w:rPr>
      <w:rFonts w:ascii="宋体" w:hAnsi="宋体" w:cs="Times New Roman"/>
      <w:b/>
      <w:sz w:val="30"/>
      <w:szCs w:val="30"/>
    </w:rPr>
  </w:style>
  <w:style w:type="paragraph" w:styleId="Heading3">
    <w:name w:val="heading 3"/>
    <w:basedOn w:val="Normal"/>
    <w:next w:val="Normal"/>
    <w:link w:val="3Char"/>
    <w:autoRedefine/>
    <w:uiPriority w:val="9"/>
    <w:unhideWhenUsed/>
    <w:qFormat/>
    <w:pPr>
      <w:spacing w:line="360" w:lineRule="auto"/>
      <w:ind w:firstLine="562" w:firstLineChars="200"/>
      <w:outlineLvl w:val="2"/>
    </w:pPr>
    <w:rPr>
      <w:rFonts w:cs="Times New Roman"/>
      <w:b/>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4"/>
    <w:uiPriority w:val="99"/>
    <w:semiHidden/>
    <w:unhideWhenUsed/>
    <w:rPr>
      <w:sz w:val="18"/>
      <w:szCs w:val="18"/>
    </w:rPr>
  </w:style>
  <w:style w:type="paragraph" w:styleId="Footer">
    <w:name w:val="footer"/>
    <w:basedOn w:val="Normal"/>
    <w:link w:val="Char3"/>
    <w:autoRedefine/>
    <w:uiPriority w:val="99"/>
    <w:unhideWhenUsed/>
    <w:pPr>
      <w:tabs>
        <w:tab w:val="center" w:pos="4153"/>
        <w:tab w:val="right" w:pos="8306"/>
      </w:tabs>
      <w:snapToGrid w:val="0"/>
      <w:jc w:val="left"/>
    </w:pPr>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FootnoteText">
    <w:name w:val="footnote text"/>
    <w:basedOn w:val="Normal"/>
    <w:link w:val="Char5"/>
    <w:pPr>
      <w:snapToGrid w:val="0"/>
      <w:jc w:val="left"/>
    </w:pPr>
    <w:rPr>
      <w:rFonts w:ascii="Calibri" w:hAnsi="Calibri" w:cs="Times New Roman"/>
      <w:sz w:val="18"/>
      <w:szCs w:val="18"/>
    </w:rPr>
  </w:style>
  <w:style w:type="paragraph" w:styleId="TOC2">
    <w:name w:val="toc 2"/>
    <w:basedOn w:val="Normal"/>
    <w:next w:val="Normal"/>
    <w:autoRedefine/>
    <w:uiPriority w:val="39"/>
    <w:unhideWhenUsed/>
    <w:qFormat/>
    <w:pPr>
      <w:ind w:left="420" w:leftChars="200"/>
    </w:pPr>
  </w:style>
  <w:style w:type="paragraph" w:styleId="Title">
    <w:name w:val="Title"/>
    <w:basedOn w:val="Normal"/>
    <w:link w:val="Char7"/>
    <w:autoRedefine/>
    <w:qFormat/>
    <w:pPr>
      <w:widowControl/>
      <w:spacing w:before="120" w:after="120"/>
      <w:jc w:val="center"/>
      <w:outlineLvl w:val="0"/>
    </w:pPr>
    <w:rPr>
      <w:rFonts w:ascii="Arial" w:eastAsia="黑体" w:hAnsi="Arial" w:cs="Arial"/>
      <w:b/>
      <w:bCs/>
      <w:kern w:val="0"/>
      <w:sz w:val="28"/>
      <w:szCs w:val="32"/>
    </w:rPr>
  </w:style>
  <w:style w:type="character" w:styleId="PageNumber">
    <w:name w:val="page number"/>
    <w:basedOn w:val="DefaultParagraphFont"/>
    <w:autoRedefine/>
  </w:style>
  <w:style w:type="character" w:styleId="Emphasis">
    <w:name w:val="Emphasis"/>
    <w:qFormat/>
    <w:rPr>
      <w:szCs w:val="21"/>
    </w:r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FootnoteReference">
    <w:name w:val="footnote reference"/>
    <w:autoRedefine/>
    <w:qFormat/>
    <w:rPr>
      <w:vertAlign w:val="superscript"/>
    </w:rPr>
  </w:style>
  <w:style w:type="paragraph" w:customStyle="1" w:styleId="a">
    <w:name w:val="文"/>
    <w:basedOn w:val="Normal"/>
    <w:link w:val="Char"/>
    <w:qFormat/>
    <w:pPr>
      <w:spacing w:line="360" w:lineRule="auto"/>
      <w:ind w:firstLine="480" w:firstLineChars="200"/>
    </w:pPr>
    <w:rPr>
      <w:rFonts w:cs="Times New Roman"/>
      <w:sz w:val="24"/>
      <w:szCs w:val="21"/>
    </w:rPr>
  </w:style>
  <w:style w:type="character" w:customStyle="1" w:styleId="Char">
    <w:name w:val="文 Char"/>
    <w:basedOn w:val="DefaultParagraphFont"/>
    <w:link w:val="a"/>
    <w:autoRedefine/>
    <w:qFormat/>
    <w:rPr>
      <w:rFonts w:ascii="Times New Roman" w:eastAsia="宋体" w:hAnsi="Times New Roman" w:cs="Times New Roman"/>
      <w:sz w:val="24"/>
      <w:szCs w:val="21"/>
    </w:rPr>
  </w:style>
  <w:style w:type="paragraph" w:customStyle="1" w:styleId="a0">
    <w:name w:val="图"/>
    <w:basedOn w:val="Normal"/>
    <w:link w:val="Char0"/>
    <w:qFormat/>
    <w:pPr>
      <w:spacing w:line="360" w:lineRule="auto"/>
      <w:jc w:val="center"/>
    </w:pPr>
    <w:rPr>
      <w:rFonts w:cs="Times New Roman"/>
      <w:szCs w:val="21"/>
    </w:rPr>
  </w:style>
  <w:style w:type="character" w:customStyle="1" w:styleId="Char0">
    <w:name w:val="图 Char"/>
    <w:basedOn w:val="DefaultParagraphFont"/>
    <w:link w:val="a0"/>
    <w:rPr>
      <w:rFonts w:ascii="Times New Roman" w:eastAsia="宋体" w:hAnsi="Times New Roman" w:cs="Times New Roman"/>
      <w:szCs w:val="21"/>
    </w:rPr>
  </w:style>
  <w:style w:type="character" w:customStyle="1" w:styleId="1Char">
    <w:name w:val="标题 1 Char"/>
    <w:basedOn w:val="DefaultParagraphFont"/>
    <w:link w:val="Heading1"/>
    <w:uiPriority w:val="9"/>
    <w:rPr>
      <w:rFonts w:ascii="Times New Roman" w:eastAsia="宋体" w:hAnsi="Times New Roman" w:cs="Times New Roman"/>
      <w:b/>
      <w:sz w:val="32"/>
      <w:szCs w:val="32"/>
    </w:rPr>
  </w:style>
  <w:style w:type="character" w:customStyle="1" w:styleId="2Char">
    <w:name w:val="标题 2 Char"/>
    <w:basedOn w:val="DefaultParagraphFont"/>
    <w:link w:val="Heading2"/>
    <w:uiPriority w:val="9"/>
    <w:rPr>
      <w:rFonts w:ascii="宋体" w:eastAsia="宋体" w:hAnsi="宋体" w:cs="Times New Roman"/>
      <w:b/>
      <w:sz w:val="30"/>
      <w:szCs w:val="30"/>
    </w:rPr>
  </w:style>
  <w:style w:type="character" w:customStyle="1" w:styleId="3Char">
    <w:name w:val="标题 3 Char"/>
    <w:basedOn w:val="DefaultParagraphFont"/>
    <w:link w:val="Heading3"/>
    <w:uiPriority w:val="9"/>
    <w:rPr>
      <w:rFonts w:ascii="Times New Roman" w:eastAsia="宋体" w:hAnsi="Times New Roman" w:cs="Times New Roman"/>
      <w:b/>
      <w:sz w:val="28"/>
      <w:szCs w:val="28"/>
    </w:rPr>
  </w:style>
  <w:style w:type="paragraph" w:styleId="NoSpacing">
    <w:name w:val="No Spacing"/>
    <w:link w:val="Char1"/>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1">
    <w:name w:val="无间隔 Char"/>
    <w:basedOn w:val="DefaultParagraphFont"/>
    <w:link w:val="NoSpacing"/>
    <w:uiPriority w:val="1"/>
    <w:rPr>
      <w:kern w:val="0"/>
      <w:sz w:val="22"/>
    </w:rPr>
  </w:style>
  <w:style w:type="paragraph" w:styleId="ListParagraph">
    <w:name w:val="List Paragraph"/>
    <w:basedOn w:val="Normal"/>
    <w:uiPriority w:val="34"/>
    <w:qFormat/>
    <w:pPr>
      <w:ind w:firstLine="420" w:firstLineChars="200"/>
    </w:pPr>
    <w:rPr>
      <w:rFonts w:cs="Times New Roman"/>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2">
    <w:name w:val="页眉 Char"/>
    <w:basedOn w:val="DefaultParagraphFont"/>
    <w:link w:val="Header"/>
    <w:uiPriority w:val="99"/>
    <w:rPr>
      <w:rFonts w:ascii="Times New Roman" w:eastAsia="宋体" w:hAnsi="Times New Roman"/>
      <w:sz w:val="18"/>
      <w:szCs w:val="18"/>
    </w:rPr>
  </w:style>
  <w:style w:type="character" w:customStyle="1" w:styleId="Char3">
    <w:name w:val="页脚 Char"/>
    <w:basedOn w:val="DefaultParagraphFont"/>
    <w:link w:val="Footer"/>
    <w:uiPriority w:val="99"/>
    <w:qFormat/>
    <w:rPr>
      <w:rFonts w:ascii="Times New Roman" w:eastAsia="宋体" w:hAnsi="Times New Roman"/>
      <w:sz w:val="18"/>
      <w:szCs w:val="18"/>
    </w:rPr>
  </w:style>
  <w:style w:type="character" w:customStyle="1" w:styleId="Char4">
    <w:name w:val="批注框文本 Char"/>
    <w:basedOn w:val="DefaultParagraphFont"/>
    <w:link w:val="BalloonText"/>
    <w:autoRedefine/>
    <w:uiPriority w:val="99"/>
    <w:semiHidden/>
    <w:qFormat/>
    <w:rPr>
      <w:rFonts w:ascii="Times New Roman" w:eastAsia="宋体" w:hAnsi="Times New Roman"/>
      <w:sz w:val="18"/>
      <w:szCs w:val="18"/>
    </w:rPr>
  </w:style>
  <w:style w:type="paragraph" w:customStyle="1" w:styleId="NewNewNewNewNewNewNewNewNewNewNewNewNewNewNewNewNewNewNewNewNewNewNewNewNewNewNewNewNewNewNewNewNewNewNew">
    <w:name w:val="正文 New New New New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
    <w:name w:val="正文 New New New New New New New New New New New New New New New New New New New New New New"/>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
    <w:name w:val="正文 New New New New New New New New New New New New New New New New New New New New"/>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New">
    <w:name w:val="正文 New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
    <w:name w:val="正文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
    <w:name w:val="正文 New New New New New New New New New New New New New New New New New New New New New New New New New New New New New"/>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NewNew">
    <w:name w:val="正文 New New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
    <w:name w:val="正文 New New New New New New New New New New New New New New New New New New New New New New New"/>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
    <w:name w:val="正文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
    <w:name w:val="正文 New New New New New New New New New New New New New New New New New New New New New New New New New"/>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
    <w:name w:val="正文 New New New New New New New New New New New New New New New New New New New New New New New New New New New New"/>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
    <w:name w:val="正文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
    <w:name w:val="正文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autoRedefine/>
    <w:qFormat/>
    <w:pPr>
      <w:widowControl w:val="0"/>
      <w:jc w:val="both"/>
    </w:pPr>
    <w:rPr>
      <w:rFonts w:ascii="Times New Roman" w:eastAsia="宋体" w:hAnsi="Times New Roman" w:cs="Times New Roman"/>
      <w:kern w:val="2"/>
      <w:sz w:val="21"/>
      <w:szCs w:val="24"/>
      <w:lang w:val="en-US" w:eastAsia="zh-CN" w:bidi="ar-SA"/>
    </w:rPr>
  </w:style>
  <w:style w:type="paragraph" w:customStyle="1" w:styleId="2">
    <w:name w:val="2"/>
    <w:basedOn w:val="Normal"/>
    <w:link w:val="2Char0"/>
    <w:autoRedefine/>
    <w:qFormat/>
    <w:pPr>
      <w:widowControl/>
      <w:spacing w:before="120" w:beforeLines="50" w:after="120" w:afterLines="50" w:line="300" w:lineRule="auto"/>
      <w:jc w:val="left"/>
      <w:outlineLvl w:val="1"/>
    </w:pPr>
    <w:rPr>
      <w:rFonts w:ascii="黑体" w:eastAsia="黑体" w:cs="Times New Roman"/>
      <w:sz w:val="28"/>
      <w:szCs w:val="28"/>
    </w:rPr>
  </w:style>
  <w:style w:type="character" w:customStyle="1" w:styleId="2Char0">
    <w:name w:val="2 Char"/>
    <w:link w:val="2"/>
    <w:rPr>
      <w:rFonts w:ascii="黑体" w:eastAsia="黑体" w:hAnsi="Times New Roman" w:cs="Times New Roman"/>
      <w:sz w:val="28"/>
      <w:szCs w:val="28"/>
    </w:rPr>
  </w:style>
  <w:style w:type="paragraph" w:customStyle="1" w:styleId="15">
    <w:name w:val="文(1.5)"/>
    <w:basedOn w:val="Normal"/>
    <w:link w:val="15Char"/>
    <w:autoRedefine/>
    <w:qFormat/>
    <w:pPr>
      <w:spacing w:line="360" w:lineRule="auto"/>
      <w:ind w:firstLine="200" w:firstLineChars="200"/>
    </w:pPr>
    <w:rPr>
      <w:rFonts w:cs="Times New Roman"/>
      <w:sz w:val="24"/>
    </w:rPr>
  </w:style>
  <w:style w:type="character" w:customStyle="1" w:styleId="15Char">
    <w:name w:val="文(1.5) Char"/>
    <w:link w:val="15"/>
    <w:qFormat/>
    <w:rPr>
      <w:rFonts w:ascii="Times New Roman" w:eastAsia="宋体" w:hAnsi="Times New Roman" w:cs="Times New Roman"/>
      <w:sz w:val="24"/>
      <w:szCs w:val="24"/>
    </w:rPr>
  </w:style>
  <w:style w:type="paragraph" w:customStyle="1" w:styleId="1">
    <w:name w:val="1"/>
    <w:basedOn w:val="Normal"/>
    <w:link w:val="1Char0"/>
    <w:autoRedefine/>
    <w:qFormat/>
    <w:pPr>
      <w:widowControl/>
      <w:spacing w:before="240" w:beforeLines="100" w:after="240" w:afterLines="100" w:line="300" w:lineRule="auto"/>
      <w:jc w:val="center"/>
      <w:outlineLvl w:val="0"/>
    </w:pPr>
    <w:rPr>
      <w:rFonts w:ascii="黑体" w:eastAsia="黑体" w:hAnsi="宋体" w:cs="宋体"/>
      <w:kern w:val="0"/>
      <w:sz w:val="32"/>
      <w:szCs w:val="32"/>
    </w:rPr>
  </w:style>
  <w:style w:type="character" w:customStyle="1" w:styleId="1Char0">
    <w:name w:val="1 Char"/>
    <w:link w:val="1"/>
    <w:autoRedefine/>
    <w:qFormat/>
    <w:rPr>
      <w:rFonts w:ascii="黑体" w:eastAsia="黑体" w:hAnsi="宋体" w:cs="宋体"/>
      <w:kern w:val="0"/>
      <w:sz w:val="32"/>
      <w:szCs w:val="32"/>
    </w:rPr>
  </w:style>
  <w:style w:type="character" w:customStyle="1" w:styleId="Char5">
    <w:name w:val="脚注文本 Char"/>
    <w:basedOn w:val="DefaultParagraphFont"/>
    <w:link w:val="FootnoteText"/>
    <w:autoRedefine/>
    <w:rPr>
      <w:rFonts w:ascii="Calibri" w:eastAsia="宋体" w:hAnsi="Calibri" w:cs="Times New Roman"/>
      <w:sz w:val="18"/>
      <w:szCs w:val="18"/>
    </w:rPr>
  </w:style>
  <w:style w:type="paragraph" w:customStyle="1" w:styleId="a1">
    <w:name w:val="图标"/>
    <w:basedOn w:val="a"/>
    <w:link w:val="Char6"/>
    <w:autoRedefine/>
    <w:qFormat/>
    <w:pPr>
      <w:ind w:firstLine="0" w:firstLineChars="0"/>
      <w:jc w:val="center"/>
    </w:pPr>
    <w:rPr>
      <w:rFonts w:ascii="宋体" w:hAnsi="宋体"/>
      <w:sz w:val="21"/>
      <w:szCs w:val="24"/>
    </w:rPr>
  </w:style>
  <w:style w:type="character" w:customStyle="1" w:styleId="Char6">
    <w:name w:val="图标 Char"/>
    <w:link w:val="a1"/>
    <w:autoRedefine/>
    <w:qFormat/>
    <w:rPr>
      <w:rFonts w:ascii="宋体" w:eastAsia="宋体" w:hAnsi="宋体" w:cs="Times New Roman"/>
      <w:szCs w:val="24"/>
    </w:rPr>
  </w:style>
  <w:style w:type="character" w:customStyle="1" w:styleId="Char7">
    <w:name w:val="标题 Char"/>
    <w:basedOn w:val="DefaultParagraphFont"/>
    <w:link w:val="Title"/>
    <w:autoRedefine/>
    <w:qFormat/>
    <w:rPr>
      <w:rFonts w:ascii="Arial" w:eastAsia="黑体" w:hAnsi="Arial" w:cs="Arial"/>
      <w:b/>
      <w:bCs/>
      <w:kern w:val="0"/>
      <w:sz w:val="28"/>
      <w:szCs w:val="32"/>
    </w:rPr>
  </w:style>
  <w:style w:type="paragraph" w:customStyle="1" w:styleId="Char8">
    <w:name w:val=" Char"/>
    <w:basedOn w:val="Normal"/>
    <w:autoRedefine/>
    <w:qFormat/>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2.png" /><Relationship Id="rId12" Type="http://schemas.openxmlformats.org/officeDocument/2006/relationships/footer" Target="footer5.xml" /><Relationship Id="rId13" Type="http://schemas.openxmlformats.org/officeDocument/2006/relationships/image" Target="media/image3.png" /><Relationship Id="rId14" Type="http://schemas.openxmlformats.org/officeDocument/2006/relationships/footer" Target="footer6.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footer" Target="footer7.xml" /><Relationship Id="rId18" Type="http://schemas.openxmlformats.org/officeDocument/2006/relationships/image" Target="media/image6.png"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9.xml" /><Relationship Id="rId22" Type="http://schemas.openxmlformats.org/officeDocument/2006/relationships/image" Target="media/image8.png" /><Relationship Id="rId23" Type="http://schemas.openxmlformats.org/officeDocument/2006/relationships/image" Target="media/image9.jpeg" /><Relationship Id="rId24" Type="http://schemas.openxmlformats.org/officeDocument/2006/relationships/image" Target="media/image10.png" /><Relationship Id="rId25" Type="http://schemas.openxmlformats.org/officeDocument/2006/relationships/hyperlink" Target="https://d.book118.com/236145141234010030" TargetMode="Externa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695F6-CF22-4643-9866-5AC8834EF25A}">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11</Pages>
  <Words>3125</Words>
  <Characters>17814</Characters>
  <Application>Microsoft Office Word</Application>
  <DocSecurity>0</DocSecurity>
  <Lines>148</Lines>
  <Paragraphs>41</Paragraphs>
  <ScaleCrop>false</ScaleCrop>
  <Company/>
  <LinksUpToDate>false</LinksUpToDate>
  <CharactersWithSpaces>20898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4</cp:revision>
  <dcterms:created xsi:type="dcterms:W3CDTF">2017-05-09T09:59:00Z</dcterms:created>
  <dcterms:modified xsi:type="dcterms:W3CDTF">2024-01-01T16:08:13Z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CFEDA05626714F16B22996B4B469C80D_13</vt:lpwstr>
  </property>
  <property fmtid="{D5CDD505-2E9C-101B-9397-08002B2CF9AE}" pid="3" name="KSOProductBuildVer">
    <vt:lpwstr>2052-12.1.0.16120</vt:lpwstr>
  </property>
</Properties>
</file>