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86" w:lineRule="auto"/>
        <w:rPr>
          <w:rFonts w:ascii="Arial"/>
          <w:sz w:val="21"/>
        </w:rPr>
      </w:pPr>
      <w:r>
        <w:drawing>
          <wp:anchor distT="0" distB="0" distL="0" distR="0" simplePos="0" relativeHeight="251660288" behindDoc="0" locked="0" layoutInCell="0" allowOverlap="1">
            <wp:simplePos x="0" y="0"/>
            <wp:positionH relativeFrom="page">
              <wp:posOffset>266665</wp:posOffset>
            </wp:positionH>
            <wp:positionV relativeFrom="page">
              <wp:posOffset>869908</wp:posOffset>
            </wp:positionV>
            <wp:extent cx="6883403" cy="6415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83403" cy="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323841</wp:posOffset>
            </wp:positionH>
            <wp:positionV relativeFrom="page">
              <wp:posOffset>10064734</wp:posOffset>
            </wp:positionV>
            <wp:extent cx="6908814" cy="6416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0881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58240" behindDoc="0" locked="0" layoutInCell="0" allowOverlap="1">
            <wp:simplePos x="0" y="0"/>
            <wp:positionH relativeFrom="page">
              <wp:posOffset>374663</wp:posOffset>
            </wp:positionH>
            <wp:positionV relativeFrom="page">
              <wp:posOffset>336521</wp:posOffset>
            </wp:positionV>
            <wp:extent cx="1974811" cy="501627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74811" cy="5016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98" w:line="192" w:lineRule="auto"/>
        <w:ind w:left="9444"/>
        <w:rPr>
          <w:sz w:val="30"/>
          <w:szCs w:val="30"/>
        </w:rPr>
      </w:pPr>
      <w:r>
        <w:rPr>
          <w:b/>
          <w:bCs/>
          <w:spacing w:val="13"/>
          <w:sz w:val="30"/>
          <w:szCs w:val="30"/>
        </w:rPr>
        <w:t>基础化工</w:t>
      </w:r>
    </w:p>
    <w:p>
      <w:pPr>
        <w:spacing w:line="192" w:lineRule="auto"/>
        <w:rPr>
          <w:sz w:val="30"/>
          <w:szCs w:val="30"/>
        </w:rPr>
        <w:sectPr>
          <w:pgSz w:w="11910" w:h="16840"/>
          <w:pgMar w:top="529" w:right="519" w:bottom="0" w:left="419" w:header="0" w:footer="0" w:gutter="0"/>
          <w:cols w:num="1" w:space="708" w:equalWidth="0">
            <w:col w:w="10971" w:space="0"/>
          </w:cols>
        </w:sectPr>
      </w:pPr>
    </w:p>
    <w:p>
      <w:pPr>
        <w:pStyle w:val="BodyText"/>
        <w:spacing w:before="84" w:line="225" w:lineRule="auto"/>
        <w:ind w:left="132"/>
      </w:pPr>
      <w:r>
        <w:rPr>
          <w:b/>
          <w:bCs/>
          <w:spacing w:val="-19"/>
          <w:w w:val="95"/>
        </w:rPr>
        <w:t>分析师：顾敏豪</w:t>
      </w:r>
    </w:p>
    <w:p>
      <w:pPr>
        <w:pStyle w:val="BodyText"/>
        <w:spacing w:before="8" w:line="229" w:lineRule="auto"/>
        <w:ind w:left="132"/>
        <w:rPr>
          <w:sz w:val="19"/>
          <w:szCs w:val="19"/>
        </w:rPr>
      </w:pPr>
      <w:r>
        <w:rPr>
          <w:b/>
          <w:bCs/>
          <w:spacing w:val="-10"/>
          <w:sz w:val="19"/>
          <w:szCs w:val="19"/>
        </w:rPr>
        <w:t>登记编码：</w:t>
      </w:r>
      <w:r>
        <w:rPr>
          <w:spacing w:val="-20"/>
          <w:sz w:val="19"/>
          <w:szCs w:val="19"/>
        </w:rPr>
        <w:t xml:space="preserve"> </w:t>
      </w:r>
      <w:r>
        <w:rPr>
          <w:b/>
          <w:bCs/>
          <w:spacing w:val="-10"/>
          <w:sz w:val="19"/>
          <w:szCs w:val="19"/>
        </w:rPr>
        <w:t>S0730512100001</w:t>
      </w:r>
    </w:p>
    <w:p>
      <w:pPr>
        <w:spacing w:before="5" w:line="214" w:lineRule="auto"/>
        <w:ind w:left="132"/>
        <w:rPr>
          <w:rFonts w:ascii="SimSun" w:eastAsia="SimSun" w:hAnsi="SimSun" w:cs="SimSun"/>
          <w:sz w:val="15"/>
          <w:szCs w:val="15"/>
        </w:rPr>
      </w:pPr>
      <w:r>
        <w:rPr>
          <w:rFonts w:ascii="SimSun" w:eastAsia="SimSun" w:hAnsi="SimSun" w:cs="SimSun"/>
          <w:b/>
          <w:bCs/>
          <w:spacing w:val="-2"/>
          <w:sz w:val="15"/>
          <w:szCs w:val="15"/>
        </w:rPr>
        <w:t>gumh00@ccnew.com</w:t>
      </w:r>
      <w:r>
        <w:rPr>
          <w:rFonts w:ascii="SimSun" w:eastAsia="SimSun" w:hAnsi="SimSun" w:cs="SimSun"/>
          <w:spacing w:val="2"/>
          <w:sz w:val="15"/>
          <w:szCs w:val="15"/>
        </w:rPr>
        <w:t xml:space="preserve">            </w:t>
      </w:r>
      <w:r>
        <w:rPr>
          <w:rFonts w:ascii="SimSun" w:eastAsia="SimSun" w:hAnsi="SimSun" w:cs="SimSun"/>
          <w:b/>
          <w:bCs/>
          <w:spacing w:val="-2"/>
          <w:sz w:val="15"/>
          <w:szCs w:val="15"/>
        </w:rPr>
        <w:t>021-505</w:t>
      </w:r>
      <w:r>
        <w:rPr>
          <w:rFonts w:ascii="SimSun" w:eastAsia="SimSun" w:hAnsi="SimSun" w:cs="SimSun"/>
          <w:b/>
          <w:bCs/>
          <w:spacing w:val="-3"/>
          <w:sz w:val="15"/>
          <w:szCs w:val="15"/>
        </w:rPr>
        <w:t>86308</w:t>
      </w:r>
    </w:p>
    <w:p>
      <w:pPr>
        <w:spacing w:line="345" w:lineRule="auto"/>
        <w:rPr>
          <w:rFonts w:ascii="Arial"/>
          <w:sz w:val="21"/>
        </w:rPr>
      </w:pPr>
    </w:p>
    <w:p>
      <w:pPr>
        <w:spacing w:line="345" w:lineRule="auto"/>
        <w:rPr>
          <w:rFonts w:ascii="Arial"/>
          <w:sz w:val="21"/>
        </w:rPr>
      </w:pPr>
    </w:p>
    <w:p>
      <w:pPr>
        <w:pStyle w:val="BodyText"/>
        <w:spacing w:before="97" w:line="473" w:lineRule="exact"/>
        <w:ind w:left="134"/>
        <w:rPr>
          <w:sz w:val="30"/>
          <w:szCs w:val="30"/>
        </w:rPr>
      </w:pPr>
      <w:r>
        <w:rPr>
          <w:b/>
          <w:bCs/>
          <w:spacing w:val="-11"/>
          <w:position w:val="12"/>
          <w:sz w:val="30"/>
          <w:szCs w:val="30"/>
        </w:rPr>
        <w:t>证券研究报告-行业月报</w:t>
      </w:r>
    </w:p>
    <w:p>
      <w:pPr>
        <w:pStyle w:val="BodyText"/>
        <w:spacing w:line="228" w:lineRule="auto"/>
        <w:ind w:left="133"/>
      </w:pPr>
      <w:r>
        <w:rPr>
          <w:b/>
          <w:bCs/>
          <w:spacing w:val="6"/>
        </w:rPr>
        <w:t>基础化工相对沪深300指数表现</w:t>
      </w:r>
    </w:p>
    <w:p>
      <w:pPr>
        <w:pStyle w:val="BodyText"/>
        <w:spacing w:before="95" w:line="202" w:lineRule="auto"/>
        <w:ind w:left="1270"/>
        <w:rPr>
          <w:sz w:val="17"/>
          <w:szCs w:val="17"/>
        </w:rPr>
      </w:pPr>
      <w:r>
        <w:rPr>
          <w:color w:val="8C0000"/>
          <w:spacing w:val="-7"/>
          <w:w w:val="98"/>
          <w:sz w:val="17"/>
          <w:szCs w:val="17"/>
        </w:rPr>
        <w:t>——</w:t>
      </w:r>
      <w:r>
        <w:rPr>
          <w:color w:val="4F3317"/>
          <w:spacing w:val="-7"/>
          <w:w w:val="98"/>
          <w:sz w:val="17"/>
          <w:szCs w:val="17"/>
        </w:rPr>
        <w:t>基础化工</w:t>
      </w:r>
      <w:r>
        <w:rPr>
          <w:color w:val="4F3317"/>
          <w:spacing w:val="10"/>
          <w:sz w:val="17"/>
          <w:szCs w:val="17"/>
        </w:rPr>
        <w:t xml:space="preserve">     </w:t>
      </w:r>
      <w:r>
        <w:rPr>
          <w:spacing w:val="-7"/>
          <w:w w:val="98"/>
          <w:sz w:val="17"/>
          <w:szCs w:val="17"/>
        </w:rPr>
        <w:t>——沪深300</w:t>
      </w:r>
    </w:p>
    <w:p>
      <w:pPr>
        <w:spacing w:line="1562" w:lineRule="exact"/>
        <w:ind w:firstLine="140"/>
      </w:pPr>
      <w:r>
        <w:rPr>
          <w:position w:val="-31"/>
        </w:rPr>
        <w:drawing>
          <wp:inline distT="0" distB="0" distL="0" distR="0">
            <wp:extent cx="2482807" cy="992087"/>
            <wp:effectExtent l="0" t="0" r="0" b="0"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82807" cy="992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82" w:line="222" w:lineRule="auto"/>
        <w:ind w:left="130"/>
        <w:rPr>
          <w:sz w:val="17"/>
          <w:szCs w:val="17"/>
        </w:rPr>
      </w:pPr>
      <w:r>
        <w:rPr>
          <w:spacing w:val="-10"/>
          <w:sz w:val="17"/>
          <w:szCs w:val="17"/>
        </w:rPr>
        <w:t>资料来源：中原证券、聚源数据</w:t>
      </w:r>
    </w:p>
    <w:p>
      <w:pPr>
        <w:pStyle w:val="BodyText"/>
        <w:spacing w:before="12" w:line="229" w:lineRule="auto"/>
        <w:ind w:left="133"/>
      </w:pPr>
      <w: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78759</wp:posOffset>
            </wp:positionH>
            <wp:positionV relativeFrom="paragraph">
              <wp:posOffset>133943</wp:posOffset>
            </wp:positionV>
            <wp:extent cx="2492988" cy="6667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92988" cy="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11"/>
        </w:rPr>
        <w:t>相</w:t>
      </w:r>
      <w:r>
        <w:rPr>
          <w:spacing w:val="22"/>
        </w:rPr>
        <w:t xml:space="preserve"> </w:t>
      </w:r>
      <w:r>
        <w:rPr>
          <w:b/>
          <w:bCs/>
          <w:spacing w:val="-11"/>
        </w:rPr>
        <w:t>关</w:t>
      </w:r>
      <w:r>
        <w:rPr>
          <w:spacing w:val="8"/>
        </w:rPr>
        <w:t xml:space="preserve"> </w:t>
      </w:r>
      <w:r>
        <w:rPr>
          <w:b/>
          <w:bCs/>
          <w:spacing w:val="-11"/>
        </w:rPr>
        <w:t>报</w:t>
      </w:r>
      <w:r>
        <w:rPr>
          <w:spacing w:val="7"/>
        </w:rPr>
        <w:t xml:space="preserve"> </w:t>
      </w:r>
      <w:r>
        <w:rPr>
          <w:b/>
          <w:bCs/>
          <w:spacing w:val="-11"/>
        </w:rPr>
        <w:t>告</w:t>
      </w:r>
    </w:p>
    <w:p>
      <w:pPr>
        <w:pStyle w:val="BodyText"/>
        <w:spacing w:before="48" w:line="214" w:lineRule="auto"/>
        <w:ind w:left="129" w:right="375" w:hanging="14"/>
        <w:jc w:val="both"/>
        <w:rPr>
          <w:rFonts w:ascii="SimSun" w:eastAsia="SimSun" w:hAnsi="SimSun" w:cs="SimSun"/>
        </w:rPr>
      </w:pPr>
      <w:r>
        <w:rPr>
          <w:spacing w:val="-11"/>
        </w:rPr>
        <w:t>《基础化工行业月报：化工品价格有所回</w:t>
      </w:r>
      <w:r>
        <w:rPr>
          <w:spacing w:val="11"/>
        </w:rPr>
        <w:t xml:space="preserve"> </w:t>
      </w:r>
      <w:r>
        <w:rPr>
          <w:spacing w:val="-10"/>
        </w:rPr>
        <w:t>暖，关注煤化工、轻烃化工与轮胎行业》</w:t>
      </w:r>
      <w:r>
        <w:rPr>
          <w:spacing w:val="3"/>
        </w:rPr>
        <w:t xml:space="preserve"> </w:t>
      </w:r>
      <w:r>
        <w:rPr>
          <w:rFonts w:ascii="SimSun" w:eastAsia="SimSun" w:hAnsi="SimSun" w:cs="SimSun"/>
          <w:spacing w:val="-2"/>
        </w:rPr>
        <w:t>2024-02-08</w:t>
      </w:r>
    </w:p>
    <w:p>
      <w:pPr>
        <w:pStyle w:val="BodyText"/>
        <w:spacing w:before="2" w:line="216" w:lineRule="auto"/>
        <w:ind w:left="129" w:right="210" w:hanging="14"/>
      </w:pPr>
      <w:r>
        <w:rPr>
          <w:spacing w:val="-11"/>
        </w:rPr>
        <w:t>《基础化工行业月报：化工品价格回调态势</w:t>
      </w:r>
      <w:r>
        <w:rPr>
          <w:spacing w:val="2"/>
        </w:rPr>
        <w:t xml:space="preserve"> </w:t>
      </w:r>
      <w:r>
        <w:rPr>
          <w:spacing w:val="-5"/>
        </w:rPr>
        <w:t>放缓，继续关注三条主线》2024-01-16</w:t>
      </w:r>
    </w:p>
    <w:p>
      <w:pPr>
        <w:pStyle w:val="BodyText"/>
        <w:spacing w:before="3" w:line="225" w:lineRule="auto"/>
        <w:ind w:left="129" w:right="210" w:hanging="14"/>
        <w:rPr>
          <w:rFonts w:ascii="SimSun" w:eastAsia="SimSun" w:hAnsi="SimSun" w:cs="SimSun"/>
        </w:rPr>
      </w:pPr>
      <w:r>
        <w:rPr>
          <w:spacing w:val="-11"/>
        </w:rPr>
        <w:t>《基础化工行业月报：化工产品价格延续弱</w:t>
      </w:r>
      <w:r>
        <w:rPr>
          <w:spacing w:val="2"/>
        </w:rPr>
        <w:t xml:space="preserve"> </w:t>
      </w:r>
      <w:r>
        <w:rPr>
          <w:spacing w:val="-8"/>
        </w:rPr>
        <w:t>势，围绕供给与需求关注三条主线》2023-</w:t>
      </w:r>
      <w:r>
        <w:t xml:space="preserve"> </w:t>
      </w:r>
      <w:r>
        <w:rPr>
          <w:rFonts w:ascii="SimSun" w:eastAsia="SimSun" w:hAnsi="SimSun" w:cs="SimSun"/>
          <w:spacing w:val="-5"/>
        </w:rPr>
        <w:t>12-08</w:t>
      </w:r>
    </w:p>
    <w:p>
      <w:pPr>
        <w:pStyle w:val="BodyText"/>
        <w:spacing w:before="229" w:line="223" w:lineRule="auto"/>
        <w:ind w:left="132"/>
      </w:pPr>
      <w:r>
        <w:rPr>
          <w:b/>
          <w:bCs/>
          <w:spacing w:val="-13"/>
        </w:rPr>
        <w:t>联系人：马嵌琦</w:t>
      </w:r>
    </w:p>
    <w:p>
      <w:pPr>
        <w:pStyle w:val="BodyText"/>
        <w:spacing w:before="33" w:line="237" w:lineRule="auto"/>
        <w:ind w:left="133"/>
      </w:pPr>
      <w:r>
        <w:rPr>
          <w:b/>
          <w:bCs/>
          <w:spacing w:val="-7"/>
        </w:rPr>
        <w:t>电话：</w:t>
      </w:r>
      <w:r>
        <w:rPr>
          <w:spacing w:val="33"/>
        </w:rPr>
        <w:t xml:space="preserve">  </w:t>
      </w:r>
      <w:r>
        <w:rPr>
          <w:spacing w:val="-7"/>
        </w:rPr>
        <w:t>021-50586973</w:t>
      </w:r>
    </w:p>
    <w:p>
      <w:pPr>
        <w:pStyle w:val="BodyText"/>
        <w:spacing w:before="26" w:line="194" w:lineRule="auto"/>
        <w:ind w:left="960" w:right="265" w:hanging="827"/>
      </w:pPr>
      <w:r>
        <w:rPr>
          <w:b/>
          <w:bCs/>
          <w:spacing w:val="-8"/>
          <w:position w:val="3"/>
        </w:rPr>
        <w:t>地址：</w:t>
      </w:r>
      <w:r>
        <w:rPr>
          <w:spacing w:val="-8"/>
          <w:position w:val="3"/>
        </w:rPr>
        <w:t xml:space="preserve">   </w:t>
      </w:r>
      <w:r>
        <w:rPr>
          <w:spacing w:val="-8"/>
        </w:rPr>
        <w:t>上海浦东新区世纪大道1788号16</w:t>
      </w:r>
      <w:r>
        <w:rPr>
          <w:spacing w:val="3"/>
        </w:rPr>
        <w:t xml:space="preserve"> </w:t>
      </w:r>
      <w:r>
        <w:t>楼</w:t>
      </w:r>
    </w:p>
    <w:p>
      <w:pPr>
        <w:pStyle w:val="BodyText"/>
        <w:spacing w:before="1" w:line="218" w:lineRule="auto"/>
        <w:ind w:left="132"/>
      </w:pPr>
      <w:r>
        <w:rPr>
          <w:b/>
          <w:bCs/>
          <w:spacing w:val="-17"/>
        </w:rPr>
        <w:t>邮编：</w:t>
      </w:r>
      <w:r>
        <w:rPr>
          <w:spacing w:val="18"/>
        </w:rPr>
        <w:t xml:space="preserve">  </w:t>
      </w:r>
      <w:r>
        <w:rPr>
          <w:spacing w:val="-17"/>
        </w:rPr>
        <w:t>200122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56" w:line="209" w:lineRule="auto"/>
        <w:ind w:left="3264" w:right="278" w:hanging="2889"/>
        <w:rPr>
          <w:sz w:val="36"/>
          <w:szCs w:val="36"/>
        </w:rPr>
      </w:pPr>
      <w:r>
        <w:rPr>
          <w:b/>
          <w:bCs/>
          <w:spacing w:val="-6"/>
          <w:sz w:val="36"/>
          <w:szCs w:val="36"/>
        </w:rPr>
        <w:t>化工品价格持续回暖，关注煤化工、轻</w:t>
      </w:r>
      <w:r>
        <w:rPr>
          <w:spacing w:val="3"/>
          <w:sz w:val="36"/>
          <w:szCs w:val="36"/>
        </w:rPr>
        <w:t xml:space="preserve"> </w:t>
      </w:r>
      <w:r>
        <w:rPr>
          <w:b/>
          <w:bCs/>
          <w:spacing w:val="-7"/>
          <w:sz w:val="36"/>
          <w:szCs w:val="36"/>
        </w:rPr>
        <w:t>烃化工与磷化工行业</w:t>
      </w:r>
    </w:p>
    <w:p>
      <w:pPr>
        <w:pStyle w:val="BodyText"/>
        <w:spacing w:before="123" w:line="226" w:lineRule="auto"/>
        <w:ind w:left="3663"/>
        <w:rPr>
          <w:sz w:val="30"/>
          <w:szCs w:val="30"/>
        </w:rPr>
      </w:pPr>
      <w:r>
        <w:rPr>
          <w:b/>
          <w:bCs/>
          <w:spacing w:val="-17"/>
          <w:w w:val="97"/>
          <w:sz w:val="30"/>
          <w:szCs w:val="30"/>
        </w:rPr>
        <w:t>——基础化工行业月报</w:t>
      </w:r>
    </w:p>
    <w:p>
      <w:pPr>
        <w:pStyle w:val="BodyText"/>
        <w:spacing w:before="218" w:line="223" w:lineRule="auto"/>
        <w:ind w:left="4394"/>
        <w:rPr>
          <w:sz w:val="30"/>
          <w:szCs w:val="30"/>
        </w:rPr>
      </w:pPr>
      <w:r>
        <w:rPr>
          <w:b/>
          <w:bCs/>
          <w:spacing w:val="2"/>
          <w:sz w:val="30"/>
          <w:szCs w:val="30"/>
        </w:rPr>
        <w:t>同步大市(维持)</w:t>
      </w:r>
    </w:p>
    <w:p>
      <w:pPr>
        <w:pStyle w:val="BodyText"/>
        <w:spacing w:before="61" w:line="224" w:lineRule="auto"/>
        <w:ind w:left="4059"/>
        <w:rPr>
          <w:sz w:val="17"/>
          <w:szCs w:val="17"/>
        </w:rPr>
      </w:pPr>
      <w:r>
        <w:rPr>
          <w:spacing w:val="24"/>
          <w:sz w:val="17"/>
          <w:szCs w:val="17"/>
        </w:rPr>
        <w:t>发布日期：2024年03月07日</w:t>
      </w:r>
    </w:p>
    <w:p>
      <w:pPr>
        <w:pStyle w:val="BodyText"/>
        <w:spacing w:before="43" w:line="226" w:lineRule="auto"/>
        <w:ind w:left="73"/>
      </w:pPr>
      <w:r>
        <w:rPr>
          <w:b/>
          <w:bCs/>
          <w:spacing w:val="11"/>
        </w:rPr>
        <w:t>投资要点：</w:t>
      </w:r>
    </w:p>
    <w:p>
      <w:pPr>
        <w:pStyle w:val="BodyText"/>
        <w:spacing w:before="192" w:line="236" w:lineRule="auto"/>
        <w:ind w:left="70" w:right="301"/>
      </w:pPr>
      <w:r>
        <w:rPr>
          <w:spacing w:val="15"/>
        </w:rPr>
        <w:t>2024年2月份中信基础化工行业指数上涨9.90%,在30个中信一级</w:t>
      </w:r>
      <w:r>
        <w:rPr>
          <w:spacing w:val="2"/>
        </w:rPr>
        <w:t xml:space="preserve">  </w:t>
      </w:r>
      <w:r>
        <w:rPr>
          <w:spacing w:val="3"/>
        </w:rPr>
        <w:t>行业中排名第11位。子行业中，氟化工、电子化学品和</w:t>
      </w:r>
      <w:r>
        <w:rPr>
          <w:spacing w:val="2"/>
        </w:rPr>
        <w:t>轮胎行业表现</w:t>
      </w:r>
      <w:r>
        <w:t xml:space="preserve"> </w:t>
      </w:r>
      <w:r>
        <w:t>相对较好。主要产品中，2月份化工品价格继续呈现回暖态势，涨跌</w:t>
      </w:r>
      <w:r>
        <w:t xml:space="preserve">  </w:t>
      </w:r>
      <w:r>
        <w:t>比继续改善。上涨品种中，四氯乙烯、炭黑、丁二烯、硫酸和碳酸锂</w:t>
      </w:r>
      <w:r>
        <w:rPr>
          <w:spacing w:val="1"/>
        </w:rPr>
        <w:t xml:space="preserve">  </w:t>
      </w:r>
      <w:r>
        <w:rPr>
          <w:spacing w:val="1"/>
        </w:rPr>
        <w:t>涨幅居前。3月份的投资策略，建议关注煤化工、轻烃化工和磷化工</w:t>
      </w:r>
      <w:r>
        <w:rPr>
          <w:spacing w:val="7"/>
        </w:rPr>
        <w:t xml:space="preserve">  </w:t>
      </w:r>
      <w:r>
        <w:rPr>
          <w:spacing w:val="-9"/>
        </w:rPr>
        <w:t>行业。</w:t>
      </w:r>
    </w:p>
    <w:p>
      <w:pPr>
        <w:pStyle w:val="BodyText"/>
        <w:spacing w:before="166" w:line="233" w:lineRule="auto"/>
        <w:ind w:left="370" w:right="394" w:hanging="370"/>
      </w:pPr>
      <w:r>
        <w:rPr>
          <w:spacing w:val="1"/>
        </w:rPr>
        <w:t>●</w:t>
      </w:r>
      <w:r>
        <w:rPr>
          <w:spacing w:val="1"/>
        </w:rPr>
        <w:t xml:space="preserve">  </w:t>
      </w:r>
      <w:r>
        <w:rPr>
          <w:b/>
          <w:bCs/>
          <w:spacing w:val="1"/>
        </w:rPr>
        <w:t>市场回顾：</w:t>
      </w:r>
      <w:r>
        <w:rPr>
          <w:spacing w:val="1"/>
        </w:rPr>
        <w:t xml:space="preserve"> </w:t>
      </w:r>
      <w:r>
        <w:rPr>
          <w:spacing w:val="1"/>
        </w:rPr>
        <w:t>根据</w:t>
      </w:r>
      <w:r>
        <w:rPr>
          <w:spacing w:val="-31"/>
        </w:rPr>
        <w:t xml:space="preserve"> </w:t>
      </w:r>
      <w:r>
        <w:rPr>
          <w:rFonts w:ascii="SimSun" w:eastAsia="SimSun" w:hAnsi="SimSun" w:cs="SimSun"/>
        </w:rPr>
        <w:t>wind</w:t>
      </w:r>
      <w:r>
        <w:rPr>
          <w:rFonts w:ascii="SimSun" w:eastAsia="SimSun" w:hAnsi="SimSun" w:cs="SimSun"/>
          <w:spacing w:val="-44"/>
        </w:rPr>
        <w:t xml:space="preserve"> </w:t>
      </w:r>
      <w:r>
        <w:rPr>
          <w:spacing w:val="1"/>
        </w:rPr>
        <w:t>数据，2024年2月份中信基础化工行业指</w:t>
      </w:r>
      <w:r>
        <w:t xml:space="preserve">  </w:t>
      </w:r>
      <w:r>
        <w:rPr>
          <w:spacing w:val="11"/>
        </w:rPr>
        <w:t>数上涨9.90%,跑赢上证综指1.77</w:t>
      </w:r>
      <w:r>
        <w:rPr>
          <w:spacing w:val="10"/>
        </w:rPr>
        <w:t>个百分点，跑赢沪深300</w:t>
      </w:r>
      <w:r>
        <w:rPr>
          <w:spacing w:val="-25"/>
        </w:rPr>
        <w:t xml:space="preserve"> </w:t>
      </w:r>
      <w:r>
        <w:rPr>
          <w:spacing w:val="10"/>
        </w:rPr>
        <w:t>指数</w:t>
      </w:r>
      <w:r>
        <w:t xml:space="preserve"> </w:t>
      </w:r>
      <w:r>
        <w:rPr>
          <w:spacing w:val="7"/>
        </w:rPr>
        <w:t>0.55个百分点，行业整体表现在30个中信一级行业中排名第11</w:t>
      </w:r>
      <w:r>
        <w:rPr>
          <w:spacing w:val="7"/>
        </w:rPr>
        <w:t xml:space="preserve">  </w:t>
      </w:r>
      <w:r>
        <w:rPr>
          <w:spacing w:val="7"/>
        </w:rPr>
        <w:t>位。近一年来，中信基础化工指数下跌31.01%,跑输上证综指</w:t>
      </w:r>
    </w:p>
    <w:p>
      <w:pPr>
        <w:pStyle w:val="BodyText"/>
        <w:spacing w:before="20" w:line="236" w:lineRule="auto"/>
        <w:ind w:left="370" w:right="470"/>
      </w:pPr>
      <w:r>
        <w:rPr>
          <w:spacing w:val="10"/>
        </w:rPr>
        <w:t>22.95个百分点，跑输沪深300指数17.41个百分点，表现在30</w:t>
      </w:r>
      <w:r>
        <w:rPr>
          <w:spacing w:val="13"/>
        </w:rPr>
        <w:t xml:space="preserve"> </w:t>
      </w:r>
      <w:r>
        <w:rPr>
          <w:spacing w:val="5"/>
        </w:rPr>
        <w:t>个中信一级行业中排名第28位。</w:t>
      </w:r>
    </w:p>
    <w:p>
      <w:pPr>
        <w:pStyle w:val="BodyText"/>
        <w:spacing w:before="163" w:line="233" w:lineRule="auto"/>
        <w:ind w:left="370" w:right="498" w:firstLine="3"/>
      </w:pPr>
      <w:r>
        <w:rPr>
          <w:b/>
          <w:bCs/>
          <w:spacing w:val="7"/>
        </w:rPr>
        <w:t>子行业及个股行情回顾：</w:t>
      </w:r>
      <w:r>
        <w:rPr>
          <w:spacing w:val="7"/>
        </w:rPr>
        <w:t>根据</w:t>
      </w:r>
      <w:r>
        <w:rPr>
          <w:spacing w:val="-51"/>
        </w:rPr>
        <w:t xml:space="preserve"> </w:t>
      </w:r>
      <w:r>
        <w:rPr>
          <w:rFonts w:ascii="SimSun" w:eastAsia="SimSun" w:hAnsi="SimSun" w:cs="SimSun"/>
        </w:rPr>
        <w:t>wind</w:t>
      </w:r>
      <w:r>
        <w:rPr>
          <w:rFonts w:ascii="SimSun" w:eastAsia="SimSun" w:hAnsi="SimSun" w:cs="SimSun"/>
          <w:spacing w:val="-55"/>
        </w:rPr>
        <w:t xml:space="preserve"> </w:t>
      </w:r>
      <w:r>
        <w:rPr>
          <w:spacing w:val="7"/>
        </w:rPr>
        <w:t>数据，2024年2月，3</w:t>
      </w:r>
      <w:r>
        <w:rPr>
          <w:spacing w:val="6"/>
        </w:rPr>
        <w:t>3个中</w:t>
      </w:r>
      <w:r>
        <w:t xml:space="preserve"> </w:t>
      </w:r>
      <w:r>
        <w:rPr>
          <w:spacing w:val="3"/>
        </w:rPr>
        <w:t>信三级子行业中，32个子行业上涨，1个子行业下跌。其中氟化</w:t>
      </w:r>
    </w:p>
    <w:p>
      <w:pPr>
        <w:pStyle w:val="BodyText"/>
        <w:spacing w:before="30" w:line="220" w:lineRule="auto"/>
        <w:ind w:left="370"/>
      </w:pPr>
      <w:r>
        <w:rPr>
          <w:spacing w:val="3"/>
        </w:rPr>
        <w:t>工、电子化学品和轮胎行业涨幅居前，分别上涨22.05%、</w:t>
      </w:r>
    </w:p>
    <w:p>
      <w:pPr>
        <w:pStyle w:val="BodyText"/>
        <w:spacing w:before="20" w:line="220" w:lineRule="auto"/>
        <w:ind w:left="370"/>
      </w:pPr>
      <w:r>
        <w:rPr>
          <w:spacing w:val="7"/>
        </w:rPr>
        <w:t>16.88%和14.61%,锦纶、粘胶和涂料油墨颜料行业表现居后，</w:t>
      </w:r>
    </w:p>
    <w:p>
      <w:pPr>
        <w:pStyle w:val="BodyText"/>
        <w:spacing w:before="21" w:line="235" w:lineRule="auto"/>
        <w:ind w:left="370" w:right="449"/>
      </w:pPr>
      <w:r>
        <w:rPr>
          <w:spacing w:val="13"/>
        </w:rPr>
        <w:t>分别下跌0.34%和上涨1.79%、2.02%。2024年2月，基础化工</w:t>
      </w:r>
      <w:r>
        <w:rPr>
          <w:spacing w:val="11"/>
        </w:rPr>
        <w:t xml:space="preserve"> </w:t>
      </w:r>
      <w:r>
        <w:rPr>
          <w:spacing w:val="10"/>
        </w:rPr>
        <w:t>板块506只个股中，共有315支股票上涨，189支下跌。其中安</w:t>
      </w:r>
      <w:r>
        <w:rPr>
          <w:spacing w:val="12"/>
        </w:rPr>
        <w:t xml:space="preserve"> </w:t>
      </w:r>
      <w:r>
        <w:t>诺其、三美股份、华西股份、凯大催化和容大感光</w:t>
      </w:r>
      <w:r>
        <w:rPr>
          <w:spacing w:val="-1"/>
        </w:rPr>
        <w:t>位居涨幅榜前</w:t>
      </w:r>
      <w:r>
        <w:t xml:space="preserve"> </w:t>
      </w:r>
      <w:r>
        <w:rPr>
          <w:spacing w:val="10"/>
        </w:rPr>
        <w:t>五，涨幅分别为45.14%、34.64%、32.92%、31.</w:t>
      </w:r>
      <w:r>
        <w:rPr>
          <w:spacing w:val="9"/>
        </w:rPr>
        <w:t>62%和</w:t>
      </w:r>
    </w:p>
    <w:p>
      <w:pPr>
        <w:pStyle w:val="BodyText"/>
        <w:spacing w:before="20"/>
        <w:ind w:left="370" w:right="579"/>
        <w:rPr>
          <w:rFonts w:ascii="SimSun" w:eastAsia="SimSun" w:hAnsi="SimSun" w:cs="SimSun"/>
        </w:rPr>
      </w:pPr>
      <w:r>
        <w:t>31.30%;*ST</w:t>
      </w:r>
      <w:r>
        <w:t xml:space="preserve">  </w:t>
      </w:r>
      <w:r>
        <w:t>碳元、</w:t>
      </w:r>
      <w:r>
        <w:rPr>
          <w:rFonts w:ascii="SimSun" w:eastAsia="SimSun" w:hAnsi="SimSun" w:cs="SimSun"/>
        </w:rPr>
        <w:t>ST</w:t>
      </w:r>
      <w:r>
        <w:rPr>
          <w:rFonts w:ascii="SimSun" w:eastAsia="SimSun" w:hAnsi="SimSun" w:cs="SimSun"/>
          <w:spacing w:val="34"/>
        </w:rPr>
        <w:t xml:space="preserve"> </w:t>
      </w:r>
      <w:r>
        <w:t>瑞德、奥福环保、亚太实业和润阳科技</w:t>
      </w:r>
      <w:r>
        <w:t xml:space="preserve"> </w:t>
      </w:r>
      <w:r>
        <w:rPr>
          <w:spacing w:val="9"/>
        </w:rPr>
        <w:t>跌幅居前，分别下跌20.87%、18.38%、16.12%、15.88%和</w:t>
      </w:r>
      <w:r>
        <w:rPr>
          <w:spacing w:val="9"/>
        </w:rPr>
        <w:t xml:space="preserve">  </w:t>
      </w:r>
      <w:r>
        <w:rPr>
          <w:rFonts w:ascii="SimSun" w:eastAsia="SimSun" w:hAnsi="SimSun" w:cs="SimSun"/>
          <w:spacing w:val="-6"/>
        </w:rPr>
        <w:t>15.47%。</w:t>
      </w:r>
    </w:p>
    <w:p>
      <w:pPr>
        <w:pStyle w:val="BodyText"/>
        <w:spacing w:before="151" w:line="229" w:lineRule="auto"/>
        <w:ind w:left="370" w:right="395" w:hanging="300"/>
      </w:pPr>
      <w:r>
        <w:t>●</w:t>
      </w:r>
      <w:r>
        <w:t xml:space="preserve">  </w:t>
      </w:r>
      <w:r>
        <w:rPr>
          <w:b/>
          <w:bCs/>
        </w:rPr>
        <w:t>产品价格跟踪：</w:t>
      </w:r>
      <w:r>
        <w:rPr>
          <w:spacing w:val="-23"/>
        </w:rPr>
        <w:t xml:space="preserve"> </w:t>
      </w:r>
      <w:r>
        <w:t>根据卓创资讯数据，2024年2月国际油价持续反</w:t>
      </w:r>
      <w:r>
        <w:t xml:space="preserve"> </w:t>
      </w:r>
      <w:r>
        <w:rPr>
          <w:spacing w:val="11"/>
        </w:rPr>
        <w:t>弹，其中</w:t>
      </w:r>
      <w:r>
        <w:rPr>
          <w:rFonts w:ascii="SimSun" w:eastAsia="SimSun" w:hAnsi="SimSun" w:cs="SimSun"/>
        </w:rPr>
        <w:t>WTI</w:t>
      </w:r>
      <w:r>
        <w:rPr>
          <w:rFonts w:ascii="SimSun" w:eastAsia="SimSun" w:hAnsi="SimSun" w:cs="SimSun"/>
          <w:spacing w:val="11"/>
        </w:rPr>
        <w:t xml:space="preserve"> </w:t>
      </w:r>
      <w:r>
        <w:rPr>
          <w:spacing w:val="11"/>
        </w:rPr>
        <w:t>原油上涨3.18%,报收于78</w:t>
      </w:r>
      <w:r>
        <w:rPr>
          <w:spacing w:val="10"/>
        </w:rPr>
        <w:t>.26美元/桶，布伦特</w:t>
      </w:r>
    </w:p>
    <w:p>
      <w:pPr>
        <w:pStyle w:val="BodyText"/>
        <w:spacing w:before="4" w:line="238" w:lineRule="auto"/>
        <w:ind w:left="370" w:right="455"/>
      </w:pPr>
      <w:r>
        <w:rPr>
          <w:spacing w:val="11"/>
        </w:rPr>
        <w:t>原油上涨2.34%,报收于83.62美元/桶。在卓创资讯</w:t>
      </w:r>
      <w:r>
        <w:rPr>
          <w:spacing w:val="10"/>
        </w:rPr>
        <w:t>跟踪的314</w:t>
      </w:r>
      <w:r>
        <w:t xml:space="preserve"> </w:t>
      </w:r>
      <w:r>
        <w:rPr>
          <w:spacing w:val="2"/>
        </w:rPr>
        <w:t>个产品中，161个品种上涨，上涨品种较</w:t>
      </w:r>
      <w:r>
        <w:rPr>
          <w:spacing w:val="1"/>
        </w:rPr>
        <w:t>上月继续提升，涨幅居</w:t>
      </w:r>
      <w:r>
        <w:t xml:space="preserve">  </w:t>
      </w:r>
      <w:r>
        <w:rPr>
          <w:spacing w:val="-1"/>
        </w:rPr>
        <w:t>前的分别为四氯乙烯、炭黑、丁二烯、硫酸和碳酸锂，涨幅分别</w:t>
      </w:r>
      <w:r>
        <w:rPr>
          <w:spacing w:val="15"/>
        </w:rPr>
        <w:t xml:space="preserve"> </w:t>
      </w:r>
      <w:r>
        <w:rPr>
          <w:spacing w:val="13"/>
        </w:rPr>
        <w:t>为16.54%、6.28%、15.32%、14.64%</w:t>
      </w:r>
      <w:r>
        <w:rPr>
          <w:spacing w:val="12"/>
        </w:rPr>
        <w:t>和13.71%。97个品种下</w:t>
      </w:r>
      <w:r>
        <w:t xml:space="preserve"> </w:t>
      </w:r>
      <w:r>
        <w:t>跌，下跌品种比例继续下降。跌幅居前的分别是液</w:t>
      </w:r>
      <w:r>
        <w:rPr>
          <w:spacing w:val="-1"/>
        </w:rPr>
        <w:t>氯、液化天然</w:t>
      </w:r>
      <w:r>
        <w:t xml:space="preserve"> </w:t>
      </w:r>
      <w:r>
        <w:rPr>
          <w:spacing w:val="4"/>
        </w:rPr>
        <w:t>气、氩气、气相白炭黑和纯碱，分别下跌了55.56%、21.68%、</w:t>
      </w:r>
    </w:p>
    <w:p>
      <w:pPr>
        <w:pStyle w:val="BodyText"/>
        <w:spacing w:before="30" w:line="233" w:lineRule="auto"/>
        <w:ind w:left="370" w:right="658"/>
      </w:pPr>
      <w:r>
        <w:rPr>
          <w:spacing w:val="8"/>
        </w:rPr>
        <w:t>19.40%、15.38%和11.23%。总体上看</w:t>
      </w:r>
      <w:r>
        <w:rPr>
          <w:spacing w:val="7"/>
        </w:rPr>
        <w:t>，化工产品价格继续回</w:t>
      </w:r>
      <w:r>
        <w:t xml:space="preserve"> </w:t>
      </w:r>
      <w:r>
        <w:rPr>
          <w:spacing w:val="-2"/>
        </w:rPr>
        <w:t>暖，其中制冷剂产品价格总体表现较好。</w:t>
      </w:r>
    </w:p>
    <w:p>
      <w:pPr>
        <w:pStyle w:val="BodyText"/>
        <w:spacing w:before="152" w:line="276" w:lineRule="auto"/>
        <w:ind w:left="370" w:right="304" w:hanging="370"/>
      </w:pPr>
      <w:r>
        <w:rPr>
          <w:spacing w:val="1"/>
        </w:rPr>
        <w:t>●</w:t>
      </w:r>
      <w:r>
        <w:rPr>
          <w:spacing w:val="1"/>
        </w:rPr>
        <w:t xml:space="preserve">  </w:t>
      </w:r>
      <w:r>
        <w:rPr>
          <w:b/>
          <w:bCs/>
          <w:spacing w:val="1"/>
        </w:rPr>
        <w:t>行业投资建议：</w:t>
      </w:r>
      <w:r>
        <w:rPr>
          <w:spacing w:val="1"/>
        </w:rPr>
        <w:t>维持行业“同步大市”的投资评级。2024年3月份</w:t>
      </w:r>
      <w:r>
        <w:t xml:space="preserve"> </w:t>
      </w:r>
      <w:r>
        <w:rPr>
          <w:spacing w:val="-2"/>
        </w:rPr>
        <w:t>的投资策略上，建议关注煤化工、轻烃化工和磷化工行业。</w:t>
      </w:r>
    </w:p>
    <w:p>
      <w:pPr>
        <w:pStyle w:val="BodyText"/>
        <w:spacing w:before="135" w:line="192" w:lineRule="auto"/>
        <w:ind w:left="73"/>
      </w:pPr>
      <w:r>
        <w:rPr>
          <w:b/>
          <w:bCs/>
          <w:spacing w:val="-1"/>
        </w:rPr>
        <w:t>风险提示：</w:t>
      </w:r>
      <w:r>
        <w:rPr>
          <w:spacing w:val="48"/>
        </w:rPr>
        <w:t xml:space="preserve"> </w:t>
      </w:r>
      <w:r>
        <w:rPr>
          <w:spacing w:val="-1"/>
        </w:rPr>
        <w:t>原材料价格大幅波动、行业竞争加剧、下游需求下滑</w:t>
      </w:r>
    </w:p>
    <w:p>
      <w:pPr>
        <w:spacing w:line="192" w:lineRule="auto"/>
        <w:sectPr>
          <w:type w:val="continuous"/>
          <w:pgSz w:w="11910" w:h="16840"/>
          <w:pgMar w:top="529" w:right="519" w:bottom="0" w:left="419" w:header="0" w:footer="0" w:gutter="0"/>
          <w:pgNumType w:start="2"/>
          <w:cols w:num="2" w:space="708" w:equalWidth="0">
            <w:col w:w="4111" w:space="100"/>
            <w:col w:w="6760" w:space="0"/>
          </w:cols>
        </w:sectPr>
      </w:pPr>
    </w:p>
    <w:p>
      <w:pPr>
        <w:spacing w:before="17"/>
        <w:sectPr>
          <w:type w:val="continuous"/>
          <w:pgSz w:w="11910" w:h="16840"/>
          <w:pgMar w:top="529" w:right="519" w:bottom="0" w:left="419" w:header="0" w:footer="0" w:gutter="0"/>
          <w:pgNumType w:start="3"/>
          <w:cols w:num="1" w:space="708" w:equalWidth="0">
            <w:col w:w="10971" w:space="0"/>
          </w:cols>
        </w:sectPr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pacing w:before="16"/>
      </w:pPr>
    </w:p>
    <w:p>
      <w:pPr>
        <w:sectPr>
          <w:type w:val="nextPage"/>
          <w:pgSz w:w="11910" w:h="16840"/>
          <w:pgMar w:top="529" w:right="519" w:bottom="0" w:left="419" w:header="0" w:footer="0" w:gutter="0"/>
          <w:pgNumType w:start="4"/>
          <w:cols w:num="1" w:space="708" w:equalWidth="0">
            <w:col w:w="10971" w:space="0"/>
          </w:cols>
          <w:titlePg w:val="0"/>
        </w:sectPr>
      </w:pPr>
    </w:p>
    <w:p>
      <w:pPr>
        <w:pStyle w:val="BodyText"/>
        <w:spacing w:before="44" w:line="207" w:lineRule="auto"/>
        <w:ind w:left="130"/>
        <w:rPr>
          <w:rFonts w:ascii="SimSun" w:eastAsia="SimSun" w:hAnsi="SimSun" w:cs="SimSun"/>
        </w:rPr>
      </w:pPr>
      <w:r>
        <w:rPr>
          <w:spacing w:val="-6"/>
        </w:rPr>
        <w:t>本报告版权属于中原证券股份有限公司</w:t>
      </w:r>
      <w:r>
        <w:rPr>
          <w:spacing w:val="-6"/>
        </w:rPr>
        <w:t xml:space="preserve"> </w:t>
      </w:r>
      <w:r>
        <w:rPr>
          <w:rFonts w:ascii="SimSun" w:eastAsia="SimSun" w:hAnsi="SimSun" w:cs="SimSun"/>
          <w:spacing w:val="-6"/>
        </w:rPr>
        <w:t>www.ccnew.com</w:t>
      </w:r>
    </w:p>
    <w:p>
      <w:pPr>
        <w:pStyle w:val="BodyText"/>
        <w:spacing w:before="1" w:line="195" w:lineRule="auto"/>
        <w:ind w:left="130"/>
      </w:pPr>
      <w:r>
        <w:rPr>
          <w:spacing w:val="-11"/>
        </w:rPr>
        <w:t>请阅读最后一页各项声明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82" w:line="192" w:lineRule="auto"/>
      </w:pPr>
      <w:r>
        <w:rPr>
          <w:spacing w:val="9"/>
        </w:rPr>
        <w:t>第1页/共16页</w:t>
      </w:r>
    </w:p>
    <w:p>
      <w:pPr>
        <w:spacing w:line="192" w:lineRule="auto"/>
        <w:sectPr>
          <w:type w:val="continuous"/>
          <w:pgSz w:w="11910" w:h="16840"/>
          <w:pgMar w:top="529" w:right="519" w:bottom="0" w:left="419" w:header="0" w:footer="0" w:gutter="0"/>
          <w:pgNumType w:start="5"/>
          <w:cols w:num="2" w:space="708" w:equalWidth="0">
            <w:col w:w="9181" w:space="100"/>
            <w:col w:w="1691" w:space="0"/>
          </w:cols>
        </w:sectPr>
      </w:pPr>
    </w:p>
    <w:p>
      <w:pPr>
        <w:spacing w:line="300" w:lineRule="auto"/>
        <w:rPr>
          <w:rFonts w:ascii="Arial"/>
          <w:sz w:val="21"/>
        </w:rPr>
      </w:pPr>
      <w:r>
        <w:drawing>
          <wp:anchor distT="0" distB="0" distL="0" distR="0" simplePos="0" relativeHeight="251662336" behindDoc="0" locked="0" layoutInCell="0" allowOverlap="1">
            <wp:simplePos x="0" y="0"/>
            <wp:positionH relativeFrom="page">
              <wp:posOffset>323841</wp:posOffset>
            </wp:positionH>
            <wp:positionV relativeFrom="page">
              <wp:posOffset>10064734</wp:posOffset>
            </wp:positionV>
            <wp:extent cx="6908814" cy="6416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0881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2" w:line="225" w:lineRule="auto"/>
        <w:ind w:left="2263"/>
        <w:rPr>
          <w:sz w:val="25"/>
          <w:szCs w:val="25"/>
        </w:rPr>
      </w:pPr>
      <w:r>
        <w:rPr>
          <w:b/>
          <w:bCs/>
          <w:color w:val="800000"/>
          <w:spacing w:val="19"/>
          <w:sz w:val="25"/>
          <w:szCs w:val="25"/>
        </w:rPr>
        <w:t>内容目录</w:t>
      </w:r>
    </w:p>
    <w:sdt>
      <w:sdtPr>
        <w:rPr>
          <w:rFonts w:ascii="Times New Roman" w:eastAsia="Times New Roman" w:hAnsi="Times New Roman" w:cs="Times New Roman"/>
          <w:sz w:val="20"/>
          <w:szCs w:val="20"/>
        </w:rPr>
        <w:id w:val="186738350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tabs>
              <w:tab w:val="right" w:leader="dot" w:pos="10765"/>
            </w:tabs>
            <w:spacing w:before="75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13"/>
              <w:sz w:val="20"/>
              <w:szCs w:val="20"/>
            </w:rPr>
            <w:t>1.</w:t>
          </w:r>
          <w:r>
            <w:rPr>
              <w:rFonts w:ascii="Times New Roman" w:eastAsia="Times New Roman" w:hAnsi="Times New Roman" w:cs="Times New Roman"/>
              <w:b/>
              <w:bCs/>
              <w:spacing w:val="13"/>
              <w:sz w:val="20"/>
              <w:szCs w:val="20"/>
            </w:rPr>
            <w:t xml:space="preserve">   </w:t>
          </w:r>
          <w:r>
            <w:rPr>
              <w:b/>
              <w:bCs/>
              <w:spacing w:val="-13"/>
              <w:sz w:val="20"/>
              <w:szCs w:val="20"/>
            </w:rPr>
            <w:t>市</w:t>
          </w:r>
          <w:r>
            <w:rPr>
              <w:spacing w:val="-28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场</w:t>
          </w:r>
          <w:r>
            <w:rPr>
              <w:spacing w:val="-20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回</w:t>
          </w:r>
          <w:r>
            <w:rPr>
              <w:spacing w:val="-39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顾</w:t>
          </w:r>
          <w:r>
            <w:rPr>
              <w:b/>
              <w:bCs/>
              <w:sz w:val="20"/>
              <w:szCs w:val="20"/>
            </w:rPr>
            <w:tab/>
          </w:r>
          <w:hyperlink w:anchor="bookmark1" w:history="1"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</w:t>
            </w:r>
          </w:hyperlink>
        </w:p>
        <w:p>
          <w:pPr>
            <w:pStyle w:val="BodyText"/>
            <w:tabs>
              <w:tab w:val="right" w:leader="dot" w:pos="10770"/>
            </w:tabs>
            <w:spacing w:before="7" w:line="227" w:lineRule="auto"/>
            <w:ind w:left="26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-3"/>
              <w:sz w:val="20"/>
              <w:szCs w:val="20"/>
            </w:rPr>
            <w:t>1.1.</w:t>
          </w:r>
          <w:r>
            <w:rPr>
              <w:rFonts w:ascii="Times New Roman" w:eastAsia="Times New Roman" w:hAnsi="Times New Roman" w:cs="Times New Roman"/>
              <w:spacing w:val="12"/>
              <w:sz w:val="20"/>
              <w:szCs w:val="20"/>
            </w:rPr>
            <w:t xml:space="preserve">  </w:t>
          </w:r>
          <w:r>
            <w:rPr>
              <w:spacing w:val="-3"/>
              <w:sz w:val="20"/>
              <w:szCs w:val="20"/>
            </w:rPr>
            <w:t>板块行情回顾</w:t>
          </w:r>
          <w:r>
            <w:rPr>
              <w:spacing w:val="-76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47"/>
              <w:sz w:val="20"/>
              <w:szCs w:val="20"/>
            </w:rPr>
            <w:t xml:space="preserve"> </w:t>
          </w:r>
          <w:hyperlink w:anchor="bookmark2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hyperlink>
        </w:p>
        <w:p>
          <w:pPr>
            <w:pStyle w:val="BodyText"/>
            <w:tabs>
              <w:tab w:val="right" w:leader="dot" w:pos="10750"/>
            </w:tabs>
            <w:spacing w:before="32" w:line="224" w:lineRule="auto"/>
            <w:ind w:left="26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-2"/>
              <w:sz w:val="20"/>
              <w:szCs w:val="20"/>
            </w:rPr>
            <w:t xml:space="preserve">1.2.  </w:t>
          </w:r>
          <w:r>
            <w:rPr>
              <w:spacing w:val="-2"/>
              <w:sz w:val="20"/>
              <w:szCs w:val="20"/>
            </w:rPr>
            <w:t>子行业及个股行情回顾</w:t>
          </w:r>
          <w:r>
            <w:rPr>
              <w:spacing w:val="-59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57"/>
              <w:sz w:val="20"/>
              <w:szCs w:val="20"/>
            </w:rPr>
            <w:t xml:space="preserve"> </w:t>
          </w:r>
          <w:hyperlink w:anchor="bookmark3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37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13"/>
              <w:sz w:val="20"/>
              <w:szCs w:val="20"/>
            </w:rPr>
            <w:t xml:space="preserve">2.   </w:t>
          </w:r>
          <w:r>
            <w:rPr>
              <w:b/>
              <w:bCs/>
              <w:spacing w:val="-13"/>
              <w:sz w:val="20"/>
              <w:szCs w:val="20"/>
            </w:rPr>
            <w:t>行</w:t>
          </w:r>
          <w:r>
            <w:rPr>
              <w:spacing w:val="-30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业</w:t>
          </w:r>
          <w:r>
            <w:rPr>
              <w:spacing w:val="-34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与</w:t>
          </w:r>
          <w:r>
            <w:rPr>
              <w:spacing w:val="-51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公</w:t>
          </w:r>
          <w:r>
            <w:rPr>
              <w:spacing w:val="-13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司</w:t>
          </w:r>
          <w:r>
            <w:rPr>
              <w:spacing w:val="-42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要</w:t>
          </w:r>
          <w:r>
            <w:rPr>
              <w:spacing w:val="-27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闻</w:t>
          </w:r>
          <w:r>
            <w:rPr>
              <w:spacing w:val="-29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回</w:t>
          </w:r>
          <w:r>
            <w:rPr>
              <w:spacing w:val="-48"/>
              <w:sz w:val="20"/>
              <w:szCs w:val="20"/>
            </w:rPr>
            <w:t xml:space="preserve"> </w:t>
          </w:r>
          <w:r>
            <w:rPr>
              <w:b/>
              <w:bCs/>
              <w:spacing w:val="-13"/>
              <w:sz w:val="20"/>
              <w:szCs w:val="20"/>
            </w:rPr>
            <w:t>顾</w:t>
          </w:r>
          <w:r>
            <w:rPr>
              <w:spacing w:val="-7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hyperlink>
        </w:p>
        <w:p>
          <w:pPr>
            <w:pStyle w:val="BodyText"/>
            <w:tabs>
              <w:tab w:val="right" w:leader="dot" w:pos="10685"/>
            </w:tabs>
            <w:spacing w:before="89" w:line="223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7"/>
              <w:sz w:val="20"/>
              <w:szCs w:val="20"/>
            </w:rPr>
            <w:t>3.</w:t>
          </w:r>
          <w:r>
            <w:rPr>
              <w:rFonts w:ascii="Times New Roman" w:eastAsia="Times New Roman" w:hAnsi="Times New Roman" w:cs="Times New Roman"/>
              <w:b/>
              <w:bCs/>
              <w:spacing w:val="8"/>
              <w:sz w:val="20"/>
              <w:szCs w:val="20"/>
            </w:rPr>
            <w:t xml:space="preserve">  </w:t>
          </w:r>
          <w:r>
            <w:rPr>
              <w:b/>
              <w:bCs/>
              <w:spacing w:val="-7"/>
              <w:sz w:val="20"/>
              <w:szCs w:val="20"/>
            </w:rPr>
            <w:t>产</w:t>
          </w:r>
          <w:r>
            <w:rPr>
              <w:spacing w:val="-29"/>
              <w:sz w:val="20"/>
              <w:szCs w:val="20"/>
            </w:rPr>
            <w:t xml:space="preserve"> </w:t>
          </w:r>
          <w:r>
            <w:rPr>
              <w:b/>
              <w:bCs/>
              <w:spacing w:val="-7"/>
              <w:sz w:val="20"/>
              <w:szCs w:val="20"/>
            </w:rPr>
            <w:t>品</w:t>
          </w:r>
          <w:r>
            <w:rPr>
              <w:spacing w:val="-44"/>
              <w:sz w:val="20"/>
              <w:szCs w:val="20"/>
            </w:rPr>
            <w:t xml:space="preserve"> </w:t>
          </w:r>
          <w:r>
            <w:rPr>
              <w:b/>
              <w:bCs/>
              <w:spacing w:val="-7"/>
              <w:sz w:val="20"/>
              <w:szCs w:val="20"/>
            </w:rPr>
            <w:t>价</w:t>
          </w:r>
          <w:r>
            <w:rPr>
              <w:spacing w:val="-45"/>
              <w:sz w:val="20"/>
              <w:szCs w:val="20"/>
            </w:rPr>
            <w:t xml:space="preserve"> </w:t>
          </w:r>
          <w:r>
            <w:rPr>
              <w:b/>
              <w:bCs/>
              <w:spacing w:val="-7"/>
              <w:sz w:val="20"/>
              <w:szCs w:val="20"/>
            </w:rPr>
            <w:t>格</w:t>
          </w:r>
          <w:r>
            <w:rPr>
              <w:spacing w:val="-44"/>
              <w:sz w:val="20"/>
              <w:szCs w:val="20"/>
            </w:rPr>
            <w:t xml:space="preserve"> </w:t>
          </w:r>
          <w:r>
            <w:rPr>
              <w:b/>
              <w:bCs/>
              <w:spacing w:val="-7"/>
              <w:sz w:val="20"/>
              <w:szCs w:val="20"/>
            </w:rPr>
            <w:t>跟</w:t>
          </w:r>
          <w:r>
            <w:rPr>
              <w:spacing w:val="-42"/>
              <w:sz w:val="20"/>
              <w:szCs w:val="20"/>
            </w:rPr>
            <w:t xml:space="preserve"> </w:t>
          </w:r>
          <w:r>
            <w:rPr>
              <w:b/>
              <w:bCs/>
              <w:spacing w:val="-7"/>
              <w:sz w:val="20"/>
              <w:szCs w:val="20"/>
            </w:rPr>
            <w:t>踪</w:t>
          </w:r>
          <w:r>
            <w:rPr>
              <w:spacing w:val="-80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735"/>
            </w:tabs>
            <w:spacing w:before="1" w:line="223" w:lineRule="auto"/>
            <w:ind w:left="26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-1"/>
              <w:sz w:val="20"/>
              <w:szCs w:val="20"/>
            </w:rPr>
            <w:t>3.1.</w:t>
          </w:r>
          <w:r>
            <w:rPr>
              <w:rFonts w:ascii="Times New Roman" w:eastAsia="Times New Roman" w:hAnsi="Times New Roman" w:cs="Times New Roman"/>
              <w:spacing w:val="48"/>
              <w:sz w:val="20"/>
              <w:szCs w:val="20"/>
            </w:rPr>
            <w:t xml:space="preserve"> </w:t>
          </w:r>
          <w:r>
            <w:rPr>
              <w:spacing w:val="-1"/>
              <w:sz w:val="20"/>
              <w:szCs w:val="20"/>
            </w:rPr>
            <w:t>产品价格涨跌幅排名</w:t>
          </w:r>
          <w:r>
            <w:rPr>
              <w:spacing w:val="-76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10</w:t>
            </w:r>
          </w:hyperlink>
        </w:p>
        <w:p>
          <w:pPr>
            <w:pStyle w:val="BodyText"/>
            <w:tabs>
              <w:tab w:val="right" w:leader="dot" w:pos="10775"/>
            </w:tabs>
            <w:spacing w:before="18" w:line="223" w:lineRule="auto"/>
            <w:ind w:left="262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spacing w:val="-2"/>
              <w:sz w:val="20"/>
              <w:szCs w:val="20"/>
            </w:rPr>
            <w:t>3.2.</w:t>
          </w:r>
          <w:r>
            <w:rPr>
              <w:rFonts w:ascii="Times New Roman" w:eastAsia="Times New Roman" w:hAnsi="Times New Roman" w:cs="Times New Roman"/>
              <w:spacing w:val="49"/>
              <w:w w:val="101"/>
              <w:sz w:val="20"/>
              <w:szCs w:val="20"/>
            </w:rPr>
            <w:t xml:space="preserve"> </w:t>
          </w:r>
          <w:r>
            <w:rPr>
              <w:spacing w:val="-2"/>
              <w:sz w:val="20"/>
              <w:szCs w:val="20"/>
            </w:rPr>
            <w:t>重点产品价格走势</w:t>
          </w:r>
          <w:r>
            <w:rPr>
              <w:spacing w:val="4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27"/>
              <w:sz w:val="20"/>
              <w:szCs w:val="20"/>
            </w:rPr>
            <w:t xml:space="preserve"> </w:t>
          </w:r>
          <w:hyperlink w:anchor="bookmark7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675"/>
            </w:tabs>
            <w:spacing w:before="85" w:line="223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10"/>
              <w:sz w:val="20"/>
              <w:szCs w:val="20"/>
            </w:rPr>
            <w:t xml:space="preserve">4.  </w:t>
          </w:r>
          <w:r>
            <w:rPr>
              <w:b/>
              <w:bCs/>
              <w:spacing w:val="-10"/>
              <w:sz w:val="20"/>
              <w:szCs w:val="20"/>
            </w:rPr>
            <w:t>行</w:t>
          </w:r>
          <w:r>
            <w:rPr>
              <w:spacing w:val="-28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业</w:t>
          </w:r>
          <w:r>
            <w:rPr>
              <w:spacing w:val="-39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评</w:t>
          </w:r>
          <w:r>
            <w:rPr>
              <w:spacing w:val="-34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级</w:t>
          </w:r>
          <w:r>
            <w:rPr>
              <w:spacing w:val="-41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及</w:t>
          </w:r>
          <w:r>
            <w:rPr>
              <w:spacing w:val="-39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投</w:t>
          </w:r>
          <w:r>
            <w:rPr>
              <w:spacing w:val="-33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资</w:t>
          </w:r>
          <w:r>
            <w:rPr>
              <w:spacing w:val="-45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观</w:t>
          </w:r>
          <w:r>
            <w:rPr>
              <w:spacing w:val="-28"/>
              <w:sz w:val="20"/>
              <w:szCs w:val="20"/>
            </w:rPr>
            <w:t xml:space="preserve"> </w:t>
          </w:r>
          <w:r>
            <w:rPr>
              <w:b/>
              <w:bCs/>
              <w:spacing w:val="-10"/>
              <w:sz w:val="20"/>
              <w:szCs w:val="20"/>
            </w:rPr>
            <w:t>点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48"/>
              <w:sz w:val="20"/>
              <w:szCs w:val="20"/>
            </w:rPr>
            <w:t xml:space="preserve"> </w:t>
          </w:r>
          <w:hyperlink w:anchor="bookmark8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695"/>
            </w:tabs>
            <w:spacing w:before="67" w:line="230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b/>
              <w:bCs/>
              <w:spacing w:val="-9"/>
              <w:sz w:val="20"/>
              <w:szCs w:val="20"/>
            </w:rPr>
            <w:t>5.</w:t>
          </w:r>
          <w:r>
            <w:rPr>
              <w:rFonts w:ascii="Times New Roman" w:eastAsia="Times New Roman" w:hAnsi="Times New Roman" w:cs="Times New Roman"/>
              <w:b/>
              <w:bCs/>
              <w:spacing w:val="10"/>
              <w:sz w:val="20"/>
              <w:szCs w:val="20"/>
            </w:rPr>
            <w:t xml:space="preserve">  </w:t>
          </w:r>
          <w:r>
            <w:rPr>
              <w:b/>
              <w:bCs/>
              <w:spacing w:val="-9"/>
              <w:sz w:val="20"/>
              <w:szCs w:val="20"/>
            </w:rPr>
            <w:t>风</w:t>
          </w:r>
          <w:r>
            <w:rPr>
              <w:spacing w:val="5"/>
              <w:sz w:val="20"/>
              <w:szCs w:val="20"/>
            </w:rPr>
            <w:t xml:space="preserve"> </w:t>
          </w:r>
          <w:r>
            <w:rPr>
              <w:b/>
              <w:bCs/>
              <w:spacing w:val="-9"/>
              <w:sz w:val="20"/>
              <w:szCs w:val="20"/>
            </w:rPr>
            <w:t>险</w:t>
          </w:r>
          <w:r>
            <w:rPr>
              <w:spacing w:val="-14"/>
              <w:sz w:val="20"/>
              <w:szCs w:val="20"/>
            </w:rPr>
            <w:t xml:space="preserve"> </w:t>
          </w:r>
          <w:r>
            <w:rPr>
              <w:b/>
              <w:bCs/>
              <w:spacing w:val="-9"/>
              <w:sz w:val="20"/>
              <w:szCs w:val="20"/>
            </w:rPr>
            <w:t>提</w:t>
          </w:r>
          <w:r>
            <w:rPr>
              <w:spacing w:val="-9"/>
              <w:sz w:val="20"/>
              <w:szCs w:val="20"/>
            </w:rPr>
            <w:t xml:space="preserve"> </w:t>
          </w:r>
          <w:r>
            <w:rPr>
              <w:b/>
              <w:bCs/>
              <w:spacing w:val="-9"/>
              <w:sz w:val="20"/>
              <w:szCs w:val="20"/>
            </w:rPr>
            <w:t>示</w:t>
          </w:r>
          <w:r>
            <w:rPr>
              <w:spacing w:val="-78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b/>
                <w:bCs/>
                <w:spacing w:val="-5"/>
                <w:sz w:val="20"/>
                <w:szCs w:val="20"/>
              </w:rPr>
              <w:t>15</w:t>
            </w:r>
          </w:hyperlink>
        </w:p>
      </w:sdtContent>
    </w:sdt>
    <w:p>
      <w:pPr>
        <w:pStyle w:val="BodyText"/>
        <w:spacing w:before="257" w:line="227" w:lineRule="auto"/>
        <w:ind w:left="2263"/>
        <w:rPr>
          <w:sz w:val="25"/>
          <w:szCs w:val="25"/>
        </w:rPr>
      </w:pPr>
      <w:r>
        <w:rPr>
          <w:b/>
          <w:bCs/>
          <w:color w:val="800000"/>
          <w:spacing w:val="17"/>
          <w:sz w:val="25"/>
          <w:szCs w:val="25"/>
        </w:rPr>
        <w:t>图表目录</w:t>
      </w:r>
    </w:p>
    <w:sdt>
      <w:sdtPr>
        <w:rPr>
          <w:rFonts w:ascii="KaiTi" w:eastAsia="KaiTi" w:hAnsi="KaiTi" w:cs="KaiTi"/>
          <w:sz w:val="20"/>
          <w:szCs w:val="20"/>
        </w:rPr>
        <w:id w:val="315651600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tabs>
              <w:tab w:val="right" w:leader="dot" w:pos="10750"/>
            </w:tabs>
            <w:spacing w:before="24" w:line="225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7"/>
              <w:sz w:val="20"/>
              <w:szCs w:val="20"/>
            </w:rPr>
            <w:t>图</w:t>
          </w:r>
          <w:r>
            <w:rPr>
              <w:spacing w:val="7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1:</w:t>
          </w:r>
          <w:r>
            <w:rPr>
              <w:spacing w:val="-18"/>
              <w:sz w:val="20"/>
              <w:szCs w:val="20"/>
            </w:rPr>
            <w:t xml:space="preserve"> </w:t>
          </w:r>
          <w:r>
            <w:rPr>
              <w:spacing w:val="7"/>
              <w:sz w:val="20"/>
              <w:szCs w:val="20"/>
            </w:rPr>
            <w:t>近一年基础化工指数表现</w:t>
          </w:r>
          <w:r>
            <w:rPr>
              <w:spacing w:val="-78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10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36" w:line="225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6"/>
              <w:sz w:val="20"/>
              <w:szCs w:val="20"/>
            </w:rPr>
            <w:t>图</w:t>
          </w:r>
          <w:r>
            <w:rPr>
              <w:spacing w:val="90"/>
              <w:sz w:val="20"/>
              <w:szCs w:val="20"/>
            </w:rPr>
            <w:t xml:space="preserve"> </w:t>
          </w:r>
          <w:r>
            <w:rPr>
              <w:spacing w:val="16"/>
              <w:sz w:val="20"/>
              <w:szCs w:val="20"/>
            </w:rPr>
            <w:t>2:2024年2月基础化工子行业行情表现</w:t>
          </w:r>
          <w:r>
            <w:rPr>
              <w:spacing w:val="-78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67"/>
              <w:sz w:val="20"/>
              <w:szCs w:val="20"/>
            </w:rPr>
            <w:t xml:space="preserve"> </w:t>
          </w:r>
          <w:hyperlink w:anchor="bookmark11" w:history="1"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</w:t>
            </w:r>
          </w:hyperlink>
        </w:p>
        <w:p>
          <w:pPr>
            <w:pStyle w:val="BodyText"/>
            <w:tabs>
              <w:tab w:val="right" w:leader="dot" w:pos="10785"/>
            </w:tabs>
            <w:spacing w:before="27" w:line="226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5"/>
              <w:sz w:val="20"/>
              <w:szCs w:val="20"/>
            </w:rPr>
            <w:t>图</w:t>
          </w:r>
          <w:r>
            <w:rPr>
              <w:spacing w:val="5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3:</w:t>
          </w:r>
          <w:r>
            <w:rPr>
              <w:spacing w:val="-13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布伦特原油价格走势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12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785"/>
            </w:tabs>
            <w:spacing w:before="25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9"/>
              <w:sz w:val="20"/>
              <w:szCs w:val="20"/>
            </w:rPr>
            <w:t>图</w:t>
          </w:r>
          <w:r>
            <w:rPr>
              <w:spacing w:val="61"/>
              <w:sz w:val="20"/>
              <w:szCs w:val="20"/>
            </w:rPr>
            <w:t xml:space="preserve"> </w:t>
          </w:r>
          <w:r>
            <w:rPr>
              <w:spacing w:val="9"/>
              <w:sz w:val="20"/>
              <w:szCs w:val="20"/>
            </w:rPr>
            <w:t>4:乙烯价格走势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13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785"/>
            </w:tabs>
            <w:spacing w:before="24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3"/>
              <w:sz w:val="20"/>
              <w:szCs w:val="20"/>
            </w:rPr>
            <w:t>图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5: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丙烯价格走势</w:t>
          </w:r>
          <w:r>
            <w:rPr>
              <w:spacing w:val="-75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14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785"/>
            </w:tabs>
            <w:spacing w:before="34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z w:val="20"/>
              <w:szCs w:val="20"/>
            </w:rPr>
            <w:t>图</w:t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6:</w:t>
          </w:r>
          <w:r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>丁二烯价格走势</w:t>
          </w:r>
          <w:r>
            <w:rPr>
              <w:spacing w:val="38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15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785"/>
            </w:tabs>
            <w:spacing w:before="20" w:line="222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"/>
              <w:sz w:val="20"/>
              <w:szCs w:val="20"/>
            </w:rPr>
            <w:t>图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7: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聚乙烯价格走势</w:t>
          </w:r>
          <w:r>
            <w:rPr>
              <w:spacing w:val="46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27"/>
              <w:sz w:val="20"/>
              <w:szCs w:val="20"/>
            </w:rPr>
            <w:t xml:space="preserve"> </w:t>
          </w:r>
          <w:hyperlink w:anchor="bookmark16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785"/>
            </w:tabs>
            <w:spacing w:before="30" w:line="222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"/>
              <w:sz w:val="20"/>
              <w:szCs w:val="20"/>
            </w:rPr>
            <w:t>图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8: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聚丙烯价格走势</w:t>
          </w:r>
          <w:r>
            <w:rPr>
              <w:spacing w:val="46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27"/>
              <w:sz w:val="20"/>
              <w:szCs w:val="20"/>
            </w:rPr>
            <w:t xml:space="preserve"> </w:t>
          </w:r>
          <w:hyperlink w:anchor="bookmark17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11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35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"/>
              <w:sz w:val="20"/>
              <w:szCs w:val="20"/>
            </w:rPr>
            <w:t>图</w:t>
          </w:r>
          <w:r>
            <w:rPr>
              <w:spacing w:val="2"/>
              <w:sz w:val="20"/>
              <w:szCs w:val="20"/>
            </w:rPr>
            <w:t xml:space="preserve"> </w:t>
          </w:r>
          <w:r>
            <w:rPr>
              <w:spacing w:val="2"/>
              <w:sz w:val="20"/>
              <w:szCs w:val="20"/>
            </w:rPr>
            <w:t>9:</w:t>
          </w:r>
          <w:r>
            <w:rPr>
              <w:spacing w:val="-18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PVC</w:t>
          </w:r>
          <w:r>
            <w:rPr>
              <w:rFonts w:ascii="Times New Roman" w:eastAsia="Times New Roman" w:hAnsi="Times New Roman" w:cs="Times New Roman"/>
              <w:spacing w:val="45"/>
              <w:sz w:val="20"/>
              <w:szCs w:val="20"/>
            </w:rPr>
            <w:t xml:space="preserve"> </w:t>
          </w:r>
          <w:r>
            <w:rPr>
              <w:spacing w:val="2"/>
              <w:sz w:val="20"/>
              <w:szCs w:val="20"/>
            </w:rPr>
            <w:t>价格走势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18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23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4"/>
              <w:sz w:val="20"/>
              <w:szCs w:val="20"/>
            </w:rPr>
            <w:t>图</w:t>
          </w:r>
          <w:r>
            <w:rPr>
              <w:spacing w:val="46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10:</w:t>
          </w:r>
          <w:r>
            <w:rPr>
              <w:spacing w:val="4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丙烯酸甲酯价格走势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19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765"/>
            </w:tabs>
            <w:spacing w:before="45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6"/>
              <w:sz w:val="20"/>
              <w:szCs w:val="20"/>
            </w:rPr>
            <w:t>图</w:t>
          </w:r>
          <w:r>
            <w:rPr>
              <w:spacing w:val="42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11:</w:t>
          </w:r>
          <w:r>
            <w:rPr>
              <w:spacing w:val="-32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天然橡胶价格走势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0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14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2"/>
              <w:sz w:val="20"/>
              <w:szCs w:val="20"/>
            </w:rPr>
            <w:t>图</w:t>
          </w:r>
          <w:r>
            <w:rPr>
              <w:spacing w:val="40"/>
              <w:sz w:val="20"/>
              <w:szCs w:val="20"/>
            </w:rPr>
            <w:t xml:space="preserve"> </w:t>
          </w:r>
          <w:r>
            <w:rPr>
              <w:spacing w:val="2"/>
              <w:sz w:val="20"/>
              <w:szCs w:val="20"/>
            </w:rPr>
            <w:t>12:</w:t>
          </w:r>
          <w:r>
            <w:rPr>
              <w:spacing w:val="2"/>
              <w:sz w:val="20"/>
              <w:szCs w:val="20"/>
            </w:rPr>
            <w:t xml:space="preserve"> </w:t>
          </w:r>
          <w:r>
            <w:rPr>
              <w:spacing w:val="2"/>
              <w:sz w:val="20"/>
              <w:szCs w:val="20"/>
            </w:rPr>
            <w:t>炭黑价格走势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1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765"/>
            </w:tabs>
            <w:spacing w:before="44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4"/>
              <w:sz w:val="20"/>
              <w:szCs w:val="20"/>
            </w:rPr>
            <w:t>图</w:t>
          </w:r>
          <w:r>
            <w:rPr>
              <w:spacing w:val="50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13:</w:t>
          </w:r>
          <w:r>
            <w:rPr>
              <w:spacing w:val="4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涤纶长丝价格走势</w:t>
          </w:r>
          <w:r>
            <w:rPr>
              <w:sz w:val="20"/>
              <w:szCs w:val="20"/>
            </w:rPr>
            <w:tab/>
          </w:r>
          <w:hyperlink w:anchor="bookmark22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14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6"/>
              <w:sz w:val="20"/>
              <w:szCs w:val="20"/>
            </w:rPr>
            <w:t>图</w:t>
          </w:r>
          <w:r>
            <w:rPr>
              <w:spacing w:val="42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14:</w:t>
          </w:r>
          <w:r>
            <w:rPr>
              <w:spacing w:val="-22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粘胶短纤价格走势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3" w:history="1"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12</w:t>
            </w:r>
          </w:hyperlink>
        </w:p>
        <w:p>
          <w:pPr>
            <w:pStyle w:val="BodyText"/>
            <w:tabs>
              <w:tab w:val="right" w:leader="dot" w:pos="10745"/>
            </w:tabs>
            <w:spacing w:before="34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"/>
              <w:sz w:val="20"/>
              <w:szCs w:val="20"/>
            </w:rPr>
            <w:t>图</w:t>
          </w:r>
          <w:r>
            <w:rPr>
              <w:spacing w:val="45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15: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钛白粉价格走势</w:t>
          </w:r>
          <w:r>
            <w:rPr>
              <w:spacing w:val="42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r>
            <w:rPr>
              <w:spacing w:val="-7"/>
              <w:sz w:val="20"/>
              <w:szCs w:val="20"/>
            </w:rPr>
            <w:t xml:space="preserve"> </w:t>
          </w:r>
          <w:hyperlink w:anchor="bookmark24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12" w:line="224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6"/>
              <w:sz w:val="20"/>
              <w:szCs w:val="20"/>
            </w:rPr>
            <w:t>图</w:t>
          </w:r>
          <w:r>
            <w:rPr>
              <w:spacing w:val="38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16:</w:t>
          </w:r>
          <w:r>
            <w:rPr>
              <w:spacing w:val="-22"/>
              <w:sz w:val="20"/>
              <w:szCs w:val="20"/>
            </w:rPr>
            <w:t xml:space="preserve"> </w:t>
          </w:r>
          <w:r>
            <w:rPr>
              <w:spacing w:val="6"/>
              <w:sz w:val="20"/>
              <w:szCs w:val="20"/>
            </w:rPr>
            <w:t>磷矿石价格走势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5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745"/>
            </w:tabs>
            <w:spacing w:before="27" w:line="224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5"/>
              <w:sz w:val="20"/>
              <w:szCs w:val="20"/>
            </w:rPr>
            <w:t>图</w:t>
          </w:r>
          <w:r>
            <w:rPr>
              <w:spacing w:val="34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17:</w:t>
          </w:r>
          <w:r>
            <w:rPr>
              <w:spacing w:val="-32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尿素价格走势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6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27" w:line="224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5"/>
              <w:sz w:val="20"/>
              <w:szCs w:val="20"/>
            </w:rPr>
            <w:t>图</w:t>
          </w:r>
          <w:r>
            <w:rPr>
              <w:spacing w:val="35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18:</w:t>
          </w:r>
          <w:r>
            <w:rPr>
              <w:spacing w:val="-23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钾肥价格走势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7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745"/>
            </w:tabs>
            <w:spacing w:before="38" w:line="224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8"/>
              <w:sz w:val="20"/>
              <w:szCs w:val="20"/>
            </w:rPr>
            <w:t>图</w:t>
          </w:r>
          <w:r>
            <w:rPr>
              <w:spacing w:val="66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19:磷酸一铵价格走势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8" w:history="1">
            <w:r>
              <w:rPr>
                <w:rFonts w:ascii="Times New Roman" w:eastAsia="Times New Roman" w:hAnsi="Times New Roman" w:cs="Times New Roman"/>
                <w:spacing w:val="-3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765"/>
            </w:tabs>
            <w:spacing w:before="27" w:line="224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8"/>
              <w:sz w:val="20"/>
              <w:szCs w:val="20"/>
            </w:rPr>
            <w:t>图</w:t>
          </w:r>
          <w:r>
            <w:rPr>
              <w:spacing w:val="8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20:</w:t>
          </w:r>
          <w:r>
            <w:rPr>
              <w:spacing w:val="-12"/>
              <w:sz w:val="20"/>
              <w:szCs w:val="20"/>
            </w:rPr>
            <w:t xml:space="preserve"> </w:t>
          </w:r>
          <w:r>
            <w:rPr>
              <w:spacing w:val="8"/>
              <w:sz w:val="20"/>
              <w:szCs w:val="20"/>
            </w:rPr>
            <w:t>磷酸二铵价格走势</w:t>
          </w:r>
          <w:r>
            <w:rPr>
              <w:spacing w:val="-84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29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13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30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3"/>
              <w:sz w:val="20"/>
              <w:szCs w:val="20"/>
            </w:rPr>
            <w:t>图</w:t>
          </w:r>
          <w:r>
            <w:rPr>
              <w:spacing w:val="29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21:</w:t>
          </w:r>
          <w:r>
            <w:rPr>
              <w:spacing w:val="3"/>
              <w:sz w:val="20"/>
              <w:szCs w:val="20"/>
            </w:rPr>
            <w:t xml:space="preserve"> </w:t>
          </w:r>
          <w:r>
            <w:rPr>
              <w:spacing w:val="3"/>
              <w:sz w:val="20"/>
              <w:szCs w:val="20"/>
            </w:rPr>
            <w:t>纯碱价格走势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30" w:history="1">
            <w:r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725"/>
            </w:tabs>
            <w:spacing w:before="24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"/>
              <w:sz w:val="20"/>
              <w:szCs w:val="20"/>
            </w:rPr>
            <w:t>图</w:t>
          </w:r>
          <w:r>
            <w:rPr>
              <w:spacing w:val="29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22:</w:t>
          </w:r>
          <w:r>
            <w:rPr>
              <w:spacing w:val="1"/>
              <w:sz w:val="20"/>
              <w:szCs w:val="20"/>
            </w:rPr>
            <w:t xml:space="preserve"> </w:t>
          </w:r>
          <w:r>
            <w:rPr>
              <w:rFonts w:ascii="Times New Roman" w:eastAsia="Times New Roman" w:hAnsi="Times New Roman" w:cs="Times New Roman"/>
              <w:sz w:val="20"/>
              <w:szCs w:val="20"/>
            </w:rPr>
            <w:t>MDI</w:t>
          </w:r>
          <w:r>
            <w:rPr>
              <w:rFonts w:ascii="Times New Roman" w:eastAsia="Times New Roman" w:hAnsi="Times New Roman" w:cs="Times New Roman"/>
              <w:spacing w:val="-5"/>
              <w:sz w:val="20"/>
              <w:szCs w:val="20"/>
            </w:rPr>
            <w:t xml:space="preserve"> </w:t>
          </w:r>
          <w:r>
            <w:rPr>
              <w:spacing w:val="1"/>
              <w:sz w:val="20"/>
              <w:szCs w:val="20"/>
            </w:rPr>
            <w:t>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31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755"/>
            </w:tabs>
            <w:spacing w:before="33" w:line="227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4"/>
              <w:sz w:val="20"/>
              <w:szCs w:val="20"/>
            </w:rPr>
            <w:t>图</w:t>
          </w:r>
          <w:r>
            <w:rPr>
              <w:spacing w:val="34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23:</w:t>
          </w:r>
          <w:r>
            <w:rPr>
              <w:spacing w:val="4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草甘膦价格走势</w:t>
          </w:r>
          <w:r>
            <w:rPr>
              <w:spacing w:val="-83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32" w:history="1">
            <w:r>
              <w:rPr>
                <w:rFonts w:ascii="Times New Roman" w:eastAsia="Times New Roman" w:hAnsi="Times New Roman" w:cs="Times New Roman"/>
                <w:spacing w:val="-6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745"/>
            </w:tabs>
            <w:spacing w:before="23" w:line="225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4"/>
              <w:sz w:val="20"/>
              <w:szCs w:val="20"/>
            </w:rPr>
            <w:t>图</w:t>
          </w:r>
          <w:r>
            <w:rPr>
              <w:spacing w:val="58"/>
              <w:sz w:val="20"/>
              <w:szCs w:val="20"/>
            </w:rPr>
            <w:t xml:space="preserve"> </w:t>
          </w:r>
          <w:r>
            <w:rPr>
              <w:spacing w:val="4"/>
              <w:sz w:val="20"/>
              <w:szCs w:val="20"/>
            </w:rPr>
            <w:t>24:有机硅价格走势</w:t>
          </w:r>
          <w:r>
            <w:rPr>
              <w:spacing w:val="37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33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725"/>
            </w:tabs>
            <w:spacing w:before="65" w:line="223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  <w:sectPr>
              <w:headerReference w:type="default" r:id="rId9"/>
              <w:pgSz w:w="11910" w:h="16840"/>
              <w:pgMar w:top="1319" w:right="519" w:bottom="0" w:left="489" w:header="440" w:footer="0" w:gutter="0"/>
              <w:pgNumType w:start="6"/>
              <w:cols w:num="1" w:space="708" w:equalWidth="0">
                <w:col w:w="10901" w:space="0"/>
              </w:cols>
            </w:sectPr>
          </w:pPr>
          <w:r>
            <w:rPr>
              <w:spacing w:val="15"/>
              <w:sz w:val="20"/>
              <w:szCs w:val="20"/>
            </w:rPr>
            <w:t>图25:</w:t>
          </w:r>
          <w:r>
            <w:rPr>
              <w:spacing w:val="-21"/>
              <w:sz w:val="20"/>
              <w:szCs w:val="20"/>
            </w:rPr>
            <w:t xml:space="preserve"> </w:t>
          </w:r>
          <w:r>
            <w:rPr>
              <w:spacing w:val="15"/>
              <w:sz w:val="20"/>
              <w:szCs w:val="20"/>
            </w:rPr>
            <w:t>化工行业历史估值水平</w:t>
          </w:r>
          <w:r>
            <w:rPr>
              <w:spacing w:val="-80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34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</w:t>
            </w:r>
          </w:hyperlink>
        </w:p>
      </w:sdtContent>
    </w:sdt>
    <w:sdt>
      <w:sdtPr>
        <w:rPr>
          <w:rFonts w:ascii="KaiTi" w:eastAsia="KaiTi" w:hAnsi="KaiTi" w:cs="KaiTi"/>
          <w:sz w:val="20"/>
          <w:szCs w:val="20"/>
        </w:rPr>
        <w:id w:val="1277295684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0"/>
          <w:szCs w:val="20"/>
        </w:rPr>
      </w:sdtEndPr>
      <w:sdtContent>
        <w:p>
          <w:pPr>
            <w:pStyle w:val="BodyText"/>
            <w:tabs>
              <w:tab w:val="right" w:leader="dot" w:pos="10765"/>
            </w:tabs>
            <w:spacing w:line="225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5"/>
              <w:sz w:val="20"/>
              <w:szCs w:val="20"/>
            </w:rPr>
            <w:t>图</w:t>
          </w:r>
          <w:r>
            <w:rPr>
              <w:spacing w:val="36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26:</w:t>
          </w:r>
          <w:r>
            <w:rPr>
              <w:spacing w:val="5"/>
              <w:sz w:val="20"/>
              <w:szCs w:val="20"/>
            </w:rPr>
            <w:t xml:space="preserve"> </w:t>
          </w:r>
          <w:r>
            <w:rPr>
              <w:spacing w:val="5"/>
              <w:sz w:val="20"/>
              <w:szCs w:val="20"/>
            </w:rPr>
            <w:t>中信一级行业估值对比</w:t>
          </w:r>
          <w:r>
            <w:rPr>
              <w:spacing w:val="-82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35" w:history="1">
            <w:r>
              <w:rPr>
                <w:rFonts w:ascii="Times New Roman" w:eastAsia="Times New Roman" w:hAnsi="Times New Roman" w:cs="Times New Roman"/>
                <w:spacing w:val="-4"/>
                <w:sz w:val="20"/>
                <w:szCs w:val="20"/>
              </w:rPr>
              <w:t>14</w:t>
            </w:r>
          </w:hyperlink>
        </w:p>
        <w:p>
          <w:pPr>
            <w:pStyle w:val="BodyText"/>
            <w:tabs>
              <w:tab w:val="right" w:leader="dot" w:pos="10735"/>
            </w:tabs>
            <w:spacing w:before="266" w:line="224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1"/>
              <w:sz w:val="20"/>
              <w:szCs w:val="20"/>
            </w:rPr>
            <w:t>表</w:t>
          </w:r>
          <w:r>
            <w:rPr>
              <w:spacing w:val="90"/>
              <w:sz w:val="20"/>
              <w:szCs w:val="20"/>
            </w:rPr>
            <w:t xml:space="preserve"> </w:t>
          </w:r>
          <w:r>
            <w:rPr>
              <w:spacing w:val="11"/>
              <w:sz w:val="20"/>
              <w:szCs w:val="20"/>
            </w:rPr>
            <w:t>1:2月份基础化工板块个股领涨、领跌情况</w:t>
          </w:r>
          <w:r>
            <w:rPr>
              <w:spacing w:val="-82"/>
              <w:sz w:val="20"/>
              <w:szCs w:val="20"/>
            </w:rPr>
            <w:t xml:space="preserve"> </w:t>
          </w:r>
          <w:r>
            <w:rPr>
              <w:sz w:val="20"/>
              <w:szCs w:val="20"/>
            </w:rPr>
            <w:tab/>
          </w:r>
          <w:hyperlink w:anchor="bookmark36" w:history="1">
            <w:r>
              <w:rPr>
                <w:rFonts w:ascii="Times New Roman" w:eastAsia="Times New Roman" w:hAnsi="Times New Roman" w:cs="Times New Roman"/>
                <w:spacing w:val="5"/>
                <w:sz w:val="20"/>
                <w:szCs w:val="20"/>
              </w:rPr>
              <w:t>4</w:t>
            </w:r>
          </w:hyperlink>
        </w:p>
        <w:p>
          <w:pPr>
            <w:pStyle w:val="BodyText"/>
            <w:tabs>
              <w:tab w:val="right" w:leader="dot" w:pos="10745"/>
            </w:tabs>
            <w:spacing w:before="45" w:line="223" w:lineRule="auto"/>
            <w:ind w:left="2200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spacing w:val="12"/>
              <w:sz w:val="20"/>
              <w:szCs w:val="20"/>
            </w:rPr>
            <w:t>表</w:t>
          </w:r>
          <w:r>
            <w:rPr>
              <w:spacing w:val="-13"/>
              <w:sz w:val="20"/>
              <w:szCs w:val="20"/>
            </w:rPr>
            <w:t xml:space="preserve"> </w:t>
          </w:r>
          <w:r>
            <w:rPr>
              <w:spacing w:val="12"/>
              <w:sz w:val="20"/>
              <w:szCs w:val="20"/>
            </w:rPr>
            <w:t>2</w:t>
          </w:r>
          <w:r>
            <w:rPr>
              <w:spacing w:val="12"/>
              <w:sz w:val="20"/>
              <w:szCs w:val="20"/>
            </w:rPr>
            <w:t xml:space="preserve"> </w:t>
          </w:r>
          <w:r>
            <w:rPr>
              <w:spacing w:val="12"/>
              <w:sz w:val="20"/>
              <w:szCs w:val="20"/>
            </w:rPr>
            <w:t>:</w:t>
          </w:r>
          <w:r>
            <w:rPr>
              <w:spacing w:val="-15"/>
              <w:sz w:val="20"/>
              <w:szCs w:val="20"/>
            </w:rPr>
            <w:t xml:space="preserve"> </w:t>
          </w:r>
          <w:r>
            <w:rPr>
              <w:spacing w:val="12"/>
              <w:sz w:val="20"/>
              <w:szCs w:val="20"/>
            </w:rPr>
            <w:t>2月份化工产品价格涨跌情况(单位：元/吨</w:t>
          </w:r>
          <w:r>
            <w:rPr>
              <w:spacing w:val="42"/>
              <w:sz w:val="20"/>
              <w:szCs w:val="20"/>
            </w:rPr>
            <w:t xml:space="preserve"> </w:t>
          </w:r>
          <w:r>
            <w:rPr>
              <w:spacing w:val="12"/>
              <w:sz w:val="20"/>
              <w:szCs w:val="20"/>
            </w:rPr>
            <w:t>%)</w:t>
          </w:r>
          <w:r>
            <w:rPr>
              <w:sz w:val="20"/>
              <w:szCs w:val="20"/>
            </w:rPr>
            <w:tab/>
          </w:r>
          <w:hyperlink w:anchor="bookmark37" w:history="1">
            <w:r>
              <w:rPr>
                <w:rFonts w:ascii="Times New Roman" w:eastAsia="Times New Roman" w:hAnsi="Times New Roman" w:cs="Times New Roman"/>
                <w:spacing w:val="-8"/>
                <w:sz w:val="20"/>
                <w:szCs w:val="20"/>
              </w:rPr>
              <w:t>10</w:t>
            </w:r>
          </w:hyperlink>
        </w:p>
      </w:sdtContent>
    </w:sdt>
    <w:p>
      <w:pPr>
        <w:spacing w:before="15"/>
      </w:pPr>
    </w:p>
    <w:p>
      <w:pPr>
        <w:spacing w:before="15"/>
      </w:pPr>
    </w:p>
    <w:p>
      <w:pPr>
        <w:spacing w:before="15"/>
      </w:pPr>
    </w:p>
    <w:p>
      <w:pPr>
        <w:spacing w:before="15"/>
      </w:pPr>
    </w:p>
    <w:p>
      <w:pPr>
        <w:spacing w:before="15"/>
      </w:pPr>
    </w:p>
    <w:p>
      <w:pPr>
        <w:spacing w:before="15"/>
      </w:pPr>
    </w:p>
    <w:p>
      <w:pPr>
        <w:spacing w:before="15"/>
      </w:pPr>
    </w:p>
    <w:p>
      <w:pPr>
        <w:spacing w:before="15"/>
      </w:pPr>
    </w:p>
    <w:p>
      <w:pPr>
        <w:spacing w:before="15"/>
      </w:pPr>
    </w:p>
    <w:p>
      <w:pPr>
        <w:spacing w:before="14"/>
      </w:pPr>
    </w:p>
    <w:p>
      <w:pPr>
        <w:spacing w:before="14"/>
      </w:pPr>
    </w:p>
    <w:p>
      <w:pPr>
        <w:sectPr>
          <w:headerReference w:type="default" r:id="rId10"/>
          <w:type w:val="nextPage"/>
          <w:pgSz w:w="11910" w:h="16840"/>
          <w:pgMar w:top="1319" w:right="519" w:bottom="0" w:left="489" w:header="440" w:footer="0" w:gutter="0"/>
          <w:pgNumType w:start="7"/>
          <w:cols w:num="1" w:space="708" w:equalWidth="0">
            <w:col w:w="10901" w:space="0"/>
          </w:cols>
          <w:titlePg w:val="0"/>
        </w:sectPr>
      </w:pPr>
    </w:p>
    <w:p>
      <w:pPr>
        <w:pStyle w:val="BodyText"/>
        <w:spacing w:before="41" w:line="227" w:lineRule="auto"/>
        <w:ind w:left="70"/>
        <w:rPr>
          <w:rFonts w:ascii="Arial" w:eastAsia="Arial" w:hAnsi="Arial" w:cs="Arial"/>
          <w:sz w:val="20"/>
          <w:szCs w:val="20"/>
        </w:rPr>
      </w:pPr>
      <w:r>
        <w:rPr>
          <w:spacing w:val="-2"/>
          <w:sz w:val="20"/>
          <w:szCs w:val="20"/>
        </w:rPr>
        <w:t>本报告版权属于中原证券股份有限公司</w:t>
      </w:r>
      <w:r>
        <w:rPr>
          <w:spacing w:val="-2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www</w:t>
      </w:r>
      <w:r>
        <w:rPr>
          <w:rFonts w:ascii="Arial" w:eastAsia="Arial" w:hAnsi="Arial" w:cs="Arial"/>
          <w:spacing w:val="-28"/>
          <w:sz w:val="20"/>
          <w:szCs w:val="20"/>
        </w:rPr>
        <w:t xml:space="preserve"> </w:t>
      </w:r>
      <w:r>
        <w:rPr>
          <w:rFonts w:ascii="Arial" w:eastAsia="Arial" w:hAnsi="Arial" w:cs="Arial"/>
          <w:spacing w:val="-2"/>
          <w:sz w:val="20"/>
          <w:szCs w:val="20"/>
        </w:rPr>
        <w:t>.ccnew</w:t>
      </w:r>
      <w:r>
        <w:rPr>
          <w:rFonts w:ascii="Arial" w:eastAsia="Arial" w:hAnsi="Arial" w:cs="Arial"/>
          <w:spacing w:val="-3"/>
          <w:sz w:val="20"/>
          <w:szCs w:val="20"/>
        </w:rPr>
        <w:t>.com</w:t>
      </w:r>
    </w:p>
    <w:p>
      <w:pPr>
        <w:pStyle w:val="BodyText"/>
        <w:spacing w:before="1" w:line="195" w:lineRule="auto"/>
        <w:ind w:left="80"/>
        <w:rPr>
          <w:sz w:val="20"/>
          <w:szCs w:val="20"/>
        </w:rPr>
      </w:pPr>
      <w:r>
        <w:rPr>
          <w:spacing w:val="-1"/>
          <w:sz w:val="20"/>
          <w:szCs w:val="20"/>
        </w:rPr>
        <w:t>请阅读最后一页各项声明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90" w:line="192" w:lineRule="auto"/>
        <w:rPr>
          <w:sz w:val="20"/>
          <w:szCs w:val="20"/>
        </w:rPr>
      </w:pPr>
      <w:r>
        <w:rPr>
          <w:spacing w:val="16"/>
          <w:sz w:val="20"/>
          <w:szCs w:val="20"/>
        </w:rPr>
        <w:t>第2页/共16页</w:t>
      </w:r>
    </w:p>
    <w:p>
      <w:pPr>
        <w:spacing w:line="192" w:lineRule="auto"/>
        <w:rPr>
          <w:sz w:val="20"/>
          <w:szCs w:val="20"/>
        </w:rPr>
        <w:sectPr>
          <w:headerReference w:type="default" r:id="rId11"/>
          <w:type w:val="continuous"/>
          <w:pgSz w:w="11910" w:h="16840"/>
          <w:pgMar w:top="1319" w:right="519" w:bottom="0" w:left="489" w:header="440" w:footer="0" w:gutter="0"/>
          <w:pgNumType w:start="8"/>
          <w:cols w:num="2" w:space="708" w:equalWidth="0">
            <w:col w:w="9111" w:space="100"/>
            <w:col w:w="1691" w:space="0"/>
          </w:cols>
        </w:sectPr>
      </w:pPr>
    </w:p>
    <w:p>
      <w:pPr>
        <w:pStyle w:val="BodyText"/>
        <w:spacing w:before="205" w:line="227" w:lineRule="auto"/>
        <w:ind w:left="2233"/>
        <w:rPr>
          <w:sz w:val="27"/>
          <w:szCs w:val="27"/>
        </w:rPr>
      </w:pPr>
      <w:r>
        <w:pict>
          <v:rect id="_x0000_s1025" style="width:544.05pt;height:0.55pt;margin-top:792.5pt;margin-left:25.5pt;mso-position-horizontal-relative:page;mso-position-vertical-relative:page;position:absolute;z-index:251663360" o:allowincell="f" filled="t" fillcolor="red" stroked="f"/>
        </w:pict>
      </w:r>
      <w:r>
        <w:drawing>
          <wp:anchor distT="0" distB="0" distL="0" distR="0" simplePos="0" relativeHeight="251664384" behindDoc="0" locked="0" layoutInCell="0" allowOverlap="1">
            <wp:simplePos x="0" y="0"/>
            <wp:positionH relativeFrom="page">
              <wp:posOffset>1168384</wp:posOffset>
            </wp:positionH>
            <wp:positionV relativeFrom="page">
              <wp:posOffset>6343625</wp:posOffset>
            </wp:positionV>
            <wp:extent cx="5975331" cy="6350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75331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bookmark10"/>
      <w:bookmarkEnd w:id="0"/>
      <w:bookmarkStart w:id="1" w:name="bookmark1"/>
      <w:bookmarkEnd w:id="1"/>
      <w:bookmarkStart w:id="2" w:name="bookmark2"/>
      <w:bookmarkEnd w:id="2"/>
      <w:bookmarkStart w:id="3" w:name="bookmark3"/>
      <w:bookmarkEnd w:id="3"/>
      <w:r>
        <w:rPr>
          <w:b/>
          <w:bCs/>
          <w:color w:val="99004C"/>
          <w:spacing w:val="-5"/>
          <w:sz w:val="27"/>
          <w:szCs w:val="27"/>
        </w:rPr>
        <w:t>1.</w:t>
      </w:r>
      <w:r>
        <w:rPr>
          <w:color w:val="99004C"/>
          <w:spacing w:val="-81"/>
          <w:sz w:val="27"/>
          <w:szCs w:val="27"/>
        </w:rPr>
        <w:t xml:space="preserve"> </w:t>
      </w:r>
      <w:r>
        <w:rPr>
          <w:b/>
          <w:bCs/>
          <w:color w:val="99004C"/>
          <w:spacing w:val="-5"/>
          <w:sz w:val="27"/>
          <w:szCs w:val="27"/>
        </w:rPr>
        <w:t>市场回顾</w:t>
      </w:r>
    </w:p>
    <w:p>
      <w:pPr>
        <w:spacing w:line="257" w:lineRule="auto"/>
        <w:rPr>
          <w:rFonts w:ascii="Arial"/>
          <w:sz w:val="21"/>
        </w:rPr>
      </w:pPr>
    </w:p>
    <w:p>
      <w:pPr>
        <w:pStyle w:val="BodyText"/>
        <w:spacing w:before="78" w:line="227" w:lineRule="auto"/>
        <w:ind w:left="2233"/>
        <w:rPr>
          <w:sz w:val="24"/>
          <w:szCs w:val="24"/>
        </w:rPr>
      </w:pPr>
      <w:r>
        <w:rPr>
          <w:b/>
          <w:bCs/>
          <w:color w:val="99004C"/>
          <w:spacing w:val="-7"/>
          <w:sz w:val="24"/>
          <w:szCs w:val="24"/>
        </w:rPr>
        <w:t>1.1.板块行情回顾</w:t>
      </w:r>
    </w:p>
    <w:p>
      <w:pPr>
        <w:pStyle w:val="BodyText"/>
        <w:spacing w:before="249" w:line="343" w:lineRule="auto"/>
        <w:ind w:left="2230" w:right="166" w:firstLine="419"/>
      </w:pPr>
      <w:r>
        <w:rPr>
          <w:spacing w:val="12"/>
        </w:rPr>
        <w:t>根据</w:t>
      </w:r>
      <w:r>
        <w:rPr>
          <w:spacing w:val="-29"/>
        </w:rPr>
        <w:t xml:space="preserve"> </w:t>
      </w:r>
      <w:r>
        <w:rPr>
          <w:rFonts w:ascii="SimSun" w:eastAsia="SimSun" w:hAnsi="SimSun" w:cs="SimSun"/>
        </w:rPr>
        <w:t>wind</w:t>
      </w:r>
      <w:r>
        <w:rPr>
          <w:spacing w:val="12"/>
        </w:rPr>
        <w:t>数据，2024年2月份中信基础化工行业指数上涨9.90%,跑赢上证</w:t>
      </w:r>
      <w:r>
        <w:rPr>
          <w:spacing w:val="11"/>
        </w:rPr>
        <w:t>综指1.77</w:t>
      </w:r>
      <w:r>
        <w:t xml:space="preserve">  </w:t>
      </w:r>
      <w:r>
        <w:rPr>
          <w:spacing w:val="8"/>
        </w:rPr>
        <w:t>个百分点，跑赢沪深300指数0.55个百分点，行业整体表现在30个中信一级行业中排名第</w:t>
      </w:r>
      <w:r>
        <w:rPr>
          <w:spacing w:val="4"/>
        </w:rPr>
        <w:t xml:space="preserve">  </w:t>
      </w:r>
      <w:r>
        <w:rPr>
          <w:spacing w:val="8"/>
        </w:rPr>
        <w:t>11位。近一年来，中信基础化工指数下跌31.01%,跑输上证综指22.95个百分点</w:t>
      </w:r>
      <w:r>
        <w:rPr>
          <w:spacing w:val="7"/>
        </w:rPr>
        <w:t>，跑输沪深</w:t>
      </w:r>
    </w:p>
    <w:p>
      <w:pPr>
        <w:pStyle w:val="BodyText"/>
        <w:spacing w:line="220" w:lineRule="auto"/>
        <w:ind w:left="2230"/>
      </w:pPr>
      <w:r>
        <w:rPr>
          <w:spacing w:val="11"/>
        </w:rPr>
        <w:t>300指数17.41个百分点，表现在30个中信一级行业中排名第28位。</w:t>
      </w:r>
    </w:p>
    <w:p>
      <w:pPr>
        <w:pStyle w:val="BodyText"/>
        <w:spacing w:before="232" w:line="225" w:lineRule="auto"/>
        <w:ind w:left="1513"/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939464</wp:posOffset>
            </wp:positionH>
            <wp:positionV relativeFrom="paragraph">
              <wp:posOffset>274262</wp:posOffset>
            </wp:positionV>
            <wp:extent cx="5886763" cy="6667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86763" cy="6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-9"/>
        </w:rPr>
        <w:t>图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1</w:t>
      </w:r>
      <w:r>
        <w:rPr>
          <w:spacing w:val="24"/>
        </w:rPr>
        <w:t xml:space="preserve"> </w:t>
      </w:r>
      <w:r>
        <w:rPr>
          <w:b/>
          <w:bCs/>
          <w:spacing w:val="-9"/>
        </w:rPr>
        <w:t>: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近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一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年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基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础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化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工</w:t>
      </w:r>
      <w:r>
        <w:rPr>
          <w:spacing w:val="-9"/>
        </w:rPr>
        <w:t xml:space="preserve"> </w:t>
      </w:r>
      <w:r>
        <w:rPr>
          <w:b/>
          <w:bCs/>
          <w:spacing w:val="-10"/>
        </w:rPr>
        <w:t>指</w:t>
      </w:r>
      <w:r>
        <w:rPr>
          <w:spacing w:val="-10"/>
        </w:rPr>
        <w:t xml:space="preserve"> </w:t>
      </w:r>
      <w:r>
        <w:rPr>
          <w:b/>
          <w:bCs/>
          <w:spacing w:val="-10"/>
        </w:rPr>
        <w:t>数</w:t>
      </w:r>
      <w:r>
        <w:rPr>
          <w:spacing w:val="-10"/>
        </w:rPr>
        <w:t xml:space="preserve"> </w:t>
      </w:r>
      <w:r>
        <w:rPr>
          <w:b/>
          <w:bCs/>
          <w:spacing w:val="-10"/>
        </w:rPr>
        <w:t>表</w:t>
      </w:r>
      <w:r>
        <w:rPr>
          <w:spacing w:val="-10"/>
        </w:rPr>
        <w:t xml:space="preserve"> </w:t>
      </w:r>
      <w:r>
        <w:rPr>
          <w:b/>
          <w:bCs/>
          <w:spacing w:val="-10"/>
        </w:rPr>
        <w:t>现</w:t>
      </w:r>
    </w:p>
    <w:p>
      <w:pPr>
        <w:spacing w:before="121" w:line="4710" w:lineRule="exact"/>
        <w:ind w:firstLine="1579"/>
      </w:pPr>
      <w:r>
        <w:rPr>
          <w:position w:val="-94"/>
        </w:rPr>
        <w:drawing>
          <wp:inline distT="0" distB="0" distL="0" distR="0">
            <wp:extent cx="5562627" cy="2990943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562627" cy="2990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107" w:line="219" w:lineRule="auto"/>
        <w:ind w:left="3759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——基础化工(中信)</w:t>
      </w:r>
      <w:r>
        <w:rPr>
          <w:rFonts w:ascii="SimSun" w:eastAsia="SimSun" w:hAnsi="SimSun" w:cs="SimSun"/>
          <w:spacing w:val="79"/>
          <w:sz w:val="21"/>
          <w:szCs w:val="21"/>
        </w:rPr>
        <w:t xml:space="preserve"> </w:t>
      </w:r>
      <w:r>
        <w:rPr>
          <w:rFonts w:ascii="SimSun" w:eastAsia="SimSun" w:hAnsi="SimSun" w:cs="SimSun"/>
          <w:spacing w:val="-2"/>
          <w:sz w:val="21"/>
          <w:szCs w:val="21"/>
        </w:rPr>
        <w:t>——上证指数  ——沪深300</w:t>
      </w:r>
    </w:p>
    <w:p>
      <w:pPr>
        <w:pStyle w:val="BodyText"/>
        <w:spacing w:before="164" w:line="220" w:lineRule="auto"/>
        <w:ind w:left="1490"/>
        <w:rPr>
          <w:rFonts w:ascii="Times New Roman" w:eastAsia="Times New Roman" w:hAnsi="Times New Roman" w:cs="Times New Roman"/>
        </w:rPr>
      </w:pPr>
      <w:r>
        <w:rPr>
          <w:spacing w:val="-22"/>
          <w:w w:val="96"/>
        </w:rPr>
        <w:t>资料来源：中原证券，</w:t>
      </w:r>
      <w:r>
        <w:rPr>
          <w:spacing w:val="-40"/>
        </w:rPr>
        <w:t xml:space="preserve"> </w:t>
      </w:r>
      <w:r>
        <w:rPr>
          <w:rFonts w:ascii="Times New Roman" w:eastAsia="Times New Roman" w:hAnsi="Times New Roman" w:cs="Times New Roman"/>
          <w:spacing w:val="-22"/>
          <w:w w:val="96"/>
        </w:rPr>
        <w:t>wind</w:t>
      </w:r>
    </w:p>
    <w:p>
      <w:pPr>
        <w:pStyle w:val="BodyText"/>
        <w:spacing w:before="263" w:line="224" w:lineRule="auto"/>
        <w:ind w:left="2233"/>
        <w:outlineLvl w:val="0"/>
      </w:pPr>
      <w:r>
        <w:rPr>
          <w:b/>
          <w:bCs/>
          <w:color w:val="99004C"/>
          <w:spacing w:val="21"/>
        </w:rPr>
        <w:t>1.2.子行业及个股行情回顾</w:t>
      </w:r>
    </w:p>
    <w:p>
      <w:pPr>
        <w:pStyle w:val="BodyText"/>
        <w:spacing w:before="262" w:line="220" w:lineRule="auto"/>
        <w:ind w:left="2649"/>
      </w:pPr>
      <w:r>
        <w:rPr>
          <w:spacing w:val="9"/>
        </w:rPr>
        <w:t>根据</w:t>
      </w:r>
      <w:r>
        <w:rPr>
          <w:spacing w:val="-31"/>
        </w:rPr>
        <w:t xml:space="preserve"> </w:t>
      </w:r>
      <w:r>
        <w:rPr>
          <w:rFonts w:ascii="SimSun" w:eastAsia="SimSun" w:hAnsi="SimSun" w:cs="SimSun"/>
          <w:b/>
          <w:bCs/>
        </w:rPr>
        <w:t>wind</w:t>
      </w:r>
      <w:r>
        <w:rPr>
          <w:rFonts w:ascii="SimSun" w:eastAsia="SimSun" w:hAnsi="SimSun" w:cs="SimSun"/>
          <w:spacing w:val="-47"/>
        </w:rPr>
        <w:t xml:space="preserve"> </w:t>
      </w:r>
      <w:r>
        <w:rPr>
          <w:spacing w:val="9"/>
        </w:rPr>
        <w:t>数据，2024年2月，33个中信三级子行业中，32个子行业上涨，1个子行业</w:t>
      </w:r>
    </w:p>
    <w:p>
      <w:pPr>
        <w:pStyle w:val="BodyText"/>
        <w:spacing w:before="140" w:line="390" w:lineRule="exact"/>
        <w:jc w:val="right"/>
      </w:pPr>
      <w:r>
        <w:rPr>
          <w:spacing w:val="9"/>
          <w:position w:val="13"/>
        </w:rPr>
        <w:t>下跌。其中氟化工、电子化学品和轮胎行业涨幅居前，分别上涨22.0</w:t>
      </w:r>
      <w:r>
        <w:rPr>
          <w:spacing w:val="8"/>
          <w:position w:val="13"/>
        </w:rPr>
        <w:t>5%、16.88%和14.61%,</w:t>
      </w:r>
    </w:p>
    <w:p>
      <w:pPr>
        <w:pStyle w:val="BodyText"/>
        <w:spacing w:line="220" w:lineRule="auto"/>
        <w:ind w:left="2230"/>
      </w:pPr>
      <w:r>
        <w:rPr>
          <w:spacing w:val="6"/>
        </w:rPr>
        <w:t>锦纶、粘胶和涂料油墨颜料行业表现居后，分别下跌0</w:t>
      </w:r>
      <w:r>
        <w:rPr>
          <w:spacing w:val="5"/>
        </w:rPr>
        <w:t>.34%和上涨1.79%、2.02%。</w:t>
      </w:r>
    </w:p>
    <w:p>
      <w:pPr>
        <w:pStyle w:val="BodyText"/>
        <w:spacing w:before="290" w:line="390" w:lineRule="exact"/>
        <w:ind w:left="2649"/>
      </w:pPr>
      <w:r>
        <w:rPr>
          <w:spacing w:val="13"/>
          <w:position w:val="13"/>
        </w:rPr>
        <w:t>2024年2月，基础化工板块506只个股中，共有315支股票上</w:t>
      </w:r>
      <w:r>
        <w:rPr>
          <w:spacing w:val="12"/>
          <w:position w:val="13"/>
        </w:rPr>
        <w:t>涨，189支下跌。其中安</w:t>
      </w:r>
    </w:p>
    <w:p>
      <w:pPr>
        <w:pStyle w:val="BodyText"/>
        <w:spacing w:line="220" w:lineRule="auto"/>
        <w:ind w:left="2230"/>
      </w:pPr>
      <w:r>
        <w:rPr>
          <w:spacing w:val="3"/>
        </w:rPr>
        <w:t>诺其、三美股份、华西股份、凯大催化和容大感光位居涨幅</w:t>
      </w:r>
      <w:r>
        <w:rPr>
          <w:spacing w:val="2"/>
        </w:rPr>
        <w:t>榜前五，涨幅分别为45.14%、</w:t>
      </w:r>
    </w:p>
    <w:p>
      <w:pPr>
        <w:pStyle w:val="BodyText"/>
        <w:spacing w:before="152" w:line="387" w:lineRule="exact"/>
        <w:ind w:left="2230"/>
      </w:pPr>
      <w:r>
        <w:rPr>
          <w:spacing w:val="10"/>
          <w:position w:val="13"/>
        </w:rPr>
        <w:t>34.64%、32.92%、31.62%和31.</w:t>
      </w:r>
      <w:r>
        <w:rPr>
          <w:spacing w:val="9"/>
          <w:position w:val="13"/>
        </w:rPr>
        <w:t>30%;*</w:t>
      </w:r>
      <w:r>
        <w:rPr>
          <w:rFonts w:ascii="SimSun" w:eastAsia="SimSun" w:hAnsi="SimSun" w:cs="SimSun"/>
          <w:position w:val="13"/>
        </w:rPr>
        <w:t>ST</w:t>
      </w:r>
      <w:r>
        <w:rPr>
          <w:rFonts w:ascii="SimSun" w:eastAsia="SimSun" w:hAnsi="SimSun" w:cs="SimSun"/>
          <w:spacing w:val="-26"/>
          <w:position w:val="13"/>
        </w:rPr>
        <w:t xml:space="preserve"> </w:t>
      </w:r>
      <w:r>
        <w:rPr>
          <w:spacing w:val="9"/>
          <w:position w:val="13"/>
        </w:rPr>
        <w:t>碳元、</w:t>
      </w:r>
      <w:r>
        <w:rPr>
          <w:rFonts w:ascii="SimSun" w:eastAsia="SimSun" w:hAnsi="SimSun" w:cs="SimSun"/>
          <w:position w:val="13"/>
        </w:rPr>
        <w:t>ST</w:t>
      </w:r>
      <w:r>
        <w:rPr>
          <w:rFonts w:ascii="SimSun" w:eastAsia="SimSun" w:hAnsi="SimSun" w:cs="SimSun"/>
          <w:spacing w:val="9"/>
          <w:position w:val="13"/>
        </w:rPr>
        <w:t xml:space="preserve"> </w:t>
      </w:r>
      <w:r>
        <w:rPr>
          <w:spacing w:val="9"/>
          <w:position w:val="13"/>
        </w:rPr>
        <w:t>瑞德、奥福环保、亚太实业和润阳科</w:t>
      </w:r>
    </w:p>
    <w:p>
      <w:pPr>
        <w:pStyle w:val="BodyText"/>
        <w:spacing w:before="1" w:line="220" w:lineRule="auto"/>
        <w:ind w:left="2230"/>
      </w:pPr>
      <w:r>
        <w:rPr>
          <w:spacing w:val="11"/>
        </w:rPr>
        <w:t>技跌幅居前，分别下跌20.87%、18.38%、</w:t>
      </w:r>
      <w:r>
        <w:rPr>
          <w:spacing w:val="10"/>
        </w:rPr>
        <w:t>16.12%、15.88%和15.47%。</w:t>
      </w:r>
    </w:p>
    <w:p>
      <w:pPr>
        <w:spacing w:before="20"/>
      </w:pPr>
    </w:p>
    <w:p>
      <w:pPr>
        <w:spacing w:before="20"/>
      </w:pPr>
    </w:p>
    <w:p>
      <w:pPr>
        <w:spacing w:before="20"/>
      </w:pPr>
    </w:p>
    <w:p>
      <w:pPr>
        <w:spacing w:before="20"/>
      </w:pPr>
    </w:p>
    <w:p>
      <w:pPr>
        <w:spacing w:before="20"/>
        <w:sectPr>
          <w:headerReference w:type="default" r:id="rId15"/>
          <w:pgSz w:w="11910" w:h="16840"/>
          <w:pgMar w:top="1319" w:right="469" w:bottom="0" w:left="489" w:header="440" w:footer="0" w:gutter="0"/>
          <w:pgNumType w:start="9"/>
          <w:cols w:num="1" w:space="708" w:equalWidth="0">
            <w:col w:w="10951" w:space="0"/>
          </w:cols>
        </w:sectPr>
      </w:pPr>
    </w:p>
    <w:p>
      <w:pPr>
        <w:spacing w:before="20"/>
      </w:pPr>
    </w:p>
    <w:p>
      <w:pPr>
        <w:spacing w:before="20"/>
      </w:pPr>
    </w:p>
    <w:p>
      <w:pPr>
        <w:spacing w:before="19"/>
      </w:pPr>
    </w:p>
    <w:p>
      <w:pPr>
        <w:sectPr>
          <w:headerReference w:type="default" r:id="rId16"/>
          <w:type w:val="nextPage"/>
          <w:pgSz w:w="11910" w:h="16840"/>
          <w:pgMar w:top="1319" w:right="469" w:bottom="0" w:left="489" w:header="440" w:footer="0" w:gutter="0"/>
          <w:pgNumType w:start="10"/>
          <w:cols w:num="1" w:space="708" w:equalWidth="0">
            <w:col w:w="10951" w:space="0"/>
          </w:cols>
          <w:titlePg w:val="0"/>
        </w:sectPr>
      </w:pPr>
    </w:p>
    <w:p>
      <w:pPr>
        <w:pStyle w:val="BodyText"/>
        <w:spacing w:before="44" w:line="216" w:lineRule="auto"/>
        <w:ind w:left="70"/>
        <w:rPr>
          <w:rFonts w:ascii="Times New Roman" w:eastAsia="Times New Roman" w:hAnsi="Times New Roman" w:cs="Times New Roman"/>
        </w:rPr>
      </w:pPr>
      <w:r>
        <w:rPr>
          <w:spacing w:val="-6"/>
        </w:rPr>
        <w:t>本报告版权属于中原证券股份有限公司</w:t>
      </w:r>
      <w:r>
        <w:rPr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www.ccnew.</w:t>
      </w:r>
      <w:r>
        <w:rPr>
          <w:rFonts w:ascii="Times New Roman" w:eastAsia="Times New Roman" w:hAnsi="Times New Roman" w:cs="Times New Roman"/>
          <w:spacing w:val="-7"/>
        </w:rPr>
        <w:t>com</w:t>
      </w:r>
    </w:p>
    <w:p>
      <w:pPr>
        <w:pStyle w:val="BodyText"/>
        <w:spacing w:before="1" w:line="195" w:lineRule="auto"/>
        <w:ind w:left="80"/>
      </w:pPr>
      <w:r>
        <w:rPr>
          <w:spacing w:val="-11"/>
        </w:rPr>
        <w:t>请阅读最后一页各项声明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93" w:line="192" w:lineRule="auto"/>
      </w:pPr>
      <w:r>
        <w:rPr>
          <w:spacing w:val="9"/>
        </w:rPr>
        <w:t>第3页/共16页</w:t>
      </w:r>
    </w:p>
    <w:p>
      <w:pPr>
        <w:spacing w:line="192" w:lineRule="auto"/>
        <w:sectPr>
          <w:headerReference w:type="default" r:id="rId17"/>
          <w:type w:val="continuous"/>
          <w:pgSz w:w="11910" w:h="16840"/>
          <w:pgMar w:top="1319" w:right="469" w:bottom="0" w:left="489" w:header="440" w:footer="0" w:gutter="0"/>
          <w:pgNumType w:start="11"/>
          <w:cols w:num="2" w:space="708" w:equalWidth="0">
            <w:col w:w="9111" w:space="100"/>
            <w:col w:w="1741" w:space="0"/>
          </w:cols>
        </w:sectPr>
      </w:pPr>
    </w:p>
    <w:p>
      <w:pPr>
        <w:pStyle w:val="BodyText"/>
        <w:spacing w:before="36" w:line="225" w:lineRule="auto"/>
        <w:ind w:left="1480"/>
      </w:pPr>
      <w:r>
        <w:drawing>
          <wp:anchor distT="0" distB="0" distL="0" distR="0" simplePos="0" relativeHeight="251667456" behindDoc="0" locked="0" layoutInCell="0" allowOverlap="1">
            <wp:simplePos x="0" y="0"/>
            <wp:positionH relativeFrom="page">
              <wp:posOffset>1162032</wp:posOffset>
            </wp:positionH>
            <wp:positionV relativeFrom="page">
              <wp:posOffset>4413252</wp:posOffset>
            </wp:positionV>
            <wp:extent cx="6115093" cy="63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15093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6432" behindDoc="0" locked="0" layoutInCell="0" allowOverlap="1">
            <wp:simplePos x="0" y="0"/>
            <wp:positionH relativeFrom="page">
              <wp:posOffset>323841</wp:posOffset>
            </wp:positionH>
            <wp:positionV relativeFrom="page">
              <wp:posOffset>10064734</wp:posOffset>
            </wp:positionV>
            <wp:extent cx="6908814" cy="6416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0881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</w:rPr>
        <w:t>图2:2024年2月基础化工子行业行情表现</w:t>
      </w:r>
    </w:p>
    <w:p>
      <w:pPr>
        <w:spacing w:before="37" w:line="5260" w:lineRule="exact"/>
        <w:ind w:firstLine="1569"/>
      </w:pPr>
      <w:r>
        <w:rPr>
          <w:position w:val="-105"/>
        </w:rPr>
        <w:drawing>
          <wp:inline distT="0" distB="0" distL="0" distR="0">
            <wp:extent cx="5683255" cy="3340083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83255" cy="3340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80" w:line="220" w:lineRule="auto"/>
        <w:ind w:left="1470"/>
        <w:rPr>
          <w:rFonts w:ascii="Times New Roman" w:eastAsia="Times New Roman" w:hAnsi="Times New Roman" w:cs="Times New Roman"/>
          <w:sz w:val="18"/>
          <w:szCs w:val="18"/>
        </w:rPr>
      </w:pPr>
      <w:r>
        <w:rPr>
          <w:spacing w:val="-9"/>
          <w:sz w:val="18"/>
          <w:szCs w:val="18"/>
        </w:rPr>
        <w:t>资料来源：中原证券，</w:t>
      </w:r>
      <w:r>
        <w:rPr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>wind</w:t>
      </w:r>
    </w:p>
    <w:p>
      <w:pPr>
        <w:spacing w:line="290" w:lineRule="auto"/>
        <w:rPr>
          <w:rFonts w:ascii="Arial"/>
          <w:sz w:val="21"/>
        </w:rPr>
      </w:pPr>
    </w:p>
    <w:p>
      <w:pPr>
        <w:spacing w:before="68" w:line="180" w:lineRule="auto"/>
        <w:ind w:left="2223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b/>
          <w:bCs/>
          <w:spacing w:val="-3"/>
          <w:sz w:val="21"/>
          <w:szCs w:val="21"/>
        </w:rPr>
        <w:t>表1:2月份基础化工板块个股领涨、领跌情况</w:t>
      </w:r>
    </w:p>
    <w:tbl>
      <w:tblPr>
        <w:tblStyle w:val="TableNormal0"/>
        <w:tblW w:w="8609" w:type="dxa"/>
        <w:tblInd w:w="212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382"/>
        <w:gridCol w:w="2932"/>
        <w:gridCol w:w="2842"/>
        <w:gridCol w:w="1453"/>
      </w:tblGrid>
      <w:tr>
        <w:tblPrEx>
          <w:tblW w:w="8609" w:type="dxa"/>
          <w:tblInd w:w="2129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68"/>
        </w:trPr>
        <w:tc>
          <w:tcPr>
            <w:tcW w:w="1382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2932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3" w:line="206" w:lineRule="auto"/>
              <w:ind w:left="241"/>
            </w:pPr>
            <w:r>
              <w:rPr>
                <w:b/>
                <w:bCs/>
                <w:spacing w:val="-4"/>
              </w:rPr>
              <w:t>涨跌幅前10</w:t>
            </w:r>
          </w:p>
        </w:tc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23" w:line="206" w:lineRule="auto"/>
              <w:ind w:left="1608"/>
            </w:pPr>
            <w:r>
              <w:rPr>
                <w:b/>
                <w:bCs/>
                <w:spacing w:val="-4"/>
              </w:rPr>
              <w:t>涨跌幅后10</w:t>
            </w:r>
          </w:p>
        </w:tc>
        <w:tc>
          <w:tcPr>
            <w:tcW w:w="1453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609" w:type="dxa"/>
          <w:tblInd w:w="2129" w:type="dxa"/>
          <w:tblLayout w:type="fixed"/>
        </w:tblPrEx>
        <w:trPr>
          <w:trHeight w:val="277"/>
        </w:trPr>
        <w:tc>
          <w:tcPr>
            <w:tcW w:w="1382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40" w:line="199" w:lineRule="auto"/>
              <w:ind w:left="320"/>
            </w:pPr>
            <w:r>
              <w:rPr>
                <w:spacing w:val="-2"/>
              </w:rPr>
              <w:t>证券代码</w:t>
            </w:r>
          </w:p>
        </w:tc>
        <w:tc>
          <w:tcPr>
            <w:tcW w:w="2932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9" w:line="200" w:lineRule="auto"/>
              <w:ind w:left="368"/>
            </w:pPr>
            <w:r>
              <w:rPr>
                <w:spacing w:val="3"/>
              </w:rPr>
              <w:t>证券简称</w:t>
            </w:r>
            <w:r>
              <w:rPr>
                <w:spacing w:val="24"/>
              </w:rPr>
              <w:t xml:space="preserve">    </w:t>
            </w:r>
            <w:r>
              <w:rPr>
                <w:spacing w:val="3"/>
              </w:rPr>
              <w:t>涨跌幅(%)</w:t>
            </w:r>
          </w:p>
        </w:tc>
        <w:tc>
          <w:tcPr>
            <w:tcW w:w="2842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9" w:line="200" w:lineRule="auto"/>
              <w:ind w:left="275"/>
            </w:pPr>
            <w:r>
              <w:rPr>
                <w:spacing w:val="-2"/>
              </w:rPr>
              <w:t>证券代码</w:t>
            </w:r>
            <w:r>
              <w:rPr>
                <w:spacing w:val="6"/>
              </w:rPr>
              <w:t xml:space="preserve">     </w:t>
            </w:r>
            <w:r>
              <w:rPr>
                <w:spacing w:val="-2"/>
              </w:rPr>
              <w:t>证券简称</w:t>
            </w:r>
          </w:p>
        </w:tc>
        <w:tc>
          <w:tcPr>
            <w:tcW w:w="1453" w:type="dxa"/>
            <w:tcBorders>
              <w:top w:val="single" w:sz="4" w:space="0" w:color="000000"/>
              <w:bottom w:val="single" w:sz="4" w:space="0" w:color="000000"/>
            </w:tcBorders>
            <w:vAlign w:val="top"/>
          </w:tcPr>
          <w:p>
            <w:pPr>
              <w:pStyle w:val="TableText"/>
              <w:spacing w:before="39" w:line="200" w:lineRule="auto"/>
              <w:ind w:left="204"/>
            </w:pPr>
            <w:r>
              <w:rPr>
                <w:spacing w:val="8"/>
              </w:rPr>
              <w:t>涨跌幅(%)</w:t>
            </w:r>
          </w:p>
        </w:tc>
      </w:tr>
    </w:tbl>
    <w:p>
      <w:pPr>
        <w:spacing w:line="83" w:lineRule="exact"/>
      </w:pPr>
    </w:p>
    <w:tbl>
      <w:tblPr>
        <w:tblStyle w:val="TableNormal0"/>
        <w:tblW w:w="7953" w:type="dxa"/>
        <w:tblInd w:w="23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273"/>
        <w:gridCol w:w="1501"/>
        <w:gridCol w:w="1219"/>
        <w:gridCol w:w="1544"/>
        <w:gridCol w:w="1452"/>
        <w:gridCol w:w="964"/>
      </w:tblGrid>
      <w:tr>
        <w:tblPrEx>
          <w:tblW w:w="7953" w:type="dxa"/>
          <w:tblInd w:w="232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250"/>
        </w:trPr>
        <w:tc>
          <w:tcPr>
            <w:tcW w:w="1273" w:type="dxa"/>
            <w:vAlign w:val="top"/>
          </w:tcPr>
          <w:p>
            <w:pPr>
              <w:pStyle w:val="TableText"/>
              <w:spacing w:before="34" w:line="181" w:lineRule="auto"/>
              <w:ind w:left="79"/>
            </w:pPr>
            <w:r>
              <w:rPr>
                <w:spacing w:val="-2"/>
              </w:rPr>
              <w:t>300067.SZ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1" w:line="210" w:lineRule="auto"/>
              <w:ind w:left="396"/>
            </w:pPr>
            <w:r>
              <w:rPr>
                <w:spacing w:val="3"/>
              </w:rPr>
              <w:t>安诺其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63" w:line="177" w:lineRule="exact"/>
              <w:ind w:left="345"/>
            </w:pPr>
            <w:r>
              <w:rPr>
                <w:spacing w:val="-2"/>
                <w:position w:val="-2"/>
              </w:rPr>
              <w:t>45.14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53" w:line="164" w:lineRule="auto"/>
              <w:ind w:left="356"/>
            </w:pPr>
            <w:r>
              <w:rPr>
                <w:spacing w:val="-2"/>
              </w:rPr>
              <w:t>603188.SH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1" w:line="210" w:lineRule="auto"/>
              <w:ind w:left="252"/>
            </w:pPr>
            <w:r>
              <w:rPr>
                <w:spacing w:val="-2"/>
              </w:rPr>
              <w:t>亚邦股份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53" w:line="164" w:lineRule="auto"/>
              <w:jc w:val="right"/>
            </w:pPr>
            <w:r>
              <w:rPr>
                <w:spacing w:val="-2"/>
              </w:rPr>
              <w:t>-14.05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95"/>
        </w:trPr>
        <w:tc>
          <w:tcPr>
            <w:tcW w:w="1273" w:type="dxa"/>
            <w:vAlign w:val="top"/>
          </w:tcPr>
          <w:p>
            <w:pPr>
              <w:pStyle w:val="TableText"/>
              <w:spacing w:before="93" w:line="168" w:lineRule="auto"/>
              <w:ind w:left="79"/>
            </w:pPr>
            <w:r>
              <w:rPr>
                <w:spacing w:val="-2"/>
              </w:rPr>
              <w:t>603379.SH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40" w:line="215" w:lineRule="auto"/>
              <w:ind w:left="286"/>
            </w:pPr>
            <w:r>
              <w:rPr>
                <w:spacing w:val="-2"/>
              </w:rPr>
              <w:t>三美股份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93" w:line="168" w:lineRule="auto"/>
              <w:ind w:left="345"/>
            </w:pPr>
            <w:r>
              <w:rPr>
                <w:spacing w:val="-2"/>
              </w:rPr>
              <w:t>34.64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93" w:line="168" w:lineRule="auto"/>
              <w:ind w:left="356"/>
            </w:pPr>
            <w:r>
              <w:rPr>
                <w:spacing w:val="-2"/>
              </w:rPr>
              <w:t>603580.SH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39" w:line="216" w:lineRule="auto"/>
              <w:ind w:left="252"/>
            </w:pPr>
            <w:r>
              <w:rPr>
                <w:spacing w:val="2"/>
              </w:rPr>
              <w:t>艾艾精工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113" w:line="172" w:lineRule="exact"/>
              <w:jc w:val="right"/>
            </w:pPr>
            <w:r>
              <w:rPr>
                <w:spacing w:val="-2"/>
                <w:position w:val="-2"/>
              </w:rPr>
              <w:t>-14.11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80"/>
        </w:trPr>
        <w:tc>
          <w:tcPr>
            <w:tcW w:w="1273" w:type="dxa"/>
            <w:vAlign w:val="top"/>
          </w:tcPr>
          <w:p>
            <w:pPr>
              <w:pStyle w:val="TableText"/>
              <w:spacing w:before="109" w:line="161" w:lineRule="exact"/>
              <w:ind w:left="79"/>
            </w:pPr>
            <w:r>
              <w:rPr>
                <w:spacing w:val="-2"/>
                <w:position w:val="-2"/>
              </w:rPr>
              <w:t>000936.SZ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34" w:line="207" w:lineRule="auto"/>
              <w:ind w:left="286"/>
            </w:pPr>
            <w:r>
              <w:rPr>
                <w:spacing w:val="-2"/>
              </w:rPr>
              <w:t>华西股份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99" w:line="171" w:lineRule="exact"/>
              <w:ind w:left="345"/>
            </w:pPr>
            <w:r>
              <w:rPr>
                <w:spacing w:val="-2"/>
                <w:position w:val="-2"/>
              </w:rPr>
              <w:t>32.92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99" w:line="171" w:lineRule="exact"/>
              <w:ind w:left="356"/>
            </w:pPr>
            <w:r>
              <w:rPr>
                <w:spacing w:val="-2"/>
                <w:position w:val="-2"/>
              </w:rPr>
              <w:t>603332.SH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34" w:line="207" w:lineRule="auto"/>
              <w:ind w:left="252"/>
            </w:pPr>
            <w:r>
              <w:rPr>
                <w:spacing w:val="2"/>
              </w:rPr>
              <w:t>苏州龙杰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88" w:line="160" w:lineRule="auto"/>
              <w:jc w:val="right"/>
            </w:pPr>
            <w:r>
              <w:rPr>
                <w:spacing w:val="-2"/>
              </w:rPr>
              <w:t>-14.32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81"/>
        </w:trPr>
        <w:tc>
          <w:tcPr>
            <w:tcW w:w="1273" w:type="dxa"/>
            <w:vAlign w:val="top"/>
          </w:tcPr>
          <w:p>
            <w:pPr>
              <w:pStyle w:val="TableText"/>
              <w:spacing w:before="76" w:line="171" w:lineRule="auto"/>
              <w:ind w:left="79"/>
            </w:pPr>
            <w:r>
              <w:rPr>
                <w:spacing w:val="-2"/>
              </w:rPr>
              <w:t>830974.BJ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25" w:line="216" w:lineRule="auto"/>
              <w:ind w:left="286"/>
            </w:pPr>
            <w:r>
              <w:rPr>
                <w:spacing w:val="2"/>
              </w:rPr>
              <w:t>凯大催化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98" w:line="172" w:lineRule="exact"/>
              <w:ind w:left="345"/>
            </w:pPr>
            <w:r>
              <w:rPr>
                <w:spacing w:val="-2"/>
                <w:position w:val="-2"/>
              </w:rPr>
              <w:t>31.62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78" w:line="169" w:lineRule="auto"/>
              <w:ind w:left="356"/>
            </w:pPr>
            <w:r>
              <w:rPr>
                <w:spacing w:val="-2"/>
              </w:rPr>
              <w:t>301037.SZ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24" w:line="217" w:lineRule="auto"/>
              <w:ind w:left="362"/>
            </w:pPr>
            <w:r>
              <w:rPr>
                <w:spacing w:val="-3"/>
              </w:rPr>
              <w:t>保立佳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98" w:line="172" w:lineRule="exact"/>
              <w:jc w:val="right"/>
            </w:pPr>
            <w:r>
              <w:rPr>
                <w:spacing w:val="-2"/>
                <w:position w:val="-2"/>
              </w:rPr>
              <w:t>-15.11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74"/>
        </w:trPr>
        <w:tc>
          <w:tcPr>
            <w:tcW w:w="1273" w:type="dxa"/>
            <w:vAlign w:val="top"/>
          </w:tcPr>
          <w:p>
            <w:pPr>
              <w:pStyle w:val="TableText"/>
              <w:spacing w:before="98" w:line="166" w:lineRule="exact"/>
              <w:ind w:left="79"/>
            </w:pPr>
            <w:r>
              <w:rPr>
                <w:spacing w:val="-2"/>
                <w:position w:val="-2"/>
              </w:rPr>
              <w:t>300576.SZ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34" w:line="202" w:lineRule="auto"/>
              <w:ind w:left="286"/>
            </w:pPr>
            <w:r>
              <w:rPr>
                <w:spacing w:val="2"/>
              </w:rPr>
              <w:t>容大感光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97" w:line="167" w:lineRule="exact"/>
              <w:ind w:left="345"/>
            </w:pPr>
            <w:r>
              <w:rPr>
                <w:spacing w:val="-2"/>
                <w:position w:val="-2"/>
              </w:rPr>
              <w:t>31.30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97" w:line="167" w:lineRule="exact"/>
              <w:ind w:left="356"/>
            </w:pPr>
            <w:r>
              <w:rPr>
                <w:spacing w:val="-2"/>
                <w:position w:val="-2"/>
              </w:rPr>
              <w:t>603810.SH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34" w:line="202" w:lineRule="auto"/>
              <w:ind w:left="252"/>
            </w:pPr>
            <w:r>
              <w:rPr>
                <w:spacing w:val="4"/>
              </w:rPr>
              <w:t>丰山集团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87" w:line="177" w:lineRule="exact"/>
              <w:jc w:val="right"/>
            </w:pPr>
            <w:r>
              <w:rPr>
                <w:spacing w:val="-2"/>
                <w:position w:val="-2"/>
              </w:rPr>
              <w:t>-15.28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95"/>
        </w:trPr>
        <w:tc>
          <w:tcPr>
            <w:tcW w:w="1273" w:type="dxa"/>
            <w:vAlign w:val="top"/>
          </w:tcPr>
          <w:p>
            <w:pPr>
              <w:pStyle w:val="TableText"/>
              <w:spacing w:before="113" w:line="172" w:lineRule="exact"/>
              <w:ind w:left="79"/>
            </w:pPr>
            <w:r>
              <w:rPr>
                <w:spacing w:val="-2"/>
                <w:position w:val="-2"/>
              </w:rPr>
              <w:t>600331.SH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30" w:line="219" w:lineRule="auto"/>
              <w:ind w:left="286"/>
            </w:pPr>
            <w:r>
              <w:rPr>
                <w:spacing w:val="-2"/>
              </w:rPr>
              <w:t>宏达股份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104" w:line="159" w:lineRule="auto"/>
              <w:ind w:left="345"/>
            </w:pPr>
            <w:r>
              <w:rPr>
                <w:spacing w:val="-2"/>
              </w:rPr>
              <w:t>31.06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104" w:line="159" w:lineRule="auto"/>
              <w:ind w:left="356"/>
            </w:pPr>
            <w:r>
              <w:rPr>
                <w:spacing w:val="-2"/>
              </w:rPr>
              <w:t>300920.SZ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39" w:line="216" w:lineRule="auto"/>
              <w:ind w:left="252"/>
            </w:pPr>
            <w:r>
              <w:rPr>
                <w:spacing w:val="-2"/>
              </w:rPr>
              <w:t>润阳科技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104" w:line="159" w:lineRule="auto"/>
              <w:jc w:val="right"/>
            </w:pPr>
            <w:r>
              <w:rPr>
                <w:spacing w:val="-2"/>
              </w:rPr>
              <w:t>-15.47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84"/>
        </w:trPr>
        <w:tc>
          <w:tcPr>
            <w:tcW w:w="1273" w:type="dxa"/>
            <w:vAlign w:val="top"/>
          </w:tcPr>
          <w:p>
            <w:pPr>
              <w:pStyle w:val="TableText"/>
              <w:spacing w:before="69" w:line="180" w:lineRule="auto"/>
              <w:ind w:left="79"/>
            </w:pPr>
            <w:r>
              <w:rPr>
                <w:spacing w:val="-2"/>
              </w:rPr>
              <w:t>603605.SH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35" w:line="210" w:lineRule="auto"/>
              <w:ind w:left="396"/>
            </w:pPr>
            <w:r>
              <w:rPr>
                <w:spacing w:val="-3"/>
              </w:rPr>
              <w:t>珀莱雅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69" w:line="180" w:lineRule="auto"/>
              <w:ind w:left="345"/>
            </w:pPr>
            <w:r>
              <w:rPr>
                <w:spacing w:val="-2"/>
              </w:rPr>
              <w:t>28.77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68" w:line="181" w:lineRule="auto"/>
              <w:ind w:left="356"/>
            </w:pPr>
            <w:r>
              <w:rPr>
                <w:spacing w:val="-2"/>
              </w:rPr>
              <w:t>000691.SZ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36" w:line="209" w:lineRule="auto"/>
              <w:ind w:left="252"/>
            </w:pPr>
            <w:r>
              <w:rPr>
                <w:spacing w:val="-2"/>
              </w:rPr>
              <w:t>亚太实业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68" w:line="181" w:lineRule="auto"/>
              <w:jc w:val="right"/>
            </w:pPr>
            <w:r>
              <w:rPr>
                <w:spacing w:val="-2"/>
              </w:rPr>
              <w:t>-15.88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90"/>
        </w:trPr>
        <w:tc>
          <w:tcPr>
            <w:tcW w:w="1273" w:type="dxa"/>
            <w:vAlign w:val="top"/>
          </w:tcPr>
          <w:p>
            <w:pPr>
              <w:pStyle w:val="TableText"/>
              <w:spacing w:before="94" w:line="163" w:lineRule="auto"/>
            </w:pPr>
            <w:r>
              <w:rPr>
                <w:spacing w:val="-2"/>
              </w:rPr>
              <w:t>600160.SH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41" w:line="210" w:lineRule="auto"/>
              <w:ind w:left="306"/>
            </w:pPr>
            <w:r>
              <w:rPr>
                <w:spacing w:val="2"/>
              </w:rPr>
              <w:t>巨化股份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95" w:line="162" w:lineRule="auto"/>
              <w:ind w:left="345"/>
            </w:pPr>
            <w:r>
              <w:rPr>
                <w:spacing w:val="-2"/>
              </w:rPr>
              <w:t>27.96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94" w:line="163" w:lineRule="auto"/>
              <w:ind w:left="356"/>
            </w:pPr>
            <w:r>
              <w:rPr>
                <w:spacing w:val="-2"/>
              </w:rPr>
              <w:t>688021.SH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39" w:line="211" w:lineRule="auto"/>
              <w:ind w:left="252"/>
            </w:pPr>
            <w:r>
              <w:rPr>
                <w:spacing w:val="1"/>
              </w:rPr>
              <w:t>奥福环保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94" w:line="163" w:lineRule="auto"/>
              <w:jc w:val="right"/>
            </w:pPr>
            <w:r>
              <w:rPr>
                <w:spacing w:val="-2"/>
              </w:rPr>
              <w:t>-16.12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77"/>
        </w:trPr>
        <w:tc>
          <w:tcPr>
            <w:tcW w:w="1273" w:type="dxa"/>
            <w:vAlign w:val="top"/>
          </w:tcPr>
          <w:p>
            <w:pPr>
              <w:pStyle w:val="TableText"/>
              <w:spacing w:before="95" w:line="172" w:lineRule="exact"/>
            </w:pPr>
            <w:r>
              <w:rPr>
                <w:spacing w:val="-2"/>
                <w:position w:val="-2"/>
              </w:rPr>
              <w:t>605589.SH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40" w:line="199" w:lineRule="auto"/>
              <w:ind w:left="266"/>
            </w:pPr>
            <w:r>
              <w:rPr>
                <w:spacing w:val="4"/>
              </w:rPr>
              <w:t>圣泉集团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95" w:line="172" w:lineRule="exact"/>
              <w:ind w:left="345"/>
            </w:pPr>
            <w:r>
              <w:rPr>
                <w:spacing w:val="-2"/>
                <w:position w:val="-2"/>
              </w:rPr>
              <w:t>25.28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95" w:line="172" w:lineRule="exact"/>
              <w:ind w:left="356"/>
            </w:pPr>
            <w:r>
              <w:rPr>
                <w:spacing w:val="-2"/>
                <w:position w:val="-2"/>
              </w:rPr>
              <w:t>600666.SH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44" w:line="196" w:lineRule="auto"/>
              <w:ind w:left="272"/>
            </w:pPr>
            <w:r>
              <w:rPr>
                <w:spacing w:val="-6"/>
              </w:rPr>
              <w:t>S</w:t>
            </w:r>
            <w:r>
              <w:rPr>
                <w:spacing w:val="-36"/>
              </w:rPr>
              <w:t xml:space="preserve"> </w:t>
            </w:r>
            <w:r>
              <w:rPr>
                <w:spacing w:val="-6"/>
              </w:rPr>
              <w:t>T</w:t>
            </w:r>
            <w:r>
              <w:rPr>
                <w:spacing w:val="-34"/>
              </w:rPr>
              <w:t xml:space="preserve"> </w:t>
            </w:r>
            <w:r>
              <w:rPr>
                <w:spacing w:val="-6"/>
              </w:rPr>
              <w:t>瑞</w:t>
            </w:r>
            <w:r>
              <w:rPr>
                <w:spacing w:val="-33"/>
              </w:rPr>
              <w:t xml:space="preserve"> </w:t>
            </w:r>
            <w:r>
              <w:rPr>
                <w:spacing w:val="-6"/>
              </w:rPr>
              <w:t>德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94" w:line="173" w:lineRule="exact"/>
              <w:jc w:val="right"/>
            </w:pPr>
            <w:r>
              <w:rPr>
                <w:spacing w:val="-2"/>
                <w:position w:val="-2"/>
              </w:rPr>
              <w:t>-18.38</w:t>
            </w:r>
          </w:p>
        </w:tc>
      </w:tr>
      <w:tr>
        <w:tblPrEx>
          <w:tblW w:w="7953" w:type="dxa"/>
          <w:tblInd w:w="2320" w:type="dxa"/>
          <w:tblLayout w:type="fixed"/>
        </w:tblPrEx>
        <w:trPr>
          <w:trHeight w:val="254"/>
        </w:trPr>
        <w:tc>
          <w:tcPr>
            <w:tcW w:w="1273" w:type="dxa"/>
            <w:vAlign w:val="top"/>
          </w:tcPr>
          <w:p>
            <w:pPr>
              <w:pStyle w:val="TableText"/>
              <w:spacing w:before="108" w:line="136" w:lineRule="exact"/>
            </w:pPr>
            <w:r>
              <w:rPr>
                <w:spacing w:val="-2"/>
                <w:position w:val="-3"/>
              </w:rPr>
              <w:t>605020.SH</w:t>
            </w:r>
          </w:p>
        </w:tc>
        <w:tc>
          <w:tcPr>
            <w:tcW w:w="1501" w:type="dxa"/>
            <w:vAlign w:val="top"/>
          </w:tcPr>
          <w:p>
            <w:pPr>
              <w:pStyle w:val="TableText"/>
              <w:spacing w:before="33" w:line="185" w:lineRule="auto"/>
              <w:ind w:left="256"/>
            </w:pPr>
            <w:r>
              <w:rPr>
                <w:spacing w:val="-2"/>
              </w:rPr>
              <w:t>永和股份</w:t>
            </w:r>
          </w:p>
        </w:tc>
        <w:tc>
          <w:tcPr>
            <w:tcW w:w="1219" w:type="dxa"/>
            <w:vAlign w:val="top"/>
          </w:tcPr>
          <w:p>
            <w:pPr>
              <w:pStyle w:val="TableText"/>
              <w:spacing w:before="88" w:line="156" w:lineRule="exact"/>
              <w:ind w:left="345"/>
            </w:pPr>
            <w:r>
              <w:rPr>
                <w:spacing w:val="-2"/>
                <w:position w:val="-3"/>
              </w:rPr>
              <w:t>24.40</w:t>
            </w:r>
          </w:p>
        </w:tc>
        <w:tc>
          <w:tcPr>
            <w:tcW w:w="1544" w:type="dxa"/>
            <w:vAlign w:val="top"/>
          </w:tcPr>
          <w:p>
            <w:pPr>
              <w:pStyle w:val="TableText"/>
              <w:spacing w:before="107" w:line="137" w:lineRule="exact"/>
              <w:ind w:left="356"/>
            </w:pPr>
            <w:r>
              <w:rPr>
                <w:spacing w:val="-2"/>
                <w:position w:val="-3"/>
              </w:rPr>
              <w:t>603133.SH</w:t>
            </w:r>
          </w:p>
        </w:tc>
        <w:tc>
          <w:tcPr>
            <w:tcW w:w="1452" w:type="dxa"/>
            <w:vAlign w:val="top"/>
          </w:tcPr>
          <w:p>
            <w:pPr>
              <w:pStyle w:val="TableText"/>
              <w:spacing w:before="24" w:line="193" w:lineRule="auto"/>
              <w:ind w:left="302"/>
            </w:pPr>
            <w:r>
              <w:rPr>
                <w:spacing w:val="4"/>
              </w:rPr>
              <w:t>*</w:t>
            </w:r>
            <w:r>
              <w:t>ST</w:t>
            </w:r>
            <w:r>
              <w:rPr>
                <w:spacing w:val="4"/>
              </w:rPr>
              <w:t>碳元</w:t>
            </w:r>
          </w:p>
        </w:tc>
        <w:tc>
          <w:tcPr>
            <w:tcW w:w="964" w:type="dxa"/>
            <w:vAlign w:val="top"/>
          </w:tcPr>
          <w:p>
            <w:pPr>
              <w:pStyle w:val="TableText"/>
              <w:spacing w:before="88" w:line="156" w:lineRule="exact"/>
              <w:jc w:val="right"/>
            </w:pPr>
            <w:r>
              <w:rPr>
                <w:spacing w:val="-2"/>
                <w:position w:val="-3"/>
              </w:rPr>
              <w:t>-20.87</w:t>
            </w:r>
          </w:p>
        </w:tc>
      </w:tr>
    </w:tbl>
    <w:p>
      <w:pPr>
        <w:spacing w:before="19" w:line="219" w:lineRule="auto"/>
        <w:ind w:left="232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2"/>
          <w:sz w:val="21"/>
          <w:szCs w:val="21"/>
        </w:rPr>
        <w:t>资料来源</w:t>
      </w:r>
      <w:r>
        <w:rPr>
          <w:rFonts w:ascii="SimSun" w:eastAsia="SimSun" w:hAnsi="SimSun" w:cs="SimSun"/>
          <w:color w:val="003983"/>
          <w:spacing w:val="-2"/>
          <w:sz w:val="21"/>
          <w:szCs w:val="21"/>
        </w:rPr>
        <w:t>：中原证券，w</w:t>
      </w:r>
      <w:r>
        <w:rPr>
          <w:rFonts w:ascii="SimSun" w:eastAsia="SimSun" w:hAnsi="SimSun" w:cs="SimSun"/>
          <w:spacing w:val="-2"/>
          <w:sz w:val="21"/>
          <w:szCs w:val="21"/>
        </w:rPr>
        <w:t>ind</w:t>
      </w:r>
    </w:p>
    <w:p>
      <w:pPr>
        <w:pStyle w:val="BodyText"/>
        <w:spacing w:before="194" w:line="221" w:lineRule="auto"/>
        <w:ind w:left="2210"/>
        <w:rPr>
          <w:sz w:val="28"/>
          <w:szCs w:val="28"/>
        </w:rPr>
      </w:pPr>
      <w:r>
        <w:rPr>
          <w:color w:val="E51686"/>
          <w:spacing w:val="2"/>
          <w:sz w:val="29"/>
          <w:szCs w:val="29"/>
        </w:rPr>
        <w:t>2.</w:t>
      </w:r>
      <w:r>
        <w:rPr>
          <w:color w:val="E51686"/>
          <w:spacing w:val="2"/>
          <w:sz w:val="28"/>
          <w:szCs w:val="28"/>
        </w:rPr>
        <w:t>行业与公司要闻回顾</w:t>
      </w:r>
    </w:p>
    <w:p>
      <w:pPr>
        <w:spacing w:line="270" w:lineRule="auto"/>
        <w:rPr>
          <w:rFonts w:ascii="Arial"/>
          <w:sz w:val="21"/>
        </w:rPr>
      </w:pPr>
    </w:p>
    <w:p>
      <w:pPr>
        <w:pStyle w:val="BodyText"/>
        <w:spacing w:before="69" w:line="342" w:lineRule="auto"/>
        <w:ind w:left="2205" w:right="142" w:firstLine="444"/>
        <w:sectPr>
          <w:headerReference w:type="default" r:id="rId20"/>
          <w:pgSz w:w="11910" w:h="16840"/>
          <w:pgMar w:top="1319" w:right="449" w:bottom="0" w:left="509" w:header="440" w:footer="0" w:gutter="0"/>
          <w:pgNumType w:start="12"/>
          <w:cols w:num="1" w:space="708" w:equalWidth="0">
            <w:col w:w="10951" w:space="0"/>
          </w:cols>
        </w:sectPr>
      </w:pPr>
      <w:r>
        <w:rPr>
          <w:spacing w:val="7"/>
        </w:rPr>
        <w:t>工信部：到2025年制定200项以上碳达峰急需标准。近日，工业和信息化</w:t>
      </w:r>
      <w:r>
        <w:rPr>
          <w:spacing w:val="6"/>
        </w:rPr>
        <w:t>部办公厅公布</w:t>
      </w:r>
      <w:r>
        <w:t xml:space="preserve"> </w:t>
      </w:r>
      <w:r>
        <w:t>《工业领域碳达峰碳中和标准体系建设指南》,聚焦钢铁、建材、有色金属、石化、化工</w:t>
      </w:r>
      <w:r>
        <w:rPr>
          <w:spacing w:val="-1"/>
        </w:rPr>
        <w:t>等碳</w:t>
      </w:r>
      <w:r>
        <w:t xml:space="preserve">  </w:t>
      </w:r>
      <w:r>
        <w:rPr>
          <w:spacing w:val="-1"/>
        </w:rPr>
        <w:t>排放重点行业，以及重点产品降碳、工艺过程控碳、协同降碳等方面，加快急需标准的制定，</w:t>
      </w:r>
    </w:p>
    <w:p>
      <w:pPr>
        <w:pStyle w:val="BodyText"/>
        <w:spacing w:line="225" w:lineRule="auto"/>
        <w:ind w:left="2230"/>
      </w:pPr>
      <w:r>
        <w:rPr>
          <w:spacing w:val="-4"/>
        </w:rPr>
        <w:t>及时修订现有标准。</w:t>
      </w:r>
    </w:p>
    <w:p>
      <w:pPr>
        <w:pStyle w:val="BodyText"/>
        <w:spacing w:before="308" w:line="337" w:lineRule="auto"/>
        <w:ind w:left="2210" w:right="161" w:firstLine="429"/>
        <w:jc w:val="both"/>
      </w:pPr>
      <w:r>
        <w:rPr>
          <w:spacing w:val="6"/>
        </w:rPr>
        <w:t>指南提出，到2025年，初步建立工业领域碳达峰碳中和标准体</w:t>
      </w:r>
      <w:r>
        <w:rPr>
          <w:spacing w:val="5"/>
        </w:rPr>
        <w:t>系，制定200项以上碳达</w:t>
      </w:r>
      <w:r>
        <w:t xml:space="preserve"> </w:t>
      </w:r>
      <w:r>
        <w:rPr>
          <w:spacing w:val="-1"/>
        </w:rPr>
        <w:t>峰急需标准，重点制定基础通用、温室气体核算、低碳技术与装备等领域标准，为工业领域开</w:t>
      </w:r>
      <w:r>
        <w:rPr>
          <w:spacing w:val="8"/>
        </w:rPr>
        <w:t xml:space="preserve"> </w:t>
      </w:r>
      <w:r>
        <w:rPr>
          <w:spacing w:val="4"/>
        </w:rPr>
        <w:t>展碳评估、降低碳排放等提供技术支撑。到2</w:t>
      </w:r>
      <w:r>
        <w:rPr>
          <w:spacing w:val="3"/>
        </w:rPr>
        <w:t>030年，形成较为完善的工业领域碳达峰碳中和</w:t>
      </w:r>
    </w:p>
    <w:p>
      <w:pPr>
        <w:pStyle w:val="BodyText"/>
        <w:spacing w:line="220" w:lineRule="auto"/>
        <w:ind w:left="2220"/>
      </w:pPr>
      <w:r>
        <w:rPr>
          <w:spacing w:val="-1"/>
        </w:rPr>
        <w:t>标准体系，加快制定协同降碳、碳排放管理、低碳评价类标准，实现重点行业重点领域标准全</w:t>
      </w:r>
    </w:p>
    <w:p>
      <w:pPr>
        <w:spacing w:before="140"/>
      </w:pPr>
    </w:p>
    <w:p>
      <w:pPr>
        <w:sectPr>
          <w:headerReference w:type="default" r:id="rId21"/>
          <w:type w:val="nextPage"/>
          <w:pgSz w:w="11910" w:h="16840"/>
          <w:pgMar w:top="1319" w:right="449" w:bottom="0" w:left="509" w:header="440" w:footer="0" w:gutter="0"/>
          <w:pgNumType w:start="13"/>
          <w:cols w:num="1" w:space="708" w:equalWidth="0">
            <w:col w:w="10951" w:space="0"/>
          </w:cols>
          <w:titlePg w:val="0"/>
        </w:sectPr>
      </w:pPr>
    </w:p>
    <w:p>
      <w:pPr>
        <w:pStyle w:val="BodyText"/>
        <w:spacing w:before="44" w:line="216" w:lineRule="auto"/>
        <w:ind w:left="50"/>
        <w:rPr>
          <w:rFonts w:ascii="Times New Roman" w:eastAsia="Times New Roman" w:hAnsi="Times New Roman" w:cs="Times New Roman"/>
        </w:rPr>
      </w:pPr>
      <w:r>
        <w:rPr>
          <w:spacing w:val="-6"/>
        </w:rPr>
        <w:t>本报告版权属于中原证券股份有限公司</w:t>
      </w:r>
      <w:r>
        <w:rPr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www.ccnew.</w:t>
      </w:r>
      <w:r>
        <w:rPr>
          <w:rFonts w:ascii="Times New Roman" w:eastAsia="Times New Roman" w:hAnsi="Times New Roman" w:cs="Times New Roman"/>
          <w:spacing w:val="-7"/>
        </w:rPr>
        <w:t>com</w:t>
      </w:r>
    </w:p>
    <w:p>
      <w:pPr>
        <w:pStyle w:val="BodyText"/>
        <w:spacing w:line="192" w:lineRule="auto"/>
        <w:ind w:left="70"/>
      </w:pPr>
      <w:r>
        <w:rPr>
          <w:spacing w:val="-11"/>
        </w:rPr>
        <w:t>请阅读最后一页各项声明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spacing w:line="251" w:lineRule="auto"/>
        <w:rPr>
          <w:rFonts w:ascii="Arial"/>
          <w:sz w:val="21"/>
        </w:rPr>
      </w:pPr>
    </w:p>
    <w:p>
      <w:pPr>
        <w:pStyle w:val="BodyText"/>
        <w:spacing w:before="59" w:line="201" w:lineRule="auto"/>
        <w:rPr>
          <w:sz w:val="18"/>
          <w:szCs w:val="18"/>
        </w:rPr>
      </w:pPr>
      <w:r>
        <w:rPr>
          <w:spacing w:val="29"/>
          <w:sz w:val="18"/>
          <w:szCs w:val="18"/>
        </w:rPr>
        <w:t>第4页/共16页</w:t>
      </w:r>
    </w:p>
    <w:p>
      <w:pPr>
        <w:spacing w:line="201" w:lineRule="auto"/>
        <w:rPr>
          <w:sz w:val="18"/>
          <w:szCs w:val="18"/>
        </w:rPr>
        <w:sectPr>
          <w:headerReference w:type="default" r:id="rId22"/>
          <w:type w:val="continuous"/>
          <w:pgSz w:w="11910" w:h="16840"/>
          <w:pgMar w:top="1319" w:right="449" w:bottom="0" w:left="509" w:header="440" w:footer="0" w:gutter="0"/>
          <w:pgNumType w:start="14"/>
          <w:cols w:num="2" w:space="708" w:equalWidth="0">
            <w:col w:w="9070" w:space="100"/>
            <w:col w:w="1781" w:space="0"/>
          </w:cols>
        </w:sectPr>
      </w:pPr>
    </w:p>
    <w:p>
      <w:pPr>
        <w:spacing w:line="474" w:lineRule="auto"/>
        <w:rPr>
          <w:rFonts w:ascii="Arial"/>
          <w:sz w:val="21"/>
        </w:rPr>
      </w:pPr>
      <w:r>
        <w:drawing>
          <wp:anchor distT="0" distB="0" distL="0" distR="0" simplePos="0" relativeHeight="251669504" behindDoc="0" locked="0" layoutInCell="0" allowOverlap="1">
            <wp:simplePos x="0" y="0"/>
            <wp:positionH relativeFrom="page">
              <wp:posOffset>311136</wp:posOffset>
            </wp:positionH>
            <wp:positionV relativeFrom="page">
              <wp:posOffset>831819</wp:posOffset>
            </wp:positionV>
            <wp:extent cx="6915166" cy="6350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1516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8480" behindDoc="0" locked="0" layoutInCell="0" allowOverlap="1">
            <wp:simplePos x="0" y="0"/>
            <wp:positionH relativeFrom="page">
              <wp:posOffset>400074</wp:posOffset>
            </wp:positionH>
            <wp:positionV relativeFrom="page">
              <wp:posOffset>279419</wp:posOffset>
            </wp:positionV>
            <wp:extent cx="2000222" cy="520661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000222" cy="5206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8" w:line="232" w:lineRule="auto"/>
        <w:ind w:left="9533"/>
        <w:rPr>
          <w:sz w:val="27"/>
          <w:szCs w:val="27"/>
        </w:rPr>
      </w:pPr>
      <w:r>
        <w:rPr>
          <w:b/>
          <w:bCs/>
          <w:spacing w:val="-5"/>
          <w:sz w:val="27"/>
          <w:szCs w:val="27"/>
        </w:rPr>
        <w:t>基础化工</w:t>
      </w:r>
    </w:p>
    <w:p>
      <w:pPr>
        <w:pStyle w:val="BodyText"/>
        <w:spacing w:before="105" w:line="220" w:lineRule="auto"/>
        <w:ind w:left="2230"/>
      </w:pPr>
      <w:r>
        <w:rPr>
          <w:spacing w:val="-1"/>
        </w:rPr>
        <w:t>覆盖，支撑工业领域碳排放全面达峰，标准化工作重点逐步向碳中和目标转变。</w:t>
      </w:r>
    </w:p>
    <w:p>
      <w:pPr>
        <w:pStyle w:val="BodyText"/>
        <w:spacing w:before="293" w:line="409" w:lineRule="exact"/>
        <w:ind w:left="2659"/>
      </w:pPr>
      <w:r>
        <w:rPr>
          <w:spacing w:val="-1"/>
          <w:position w:val="15"/>
        </w:rPr>
        <w:t>工业领域碳达峰碳中和标准体系框架包括基础通用、核算与核查、技术与装备</w:t>
      </w:r>
      <w:r>
        <w:rPr>
          <w:spacing w:val="-2"/>
          <w:position w:val="15"/>
        </w:rPr>
        <w:t>、监测、管</w:t>
      </w:r>
    </w:p>
    <w:p>
      <w:pPr>
        <w:pStyle w:val="BodyText"/>
        <w:spacing w:before="1" w:line="222" w:lineRule="auto"/>
        <w:ind w:left="2230"/>
      </w:pPr>
      <w:r>
        <w:rPr>
          <w:spacing w:val="-3"/>
        </w:rPr>
        <w:t>理与评价等五大类标准。</w:t>
      </w:r>
    </w:p>
    <w:p>
      <w:pPr>
        <w:pStyle w:val="BodyText"/>
        <w:spacing w:before="283" w:line="220" w:lineRule="auto"/>
        <w:ind w:left="2659"/>
      </w:pPr>
      <w:r>
        <w:rPr>
          <w:spacing w:val="-1"/>
        </w:rPr>
        <w:t>指南鼓励企业制定严于国家标准和行业标准的企业标准，推动企业加快实现低碳转</w:t>
      </w:r>
      <w:r>
        <w:rPr>
          <w:spacing w:val="-2"/>
        </w:rPr>
        <w:t>型。</w:t>
      </w:r>
    </w:p>
    <w:p>
      <w:pPr>
        <w:pStyle w:val="BodyText"/>
        <w:spacing w:before="291" w:line="344" w:lineRule="auto"/>
        <w:ind w:left="2230" w:right="181" w:firstLine="432"/>
      </w:pPr>
      <w:r>
        <w:rPr>
          <w:b/>
          <w:bCs/>
          <w:spacing w:val="3"/>
        </w:rPr>
        <w:t>2023年能源投资保持快速增长。</w:t>
      </w:r>
      <w:r>
        <w:rPr>
          <w:spacing w:val="3"/>
        </w:rPr>
        <w:t>从国家能源局传来消息，2023年，我国能源投资保持快</w:t>
      </w:r>
      <w:r>
        <w:rPr>
          <w:spacing w:val="8"/>
        </w:rPr>
        <w:t xml:space="preserve"> </w:t>
      </w:r>
      <w:r>
        <w:t>速增长。据监测，全国在建和年内拟开工能源重点项目完成投资额约2.8万亿</w:t>
      </w:r>
      <w:r>
        <w:rPr>
          <w:spacing w:val="-1"/>
        </w:rPr>
        <w:t>元。分类别看，</w:t>
      </w:r>
      <w:r>
        <w:rPr>
          <w:spacing w:val="-1"/>
        </w:rPr>
        <w:t xml:space="preserve"> </w:t>
      </w:r>
      <w:r>
        <w:rPr>
          <w:spacing w:val="6"/>
        </w:rPr>
        <w:t>常规项目和新业态项目完成投资额比上年分别增长16%和152</w:t>
      </w:r>
      <w:r>
        <w:rPr>
          <w:spacing w:val="5"/>
        </w:rPr>
        <w:t>.8%。分地区看，东部、中部、</w:t>
      </w:r>
    </w:p>
    <w:p>
      <w:pPr>
        <w:pStyle w:val="BodyText"/>
        <w:spacing w:line="224" w:lineRule="auto"/>
        <w:ind w:left="2230"/>
      </w:pPr>
      <w:r>
        <w:rPr>
          <w:spacing w:val="6"/>
        </w:rPr>
        <w:t>西部地区完成投资额比上年分别增长28.5%、13.6%、22.5%。</w:t>
      </w:r>
    </w:p>
    <w:p>
      <w:pPr>
        <w:pStyle w:val="BodyText"/>
        <w:spacing w:before="290" w:line="390" w:lineRule="exact"/>
        <w:ind w:left="2659"/>
      </w:pPr>
      <w:r>
        <w:rPr>
          <w:spacing w:val="5"/>
          <w:position w:val="13"/>
        </w:rPr>
        <w:t>新能源投资快速增长。2023年，新能源完成投资额比上年增长超34%。其</w:t>
      </w:r>
      <w:r>
        <w:rPr>
          <w:spacing w:val="4"/>
          <w:position w:val="13"/>
        </w:rPr>
        <w:t>中，太阳能发</w:t>
      </w:r>
    </w:p>
    <w:p>
      <w:pPr>
        <w:pStyle w:val="BodyText"/>
        <w:spacing w:line="220" w:lineRule="auto"/>
        <w:ind w:left="2230"/>
      </w:pPr>
      <w:r>
        <w:rPr>
          <w:spacing w:val="5"/>
        </w:rPr>
        <w:t>电完成投资额超6700亿元，河北、云南、新疆3个省份的集中式光伏完</w:t>
      </w:r>
      <w:r>
        <w:rPr>
          <w:spacing w:val="4"/>
        </w:rPr>
        <w:t>成投资额增速均超</w:t>
      </w:r>
    </w:p>
    <w:p>
      <w:pPr>
        <w:pStyle w:val="BodyText"/>
        <w:spacing w:before="139" w:line="343" w:lineRule="auto"/>
        <w:ind w:left="2230"/>
      </w:pPr>
      <w:r>
        <w:rPr>
          <w:spacing w:val="9"/>
        </w:rPr>
        <w:t>100%。风电完成投资额超3800</w:t>
      </w:r>
      <w:r>
        <w:rPr>
          <w:spacing w:val="-15"/>
        </w:rPr>
        <w:t xml:space="preserve"> </w:t>
      </w:r>
      <w:r>
        <w:rPr>
          <w:spacing w:val="9"/>
        </w:rPr>
        <w:t>亿元，辽宁、甘肃、</w:t>
      </w:r>
      <w:r>
        <w:rPr>
          <w:spacing w:val="8"/>
        </w:rPr>
        <w:t>新疆3个省份的陆上风电投资加快释放，</w:t>
      </w:r>
      <w:r>
        <w:t xml:space="preserve"> </w:t>
      </w:r>
      <w:r>
        <w:rPr>
          <w:spacing w:val="-1"/>
        </w:rPr>
        <w:t>山东、广东的新建大型海上风电项目投资集中释放。我国已经成为世界清洁能源发展不可或缺</w:t>
      </w:r>
    </w:p>
    <w:p>
      <w:pPr>
        <w:pStyle w:val="BodyText"/>
        <w:spacing w:line="220" w:lineRule="auto"/>
        <w:ind w:left="2230"/>
      </w:pPr>
      <w:r>
        <w:rPr>
          <w:spacing w:val="7"/>
        </w:rPr>
        <w:t>的力量。2023年，全球可再生能源新增装机5.1亿千瓦，其中我国贡献超过50%。</w:t>
      </w:r>
    </w:p>
    <w:p>
      <w:pPr>
        <w:pStyle w:val="BodyText"/>
        <w:spacing w:before="300" w:line="421" w:lineRule="exact"/>
        <w:ind w:left="2659"/>
      </w:pPr>
      <w:r>
        <w:rPr>
          <w:spacing w:val="1"/>
          <w:position w:val="16"/>
        </w:rPr>
        <w:t>支撑性调节性电源投资较快增长。2023年，支撑性调节性电源完成投资额比上年增长超</w:t>
      </w:r>
    </w:p>
    <w:p>
      <w:pPr>
        <w:spacing w:before="1" w:line="183" w:lineRule="auto"/>
        <w:ind w:left="2230"/>
        <w:rPr>
          <w:rFonts w:ascii="SimSun" w:eastAsia="SimSun" w:hAnsi="SimSun" w:cs="SimSun"/>
          <w:sz w:val="21"/>
          <w:szCs w:val="21"/>
        </w:rPr>
      </w:pPr>
      <w:r>
        <w:rPr>
          <w:rFonts w:ascii="SimSun" w:eastAsia="SimSun" w:hAnsi="SimSun" w:cs="SimSun"/>
          <w:spacing w:val="-9"/>
          <w:sz w:val="21"/>
          <w:szCs w:val="21"/>
        </w:rPr>
        <w:t>12%。</w:t>
      </w:r>
    </w:p>
    <w:p>
      <w:pPr>
        <w:pStyle w:val="BodyText"/>
        <w:spacing w:before="290" w:line="395" w:lineRule="exact"/>
        <w:ind w:left="2659"/>
      </w:pPr>
      <w:r>
        <w:rPr>
          <w:spacing w:val="-1"/>
          <w:position w:val="14"/>
        </w:rPr>
        <w:t>能源新业态投资增势强劲。综合能源完成投资额快速增长，西北地区一批源网荷储一体化</w:t>
      </w:r>
    </w:p>
    <w:p>
      <w:pPr>
        <w:pStyle w:val="BodyText"/>
        <w:spacing w:line="224" w:lineRule="auto"/>
        <w:ind w:left="2230"/>
      </w:pPr>
      <w:r>
        <w:rPr>
          <w:spacing w:val="2"/>
        </w:rPr>
        <w:t>和多能互补项目加快推进。山东、湖南、广东、重庆、甘肃、新疆6地的电化学储能投资高</w:t>
      </w:r>
    </w:p>
    <w:p>
      <w:pPr>
        <w:pStyle w:val="BodyText"/>
        <w:spacing w:before="136" w:line="225" w:lineRule="auto"/>
        <w:ind w:left="2230"/>
      </w:pPr>
      <w:r>
        <w:rPr>
          <w:spacing w:val="-2"/>
        </w:rPr>
        <w:t>速增长。内蒙古、新疆的一批绿电制氢项目有序推进。</w:t>
      </w:r>
    </w:p>
    <w:p>
      <w:pPr>
        <w:pStyle w:val="BodyText"/>
        <w:spacing w:before="288" w:line="343" w:lineRule="auto"/>
        <w:ind w:left="2230" w:right="217" w:firstLine="432"/>
      </w:pPr>
      <w:r>
        <w:rPr>
          <w:b/>
          <w:bCs/>
          <w:spacing w:val="5"/>
        </w:rPr>
        <w:t>河南实施重点产业链绿色化升级改造。</w:t>
      </w:r>
      <w:r>
        <w:rPr>
          <w:spacing w:val="5"/>
        </w:rPr>
        <w:t>中化新网讯2月21日，河南省工信厅发布《关于</w:t>
      </w:r>
      <w:r>
        <w:rPr>
          <w:spacing w:val="5"/>
        </w:rPr>
        <w:t xml:space="preserve"> </w:t>
      </w:r>
      <w:r>
        <w:rPr>
          <w:spacing w:val="3"/>
        </w:rPr>
        <w:t>印发全省重点产业链2024年度绿色化升级改造实施指南的通知》(</w:t>
      </w:r>
      <w:r>
        <w:rPr>
          <w:spacing w:val="2"/>
        </w:rPr>
        <w:t>简称《指南》),旨在加快</w:t>
      </w:r>
    </w:p>
    <w:p>
      <w:pPr>
        <w:pStyle w:val="BodyText"/>
        <w:spacing w:line="220" w:lineRule="auto"/>
        <w:ind w:left="2230"/>
      </w:pPr>
      <w:r>
        <w:rPr>
          <w:spacing w:val="-1"/>
        </w:rPr>
        <w:t>推进重点行业和重点产业链绿色低碳改造升级，带动全产业链企业能效稳步</w:t>
      </w:r>
      <w:r>
        <w:rPr>
          <w:spacing w:val="-2"/>
        </w:rPr>
        <w:t>提升。</w:t>
      </w:r>
    </w:p>
    <w:p>
      <w:pPr>
        <w:pStyle w:val="BodyText"/>
        <w:spacing w:before="308" w:line="336" w:lineRule="auto"/>
        <w:ind w:left="2230" w:right="356" w:firstLine="429"/>
        <w:jc w:val="both"/>
      </w:pPr>
      <w:r>
        <w:t>据河南省工信厅相关负责人介绍，《指南》对28条重点产业链绿色化</w:t>
      </w:r>
      <w:r>
        <w:rPr>
          <w:spacing w:val="-1"/>
        </w:rPr>
        <w:t>升级提出了明确的</w:t>
      </w:r>
      <w:r>
        <w:t xml:space="preserve"> </w:t>
      </w:r>
      <w:r>
        <w:rPr>
          <w:spacing w:val="3"/>
        </w:rPr>
        <w:t>目标和路径，力争重点产业链中能效优于标杆水平的企业比例达20</w:t>
      </w:r>
      <w:r>
        <w:rPr>
          <w:spacing w:val="2"/>
        </w:rPr>
        <w:t>%以上，能效基准水平以</w:t>
      </w:r>
    </w:p>
    <w:p>
      <w:pPr>
        <w:pStyle w:val="BodyText"/>
        <w:spacing w:before="1" w:line="222" w:lineRule="auto"/>
        <w:ind w:left="2230"/>
      </w:pPr>
      <w:r>
        <w:rPr>
          <w:spacing w:val="-5"/>
        </w:rPr>
        <w:t>下的企业基本清零。</w:t>
      </w:r>
    </w:p>
    <w:p>
      <w:pPr>
        <w:pStyle w:val="BodyText"/>
        <w:spacing w:before="304" w:line="393" w:lineRule="exact"/>
        <w:ind w:left="2659"/>
      </w:pPr>
      <w:r>
        <w:rPr>
          <w:spacing w:val="3"/>
          <w:position w:val="13"/>
        </w:rPr>
        <w:t>据了解，在这28条重点产业链中，包括超硬</w:t>
      </w:r>
      <w:r>
        <w:rPr>
          <w:spacing w:val="2"/>
          <w:position w:val="13"/>
        </w:rPr>
        <w:t>材料、先进铝基材料、先进铜基材料、尼龙</w:t>
      </w:r>
    </w:p>
    <w:p>
      <w:pPr>
        <w:pStyle w:val="BodyText"/>
        <w:spacing w:before="1" w:line="222" w:lineRule="auto"/>
        <w:ind w:left="2230"/>
      </w:pPr>
      <w:r>
        <w:rPr>
          <w:spacing w:val="-2"/>
        </w:rPr>
        <w:t>新材料、化工新材料、生物医药、绿色建筑材料等产业链。</w:t>
      </w:r>
    </w:p>
    <w:p>
      <w:pPr>
        <w:pStyle w:val="BodyText"/>
        <w:spacing w:before="297" w:line="224" w:lineRule="auto"/>
        <w:ind w:left="2645"/>
      </w:pPr>
      <w:r>
        <w:rPr>
          <w:spacing w:val="-1"/>
        </w:rPr>
        <w:t>《指南》在技术升级路径、工艺改造路径方面提出了明确要求。</w:t>
      </w:r>
    </w:p>
    <w:p>
      <w:pPr>
        <w:pStyle w:val="BodyText"/>
        <w:spacing w:before="290" w:line="336" w:lineRule="auto"/>
        <w:ind w:left="2230" w:right="149" w:firstLine="429"/>
        <w:jc w:val="both"/>
      </w:pPr>
      <w:r>
        <w:t>在技术升级路径方面，提升乙烯单体—副产物—衍生物—聚合物—下游应用</w:t>
      </w:r>
      <w:r>
        <w:rPr>
          <w:spacing w:val="-1"/>
        </w:rPr>
        <w:t>产业链条绿色</w:t>
      </w:r>
      <w:r>
        <w:t xml:space="preserve"> </w:t>
      </w:r>
      <w:r>
        <w:t>化发展水平，加快硅基电子化学品、含氟电子特气关键材料、含氟电子化学品、</w:t>
      </w:r>
      <w:r>
        <w:rPr>
          <w:spacing w:val="-1"/>
        </w:rPr>
        <w:t>氟聚合物、生</w:t>
      </w:r>
    </w:p>
    <w:p>
      <w:pPr>
        <w:pStyle w:val="BodyText"/>
        <w:spacing w:before="1" w:line="222" w:lineRule="auto"/>
        <w:ind w:left="2230"/>
        <w:sectPr>
          <w:headerReference w:type="default" r:id="rId25"/>
          <w:pgSz w:w="11910" w:h="16840"/>
          <w:pgMar w:top="400" w:right="425" w:bottom="0" w:left="489" w:header="0" w:footer="0" w:gutter="0"/>
          <w:pgNumType w:start="15"/>
          <w:cols w:space="708"/>
        </w:sectPr>
      </w:pPr>
      <w:r>
        <w:rPr>
          <w:spacing w:val="-1"/>
        </w:rPr>
        <w:t>物基材料、绿色涂料、高端海绵钛原材料等产品关</w:t>
      </w:r>
      <w:r>
        <w:rPr>
          <w:spacing w:val="-2"/>
        </w:rPr>
        <w:t>键技术装备应用。</w:t>
      </w:r>
    </w:p>
    <w:p>
      <w:pPr>
        <w:pStyle w:val="BodyText"/>
        <w:spacing w:before="293" w:line="400" w:lineRule="exact"/>
        <w:ind w:left="2659"/>
      </w:pPr>
      <w:r>
        <w:rPr>
          <w:spacing w:val="-5"/>
          <w:position w:val="14"/>
        </w:rPr>
        <w:t>在工艺改造路径方面，加快高效换热技术、</w:t>
      </w:r>
      <w:r>
        <w:rPr>
          <w:spacing w:val="53"/>
          <w:position w:val="14"/>
        </w:rPr>
        <w:t xml:space="preserve"> </w:t>
      </w:r>
      <w:r>
        <w:rPr>
          <w:spacing w:val="-5"/>
          <w:position w:val="14"/>
        </w:rPr>
        <w:t>一氧化碳燃烧控制技术、乙二醇加氢技术等绿</w:t>
      </w:r>
    </w:p>
    <w:p>
      <w:pPr>
        <w:pStyle w:val="BodyText"/>
        <w:spacing w:line="220" w:lineRule="auto"/>
        <w:ind w:left="2230"/>
      </w:pPr>
      <w:r>
        <w:rPr>
          <w:spacing w:val="-1"/>
        </w:rPr>
        <w:t>色低碳先进适用技术改造，加强石化节水减排成套集成工艺、石化污水气浮生化过滤再生回用</w:t>
      </w:r>
    </w:p>
    <w:p>
      <w:pPr>
        <w:pStyle w:val="BodyText"/>
        <w:spacing w:before="286" w:line="216" w:lineRule="auto"/>
        <w:ind w:left="70"/>
        <w:rPr>
          <w:rFonts w:ascii="Times New Roman" w:eastAsia="Times New Roman" w:hAnsi="Times New Roman" w:cs="Times New Roman"/>
        </w:rPr>
      </w:pPr>
      <w:r>
        <w:rPr>
          <w:spacing w:val="-6"/>
        </w:rPr>
        <w:t>本报告版权属于中原证券股份有限公司</w:t>
      </w:r>
      <w:r>
        <w:rPr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www.ccnew.</w:t>
      </w:r>
      <w:r>
        <w:rPr>
          <w:rFonts w:ascii="Times New Roman" w:eastAsia="Times New Roman" w:hAnsi="Times New Roman" w:cs="Times New Roman"/>
          <w:spacing w:val="-7"/>
        </w:rPr>
        <w:t>com</w:t>
      </w:r>
    </w:p>
    <w:p>
      <w:pPr>
        <w:pStyle w:val="BodyText"/>
        <w:spacing w:before="1" w:line="224" w:lineRule="auto"/>
        <w:ind w:left="80"/>
      </w:pPr>
      <w:r>
        <w:rPr>
          <w:spacing w:val="-1"/>
        </w:rPr>
        <w:t>请阅读最后一页各项声明</w:t>
      </w:r>
      <w:r>
        <w:rPr>
          <w:spacing w:val="-1"/>
        </w:rPr>
        <w:t xml:space="preserve">            </w:t>
      </w:r>
      <w:r>
        <w:rPr>
          <w:spacing w:val="-2"/>
        </w:rPr>
        <w:t xml:space="preserve">                                                       </w:t>
      </w:r>
      <w:r>
        <w:rPr>
          <w:spacing w:val="-2"/>
        </w:rPr>
        <w:t>第5页/共16页</w:t>
      </w:r>
    </w:p>
    <w:p>
      <w:pPr>
        <w:spacing w:line="224" w:lineRule="auto"/>
        <w:sectPr>
          <w:headerReference w:type="default" r:id="rId26"/>
          <w:type w:val="nextPage"/>
          <w:pgSz w:w="11910" w:h="16840"/>
          <w:pgMar w:top="400" w:right="425" w:bottom="0" w:left="489" w:header="0" w:footer="0" w:gutter="0"/>
          <w:pgNumType w:start="16"/>
          <w:cols w:space="708"/>
          <w:titlePg w:val="0"/>
        </w:sectPr>
      </w:pPr>
    </w:p>
    <w:p>
      <w:pPr>
        <w:pStyle w:val="BodyText"/>
        <w:spacing w:before="105" w:line="224" w:lineRule="auto"/>
        <w:ind w:left="2230"/>
      </w:pPr>
      <w:r>
        <w:drawing>
          <wp:anchor distT="0" distB="0" distL="0" distR="0" simplePos="0" relativeHeight="251670528" behindDoc="0" locked="0" layoutInCell="0" allowOverlap="1">
            <wp:simplePos x="0" y="0"/>
            <wp:positionH relativeFrom="page">
              <wp:posOffset>323841</wp:posOffset>
            </wp:positionH>
            <wp:positionV relativeFrom="page">
              <wp:posOffset>10064734</wp:posOffset>
            </wp:positionV>
            <wp:extent cx="6908814" cy="6416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908814" cy="6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</w:rPr>
        <w:t>成套技术、化工废水双碱法化学除硬技术等先</w:t>
      </w:r>
      <w:r>
        <w:rPr>
          <w:spacing w:val="-2"/>
        </w:rPr>
        <w:t>进节水工艺应用。</w:t>
      </w:r>
    </w:p>
    <w:p>
      <w:pPr>
        <w:pStyle w:val="BodyText"/>
        <w:spacing w:before="290" w:line="344" w:lineRule="auto"/>
        <w:ind w:left="2230" w:right="226" w:firstLine="475"/>
        <w:jc w:val="both"/>
      </w:pPr>
      <w:r>
        <w:rPr>
          <w:spacing w:val="-1"/>
        </w:rPr>
        <w:t>《指南》提出，要加强技术攻关，依托高等院校、科研院所、行业协会及产业研究院的</w:t>
      </w:r>
      <w:r>
        <w:rPr>
          <w:spacing w:val="8"/>
        </w:rPr>
        <w:t xml:space="preserve">  </w:t>
      </w:r>
      <w:r>
        <w:rPr>
          <w:spacing w:val="-1"/>
        </w:rPr>
        <w:t>创新资源，推动节能减污降碳协同增效的绿色共性关键技术、前沿引领技术和相关设施装</w:t>
      </w:r>
      <w:r>
        <w:rPr>
          <w:spacing w:val="-2"/>
        </w:rPr>
        <w:t>备研</w:t>
      </w:r>
      <w:r>
        <w:t xml:space="preserve"> </w:t>
      </w:r>
      <w:r>
        <w:rPr>
          <w:spacing w:val="-1"/>
        </w:rPr>
        <w:t>发攻关。推动重点产业链企业采用先进前沿技术装备谋划建设示范项目，引</w:t>
      </w:r>
      <w:r>
        <w:rPr>
          <w:spacing w:val="-2"/>
        </w:rPr>
        <w:t>领产业链绿色低碳</w:t>
      </w:r>
    </w:p>
    <w:p>
      <w:pPr>
        <w:pStyle w:val="BodyText"/>
        <w:spacing w:line="223" w:lineRule="auto"/>
        <w:ind w:left="2230"/>
      </w:pPr>
      <w:r>
        <w:rPr>
          <w:spacing w:val="-8"/>
        </w:rPr>
        <w:t>高质量发展。</w:t>
      </w:r>
    </w:p>
    <w:p>
      <w:pPr>
        <w:pStyle w:val="BodyText"/>
        <w:spacing w:before="290" w:line="336" w:lineRule="auto"/>
        <w:ind w:left="2230" w:right="20" w:firstLine="429"/>
      </w:pPr>
      <w:r>
        <w:rPr>
          <w:spacing w:val="4"/>
        </w:rPr>
        <w:t>据介绍，今年河南省重点产业链绿色化升级目标为：培育20家以上能效水效“领跑者”</w:t>
      </w:r>
      <w:r>
        <w:rPr>
          <w:spacing w:val="4"/>
        </w:rPr>
        <w:t xml:space="preserve">  </w:t>
      </w:r>
      <w:r>
        <w:rPr>
          <w:spacing w:val="5"/>
        </w:rPr>
        <w:t>企业；培育超级能效工厂、零碳工厂，新增绿色工厂100</w:t>
      </w:r>
      <w:r>
        <w:rPr>
          <w:spacing w:val="-44"/>
        </w:rPr>
        <w:t xml:space="preserve"> </w:t>
      </w:r>
      <w:r>
        <w:rPr>
          <w:spacing w:val="5"/>
        </w:rPr>
        <w:t>家、绿色供应链管理企</w:t>
      </w:r>
      <w:r>
        <w:rPr>
          <w:spacing w:val="4"/>
        </w:rPr>
        <w:t>业20家以上；</w:t>
      </w:r>
    </w:p>
    <w:p>
      <w:pPr>
        <w:pStyle w:val="BodyText"/>
        <w:spacing w:before="1" w:line="222" w:lineRule="auto"/>
        <w:ind w:left="2230"/>
      </w:pPr>
      <w:r>
        <w:rPr>
          <w:spacing w:val="2"/>
        </w:rPr>
        <w:t>新增一批绿色设计产品和工业产品绿色设计示范企</w:t>
      </w:r>
      <w:r>
        <w:rPr>
          <w:spacing w:val="1"/>
        </w:rPr>
        <w:t>业；新建30家以上数字化能碳管理中心。</w:t>
      </w:r>
    </w:p>
    <w:p>
      <w:pPr>
        <w:pStyle w:val="BodyText"/>
        <w:spacing w:before="282" w:line="343" w:lineRule="auto"/>
        <w:ind w:left="2230" w:right="40" w:firstLine="429"/>
      </w:pPr>
      <w:r>
        <w:rPr>
          <w:spacing w:val="3"/>
        </w:rPr>
        <w:t>河南省石化协会常务副会长苏东表示，纵观《指南》提到的28条产业链</w:t>
      </w:r>
      <w:r>
        <w:rPr>
          <w:spacing w:val="2"/>
        </w:rPr>
        <w:t>，均与化工、化</w:t>
      </w:r>
      <w:r>
        <w:t xml:space="preserve">   </w:t>
      </w:r>
      <w:r>
        <w:rPr>
          <w:spacing w:val="-2"/>
        </w:rPr>
        <w:t>学有着千丝万缕的联系。化学在构建新型生产力的过程中，将会发挥新的、更大的作用。因此，</w:t>
      </w:r>
      <w:r>
        <w:rPr>
          <w:spacing w:val="18"/>
        </w:rPr>
        <w:t xml:space="preserve"> </w:t>
      </w:r>
      <w:r>
        <w:rPr>
          <w:spacing w:val="-1"/>
        </w:rPr>
        <w:t>化工行业要积极主动融入生物医药、绿色建筑材料等产业链中，为产业有机融合发挥应有的作</w:t>
      </w:r>
    </w:p>
    <w:p>
      <w:pPr>
        <w:pStyle w:val="BodyText"/>
        <w:spacing w:line="220" w:lineRule="auto"/>
        <w:ind w:left="2230"/>
      </w:pPr>
      <w:r>
        <w:rPr>
          <w:spacing w:val="-12"/>
        </w:rPr>
        <w:t>用，更好地服务于全社会。。</w:t>
      </w:r>
    </w:p>
    <w:p>
      <w:pPr>
        <w:pStyle w:val="BodyText"/>
        <w:spacing w:before="299" w:line="343" w:lineRule="auto"/>
        <w:ind w:left="2230" w:firstLine="432"/>
      </w:pPr>
      <w:r>
        <w:rPr>
          <w:b/>
          <w:bCs/>
          <w:spacing w:val="13"/>
        </w:rPr>
        <w:t>2023年氮肥表观消费量超3800万吨!全国氮肥销售20强公布。</w:t>
      </w:r>
      <w:r>
        <w:rPr>
          <w:spacing w:val="13"/>
        </w:rPr>
        <w:t>3月6~7日，</w:t>
      </w:r>
      <w:r>
        <w:rPr>
          <w:spacing w:val="12"/>
        </w:rPr>
        <w:t>在广东省</w:t>
      </w:r>
      <w:r>
        <w:rPr>
          <w:spacing w:val="12"/>
        </w:rPr>
        <w:t xml:space="preserve">   </w:t>
      </w:r>
      <w:r>
        <w:rPr>
          <w:spacing w:val="9"/>
        </w:rPr>
        <w:t>广州市召开的2024年全国春季氮肥市场形势分析会上，2023年全国氮</w:t>
      </w:r>
      <w:r>
        <w:rPr>
          <w:spacing w:val="8"/>
        </w:rPr>
        <w:t>肥销售20强名单公布。</w:t>
      </w:r>
    </w:p>
    <w:p>
      <w:pPr>
        <w:pStyle w:val="BodyText"/>
        <w:spacing w:line="220" w:lineRule="auto"/>
        <w:ind w:left="2230"/>
      </w:pPr>
      <w:r>
        <w:rPr>
          <w:spacing w:val="2"/>
        </w:rPr>
        <w:t>中国氮肥工业协会理事长顾宗勤在讲话指出，2023年</w:t>
      </w:r>
      <w:r>
        <w:rPr>
          <w:spacing w:val="1"/>
        </w:rPr>
        <w:t>我国氮肥生产和市场总体特点：产能产</w:t>
      </w:r>
    </w:p>
    <w:p>
      <w:pPr>
        <w:pStyle w:val="BodyText"/>
        <w:spacing w:before="140" w:line="220" w:lineRule="auto"/>
        <w:ind w:left="2230"/>
      </w:pPr>
      <w:r>
        <w:rPr>
          <w:spacing w:val="-1"/>
        </w:rPr>
        <w:t>量增加，市场供应充足，进出口逐步恢复，煤炭价格下降明显，氮肥价格回归正常。</w:t>
      </w:r>
    </w:p>
    <w:p>
      <w:pPr>
        <w:pStyle w:val="BodyText"/>
        <w:spacing w:before="299" w:line="307" w:lineRule="auto"/>
        <w:ind w:left="2230" w:right="20" w:firstLine="429"/>
        <w:jc w:val="both"/>
      </w:pPr>
      <w:r>
        <w:rPr>
          <w:spacing w:val="4"/>
        </w:rPr>
        <w:t>一是产量明显增长。据中国氮肥工业协会快报统</w:t>
      </w:r>
      <w:r>
        <w:rPr>
          <w:spacing w:val="3"/>
        </w:rPr>
        <w:t>计，2023年全国合成氨产量6765.4万吨，</w:t>
      </w:r>
      <w:r>
        <w:t xml:space="preserve"> </w:t>
      </w:r>
      <w:r>
        <w:rPr>
          <w:spacing w:val="13"/>
        </w:rPr>
        <w:t>同比增长9.4%;氮肥产量4486.7万吨纯氮，同比增长8.6%;</w:t>
      </w:r>
      <w:r>
        <w:rPr>
          <w:spacing w:val="12"/>
        </w:rPr>
        <w:t>尿素产量6291.5万吨(实物量),</w:t>
      </w:r>
      <w:r>
        <w:t xml:space="preserve"> </w:t>
      </w:r>
      <w:r>
        <w:rPr>
          <w:spacing w:val="7"/>
        </w:rPr>
        <w:t>同比增长9.2%。</w:t>
      </w:r>
    </w:p>
    <w:p>
      <w:pPr>
        <w:pStyle w:val="BodyText"/>
        <w:spacing w:before="293" w:line="220" w:lineRule="auto"/>
        <w:ind w:left="2659"/>
      </w:pPr>
      <w:r>
        <w:rPr>
          <w:spacing w:val="4"/>
        </w:rPr>
        <w:t>二是出口明显增加。据海关统计，2023年我国氮肥出口665.4万吨纯氮，同比增长</w:t>
      </w:r>
    </w:p>
    <w:p>
      <w:pPr>
        <w:pStyle w:val="BodyText"/>
        <w:spacing w:before="130" w:line="390" w:lineRule="exact"/>
        <w:ind w:left="2230"/>
      </w:pPr>
      <w:r>
        <w:rPr>
          <w:spacing w:val="11"/>
          <w:position w:val="13"/>
        </w:rPr>
        <w:t>31.9%;进口19.9万吨纯氮，同比增长63.0%。2023年我国尿素出口425.1万吨实物，同比</w:t>
      </w:r>
    </w:p>
    <w:p>
      <w:pPr>
        <w:pStyle w:val="BodyText"/>
        <w:spacing w:line="220" w:lineRule="auto"/>
        <w:ind w:left="2230"/>
      </w:pPr>
      <w:r>
        <w:rPr>
          <w:spacing w:val="10"/>
        </w:rPr>
        <w:t>增长50.2%。进口0.4万吨实物，同比下降23.5%。</w:t>
      </w:r>
    </w:p>
    <w:p>
      <w:pPr>
        <w:pStyle w:val="BodyText"/>
        <w:spacing w:before="289" w:line="343" w:lineRule="auto"/>
        <w:ind w:left="2230" w:right="200" w:firstLine="429"/>
      </w:pPr>
      <w:r>
        <w:rPr>
          <w:spacing w:val="4"/>
        </w:rPr>
        <w:t>三是消费明显增长。据中国氮肥工业协会测算，2023年全国氮肥表观消费量3841.2万吨</w:t>
      </w:r>
      <w:r>
        <w:rPr>
          <w:spacing w:val="12"/>
        </w:rPr>
        <w:t xml:space="preserve"> </w:t>
      </w:r>
      <w:r>
        <w:rPr>
          <w:spacing w:val="11"/>
        </w:rPr>
        <w:t>(折纯),同比增长5.6%;尿素表观消费量5866.8万吨，同比增长7.1%。2023年，由于中央</w:t>
      </w:r>
      <w:r>
        <w:rPr>
          <w:spacing w:val="18"/>
        </w:rPr>
        <w:t xml:space="preserve"> </w:t>
      </w:r>
      <w:r>
        <w:t>实施新一轮千亿斤粮食产能提升行动，开展粮油等主</w:t>
      </w:r>
      <w:r>
        <w:rPr>
          <w:spacing w:val="-1"/>
        </w:rPr>
        <w:t>要作物大面积单产提升行动，各地层层压</w:t>
      </w:r>
      <w:r>
        <w:t xml:space="preserve"> </w:t>
      </w:r>
      <w:r>
        <w:t>实粮食生产党政同责，进一步加大粮食生产支持力度</w:t>
      </w:r>
      <w:r>
        <w:rPr>
          <w:spacing w:val="-1"/>
        </w:rPr>
        <w:t>，提高农民种粮积极性，全国粮食播种面</w:t>
      </w:r>
    </w:p>
    <w:p>
      <w:pPr>
        <w:pStyle w:val="BodyText"/>
        <w:spacing w:line="220" w:lineRule="auto"/>
        <w:ind w:left="2230"/>
      </w:pPr>
      <w:r>
        <w:rPr>
          <w:spacing w:val="3"/>
        </w:rPr>
        <w:t>积增加954.6万亩。2023年国内氮肥总体供应充足，氮肥性价比提高，农民施肥数量增加，</w:t>
      </w:r>
    </w:p>
    <w:p>
      <w:pPr>
        <w:pStyle w:val="BodyText"/>
        <w:spacing w:before="140" w:line="220" w:lineRule="auto"/>
        <w:ind w:left="2230"/>
      </w:pPr>
      <w:r>
        <w:rPr>
          <w:spacing w:val="2"/>
        </w:rPr>
        <w:t>提高了农用氮肥消费量。非农领域方面，2023年人造板行业摆脱疫情的负面影响，</w:t>
      </w:r>
      <w:r>
        <w:rPr>
          <w:spacing w:val="1"/>
        </w:rPr>
        <w:t>生产较</w:t>
      </w:r>
    </w:p>
    <w:p>
      <w:pPr>
        <w:pStyle w:val="BodyText"/>
        <w:spacing w:before="140" w:line="220" w:lineRule="auto"/>
        <w:ind w:left="2230"/>
      </w:pPr>
      <w:r>
        <w:rPr>
          <w:spacing w:val="2"/>
        </w:rPr>
        <w:t>2022年有所恢复，电力行业火电机组脱硝装置液氨改尿素加快推进，非农领域尿素消费也有</w:t>
      </w:r>
    </w:p>
    <w:p>
      <w:pPr>
        <w:pStyle w:val="BodyText"/>
        <w:spacing w:before="139" w:line="390" w:lineRule="exact"/>
        <w:ind w:left="2320"/>
      </w:pPr>
      <w:r>
        <w:rPr>
          <w:spacing w:val="10"/>
          <w:position w:val="13"/>
        </w:rPr>
        <w:t>小幅增长。据估算，2023年非农领域尿素消费约195</w:t>
      </w:r>
      <w:r>
        <w:rPr>
          <w:spacing w:val="9"/>
          <w:position w:val="13"/>
        </w:rPr>
        <w:t>0万吨，同比增长130万吨，增幅7.3%,</w:t>
      </w:r>
    </w:p>
    <w:p>
      <w:pPr>
        <w:pStyle w:val="BodyText"/>
        <w:spacing w:line="220" w:lineRule="auto"/>
        <w:ind w:left="2230"/>
      </w:pPr>
      <w:r>
        <w:rPr>
          <w:spacing w:val="11"/>
        </w:rPr>
        <w:t>农业消费约3910万吨，同比增长260万吨，增幅6.9%。</w:t>
      </w:r>
    </w:p>
    <w:p>
      <w:pPr>
        <w:pStyle w:val="BodyText"/>
        <w:spacing w:before="300" w:line="220" w:lineRule="auto"/>
        <w:ind w:left="2659"/>
        <w:sectPr>
          <w:headerReference w:type="default" r:id="rId27"/>
          <w:pgSz w:w="11910" w:h="16840"/>
          <w:pgMar w:top="1319" w:right="394" w:bottom="0" w:left="489" w:header="440" w:footer="0" w:gutter="0"/>
          <w:pgNumType w:start="17"/>
          <w:cols w:num="1" w:space="708" w:equalWidth="0">
            <w:col w:w="11026" w:space="0"/>
          </w:cols>
        </w:sectPr>
      </w:pPr>
      <w:r>
        <w:rPr>
          <w:spacing w:val="2"/>
        </w:rPr>
        <w:t>四是煤炭价格下降。据中国氮肥工业协会统计，2023年氮肥企业无烟块</w:t>
      </w:r>
      <w:r>
        <w:rPr>
          <w:spacing w:val="1"/>
        </w:rPr>
        <w:t>煤平均到厂价</w:t>
      </w:r>
    </w:p>
    <w:p>
      <w:pPr>
        <w:pStyle w:val="BodyText"/>
        <w:spacing w:before="140" w:line="380" w:lineRule="exact"/>
        <w:ind w:left="2230"/>
      </w:pPr>
      <w:r>
        <w:rPr>
          <w:spacing w:val="12"/>
          <w:position w:val="12"/>
        </w:rPr>
        <w:t>1445元/吨，同比减少353元/吨，跌幅19.6%;烟煤平均到厂价949元/吨，同比减少217元</w:t>
      </w:r>
    </w:p>
    <w:p>
      <w:pPr>
        <w:pStyle w:val="BodyText"/>
        <w:spacing w:line="220" w:lineRule="auto"/>
        <w:ind w:left="2230"/>
      </w:pPr>
      <w:r>
        <w:rPr>
          <w:spacing w:val="5"/>
        </w:rPr>
        <w:t>/吨，跌幅18.6%。</w:t>
      </w:r>
    </w:p>
    <w:p>
      <w:pPr>
        <w:spacing w:line="102" w:lineRule="exact"/>
      </w:pPr>
    </w:p>
    <w:p>
      <w:pPr>
        <w:spacing w:line="102" w:lineRule="exact"/>
        <w:sectPr>
          <w:headerReference w:type="default" r:id="rId28"/>
          <w:type w:val="nextPage"/>
          <w:pgSz w:w="11910" w:h="16840"/>
          <w:pgMar w:top="1319" w:right="394" w:bottom="0" w:left="489" w:header="440" w:footer="0" w:gutter="0"/>
          <w:pgNumType w:start="18"/>
          <w:cols w:num="1" w:space="708" w:equalWidth="0">
            <w:col w:w="11026" w:space="0"/>
          </w:cols>
          <w:titlePg w:val="0"/>
        </w:sectPr>
      </w:pPr>
    </w:p>
    <w:p>
      <w:pPr>
        <w:pStyle w:val="BodyText"/>
        <w:spacing w:before="44" w:line="216" w:lineRule="auto"/>
        <w:ind w:left="70"/>
        <w:rPr>
          <w:rFonts w:ascii="Times New Roman" w:eastAsia="Times New Roman" w:hAnsi="Times New Roman" w:cs="Times New Roman"/>
        </w:rPr>
      </w:pPr>
      <w:r>
        <w:rPr>
          <w:spacing w:val="-6"/>
        </w:rPr>
        <w:t>本报告版权属于中原证券股份有限公司</w:t>
      </w:r>
      <w:r>
        <w:rPr>
          <w:spacing w:val="-6"/>
        </w:rPr>
        <w:t xml:space="preserve"> </w:t>
      </w:r>
      <w:r>
        <w:rPr>
          <w:rFonts w:ascii="Times New Roman" w:eastAsia="Times New Roman" w:hAnsi="Times New Roman" w:cs="Times New Roman"/>
          <w:spacing w:val="-6"/>
        </w:rPr>
        <w:t>www.ccnew.</w:t>
      </w:r>
      <w:r>
        <w:rPr>
          <w:rFonts w:ascii="Times New Roman" w:eastAsia="Times New Roman" w:hAnsi="Times New Roman" w:cs="Times New Roman"/>
          <w:spacing w:val="-7"/>
        </w:rPr>
        <w:t>com</w:t>
      </w:r>
    </w:p>
    <w:p>
      <w:pPr>
        <w:pStyle w:val="BodyText"/>
        <w:spacing w:line="195" w:lineRule="auto"/>
        <w:ind w:left="80"/>
      </w:pPr>
      <w:r>
        <w:rPr>
          <w:spacing w:val="-11"/>
        </w:rPr>
        <w:t>请阅读最后一页各项声明</w:t>
      </w:r>
    </w:p>
    <w:p>
      <w:pPr>
        <w:spacing w:line="14" w:lineRule="auto"/>
        <w:rPr>
          <w:rFonts w:ascii="Arial"/>
          <w:sz w:val="2"/>
        </w:rPr>
      </w:pPr>
      <w:r>
        <w:rPr>
          <w:rFonts w:ascii="Arial" w:eastAsia="Arial" w:hAnsi="Arial" w:cs="Arial"/>
          <w:sz w:val="2"/>
          <w:szCs w:val="2"/>
        </w:rPr>
        <w:br w:type="column"/>
      </w:r>
    </w:p>
    <w:p>
      <w:pPr>
        <w:pStyle w:val="BodyText"/>
        <w:spacing w:before="292" w:line="192" w:lineRule="auto"/>
      </w:pPr>
      <w:r>
        <w:rPr>
          <w:spacing w:val="8"/>
        </w:rPr>
        <w:t>第6页/共16页</w:t>
      </w:r>
    </w:p>
    <w:p>
      <w:pPr>
        <w:spacing w:line="192" w:lineRule="auto"/>
        <w:sectPr>
          <w:headerReference w:type="default" r:id="rId29"/>
          <w:type w:val="continuous"/>
          <w:pgSz w:w="11910" w:h="16840"/>
          <w:pgMar w:top="1319" w:right="394" w:bottom="0" w:left="489" w:header="440" w:footer="0" w:gutter="0"/>
          <w:pgNumType w:start="19"/>
          <w:cols w:num="2" w:space="708" w:equalWidth="0">
            <w:col w:w="9100" w:space="100"/>
            <w:col w:w="1826" w:space="0"/>
          </w:cols>
        </w:sectPr>
      </w:pPr>
    </w:p>
    <w:p>
      <w:pPr>
        <w:spacing w:line="478" w:lineRule="auto"/>
        <w:rPr>
          <w:rFonts w:ascii="Arial"/>
          <w:sz w:val="21"/>
        </w:rPr>
      </w:pPr>
      <w:r>
        <w:drawing>
          <wp:anchor distT="0" distB="0" distL="0" distR="0" simplePos="0" relativeHeight="251672576" behindDoc="0" locked="0" layoutInCell="0" allowOverlap="1">
            <wp:simplePos x="0" y="0"/>
            <wp:positionH relativeFrom="page">
              <wp:posOffset>311136</wp:posOffset>
            </wp:positionH>
            <wp:positionV relativeFrom="page">
              <wp:posOffset>831819</wp:posOffset>
            </wp:positionV>
            <wp:extent cx="6915166" cy="6350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6915166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71552" behindDoc="0" locked="0" layoutInCell="0" allowOverlap="1">
            <wp:simplePos x="0" y="0"/>
            <wp:positionH relativeFrom="page">
              <wp:posOffset>400074</wp:posOffset>
            </wp:positionH>
            <wp:positionV relativeFrom="page">
              <wp:posOffset>279417</wp:posOffset>
            </wp:positionV>
            <wp:extent cx="1993869" cy="514352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993869" cy="51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87" w:line="232" w:lineRule="auto"/>
        <w:ind w:left="9530"/>
        <w:rPr>
          <w:sz w:val="27"/>
          <w:szCs w:val="27"/>
        </w:rPr>
      </w:pPr>
      <w:r>
        <w:rPr>
          <w:spacing w:val="-2"/>
          <w:sz w:val="27"/>
          <w:szCs w:val="27"/>
        </w:rPr>
        <w:t>基础化工</w:t>
      </w:r>
    </w:p>
    <w:p>
      <w:pPr>
        <w:pStyle w:val="BodyText"/>
        <w:spacing w:before="112" w:line="360" w:lineRule="auto"/>
        <w:ind w:left="2230" w:firstLine="429"/>
        <w:jc w:val="both"/>
        <w:rPr>
          <w:sz w:val="20"/>
          <w:szCs w:val="20"/>
        </w:rPr>
      </w:pPr>
      <w:r>
        <w:rPr>
          <w:spacing w:val="14"/>
          <w:sz w:val="20"/>
          <w:szCs w:val="20"/>
        </w:rPr>
        <w:t>五是氮肥价格下降。2023年，全年尿素累计平均出厂价2419元/吨，同比下降256元/吨，</w:t>
      </w:r>
      <w:r>
        <w:rPr>
          <w:spacing w:val="9"/>
          <w:sz w:val="20"/>
          <w:szCs w:val="20"/>
        </w:rPr>
        <w:t xml:space="preserve"> </w:t>
      </w:r>
      <w:r>
        <w:rPr>
          <w:spacing w:val="21"/>
          <w:sz w:val="20"/>
          <w:szCs w:val="20"/>
        </w:rPr>
        <w:t>跌幅9.6%;商品液氨平均出厂价3450元/吨，同比减少12.4%;碳酸氢铵平均出厂价925元/</w:t>
      </w:r>
    </w:p>
    <w:p>
      <w:pPr>
        <w:pStyle w:val="BodyText"/>
        <w:spacing w:line="220" w:lineRule="auto"/>
        <w:ind w:left="2230"/>
        <w:rPr>
          <w:sz w:val="20"/>
          <w:szCs w:val="20"/>
        </w:rPr>
      </w:pPr>
      <w:r>
        <w:rPr>
          <w:spacing w:val="13"/>
          <w:sz w:val="20"/>
          <w:szCs w:val="20"/>
        </w:rPr>
        <w:t>吨，同比减少4.2%。</w:t>
      </w:r>
    </w:p>
    <w:p>
      <w:pPr>
        <w:pStyle w:val="BodyText"/>
        <w:spacing w:before="301" w:line="360" w:lineRule="auto"/>
        <w:ind w:left="2230" w:right="213" w:firstLine="429"/>
        <w:jc w:val="both"/>
        <w:rPr>
          <w:sz w:val="20"/>
          <w:szCs w:val="20"/>
        </w:rPr>
      </w:pPr>
      <w:r>
        <w:rPr>
          <w:spacing w:val="11"/>
          <w:sz w:val="20"/>
          <w:szCs w:val="20"/>
        </w:rPr>
        <w:t>总体来说，2023年国内氮肥呈现产销两旺。受国际市场变化影响在局部时段</w:t>
      </w:r>
      <w:r>
        <w:rPr>
          <w:spacing w:val="10"/>
          <w:sz w:val="20"/>
          <w:szCs w:val="20"/>
        </w:rPr>
        <w:t>价格波动偏</w:t>
      </w:r>
      <w:r>
        <w:rPr>
          <w:spacing w:val="10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大，在国家有关部门的指导下，骨干氮肥生产和流通企业积极</w:t>
      </w:r>
      <w:r>
        <w:rPr>
          <w:spacing w:val="8"/>
          <w:sz w:val="20"/>
          <w:szCs w:val="20"/>
        </w:rPr>
        <w:t>承担社会责任，努力提高氮肥产</w:t>
      </w:r>
    </w:p>
    <w:p>
      <w:pPr>
        <w:pStyle w:val="BodyText"/>
        <w:spacing w:line="220" w:lineRule="auto"/>
        <w:ind w:left="2230"/>
        <w:rPr>
          <w:sz w:val="20"/>
          <w:szCs w:val="20"/>
        </w:rPr>
      </w:pPr>
      <w:r>
        <w:rPr>
          <w:spacing w:val="8"/>
          <w:sz w:val="20"/>
          <w:szCs w:val="20"/>
        </w:rPr>
        <w:t>量，减少出口，增加对国内市场的氮肥供应，保证国内氮肥价格保持在合理水平。</w:t>
      </w:r>
    </w:p>
    <w:p>
      <w:pPr>
        <w:spacing w:line="262" w:lineRule="auto"/>
        <w:rPr>
          <w:rFonts w:ascii="Arial"/>
          <w:sz w:val="21"/>
        </w:rPr>
      </w:pPr>
    </w:p>
    <w:p>
      <w:pPr>
        <w:pStyle w:val="BodyText"/>
        <w:spacing w:before="65" w:line="361" w:lineRule="auto"/>
        <w:ind w:left="2230" w:right="189" w:firstLine="429"/>
        <w:rPr>
          <w:sz w:val="20"/>
          <w:szCs w:val="20"/>
        </w:rPr>
      </w:pPr>
      <w:r>
        <w:rPr>
          <w:spacing w:val="16"/>
          <w:sz w:val="20"/>
          <w:szCs w:val="20"/>
        </w:rPr>
        <w:t>会上，中国氮肥工业协会公布了2023年全国氮肥销售20强名单，分别是：中</w:t>
      </w:r>
      <w:r>
        <w:rPr>
          <w:spacing w:val="15"/>
          <w:sz w:val="20"/>
          <w:szCs w:val="20"/>
        </w:rPr>
        <w:t>农集团控</w:t>
      </w:r>
      <w:r>
        <w:rPr>
          <w:sz w:val="20"/>
          <w:szCs w:val="20"/>
        </w:rPr>
        <w:t xml:space="preserve">  </w:t>
      </w:r>
      <w:r>
        <w:rPr>
          <w:spacing w:val="9"/>
          <w:sz w:val="20"/>
          <w:szCs w:val="20"/>
        </w:rPr>
        <w:t>股股份有限公司、河南心连心化学工业集团股份有限公司、益通数科科技股</w:t>
      </w:r>
      <w:r>
        <w:rPr>
          <w:spacing w:val="8"/>
          <w:sz w:val="20"/>
          <w:szCs w:val="20"/>
        </w:rPr>
        <w:t>份有限公司、安徽</w:t>
      </w:r>
      <w:r>
        <w:rPr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辉隆农资集团股份有限公司、四川省农业生产资料集团有限公司、瑞星集团股份有限公司、湖</w:t>
      </w:r>
      <w:r>
        <w:rPr>
          <w:spacing w:val="9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北宜化集团有限责任公司、湖北三宁化工股份有限公司、云南云天化股份有限公司、山东华鲁</w:t>
      </w:r>
      <w:r>
        <w:rPr>
          <w:spacing w:val="10"/>
          <w:sz w:val="20"/>
          <w:szCs w:val="20"/>
        </w:rPr>
        <w:t xml:space="preserve"> </w:t>
      </w:r>
      <w:r>
        <w:rPr>
          <w:spacing w:val="9"/>
          <w:sz w:val="20"/>
          <w:szCs w:val="20"/>
        </w:rPr>
        <w:t>恒升化工股份有限公司、山西天泽煤化工集团股份公司、中国煤炭销售运输有限责任公司、惠</w:t>
      </w:r>
      <w:r>
        <w:rPr>
          <w:spacing w:val="10"/>
          <w:sz w:val="20"/>
          <w:szCs w:val="20"/>
        </w:rPr>
        <w:t xml:space="preserve"> </w:t>
      </w:r>
      <w:r>
        <w:rPr>
          <w:spacing w:val="7"/>
          <w:sz w:val="20"/>
          <w:szCs w:val="20"/>
        </w:rPr>
        <w:t>多利农资有限公司、海油富岛(上海)化学有限公司、安徽晋煤中能化工股份有限公司</w:t>
      </w:r>
      <w:r>
        <w:rPr>
          <w:spacing w:val="6"/>
          <w:sz w:val="20"/>
          <w:szCs w:val="20"/>
        </w:rPr>
        <w:t>、灵谷化</w:t>
      </w:r>
      <w:r>
        <w:rPr>
          <w:sz w:val="20"/>
          <w:szCs w:val="20"/>
        </w:rPr>
        <w:t xml:space="preserve">  </w:t>
      </w:r>
      <w:r>
        <w:rPr>
          <w:spacing w:val="9"/>
          <w:sz w:val="20"/>
          <w:szCs w:val="20"/>
        </w:rPr>
        <w:t>工集团有限公司、内蒙古远兴能源股份有限责任公司、河南晋开化工投资</w:t>
      </w:r>
      <w:r>
        <w:rPr>
          <w:spacing w:val="8"/>
          <w:sz w:val="20"/>
          <w:szCs w:val="20"/>
        </w:rPr>
        <w:t>控股集团有限责任公</w:t>
      </w:r>
    </w:p>
    <w:p>
      <w:pPr>
        <w:pStyle w:val="BodyText"/>
        <w:spacing w:line="224" w:lineRule="auto"/>
        <w:ind w:left="2230"/>
        <w:rPr>
          <w:sz w:val="20"/>
          <w:szCs w:val="20"/>
        </w:rPr>
      </w:pPr>
      <w:r>
        <w:rPr>
          <w:spacing w:val="7"/>
          <w:sz w:val="20"/>
          <w:szCs w:val="20"/>
        </w:rPr>
        <w:t>司、明泉集团股份有限公司、广东天禾农资股份有限公司。</w:t>
      </w:r>
    </w:p>
    <w:p>
      <w:pPr>
        <w:pStyle w:val="BodyText"/>
        <w:spacing w:before="282" w:line="394" w:lineRule="exact"/>
        <w:ind w:left="2662"/>
        <w:rPr>
          <w:sz w:val="20"/>
          <w:szCs w:val="20"/>
        </w:rPr>
      </w:pPr>
      <w:r>
        <w:rPr>
          <w:b/>
          <w:bCs/>
          <w:spacing w:val="13"/>
          <w:position w:val="14"/>
          <w:sz w:val="20"/>
          <w:szCs w:val="20"/>
        </w:rPr>
        <w:t>河南神马氢氨项目投产。2</w:t>
      </w:r>
      <w:r>
        <w:rPr>
          <w:spacing w:val="13"/>
          <w:position w:val="14"/>
          <w:sz w:val="20"/>
          <w:szCs w:val="20"/>
        </w:rPr>
        <w:t>月28日上午，河南神马氢化学有限责任公司氢氨项</w:t>
      </w:r>
      <w:r>
        <w:rPr>
          <w:spacing w:val="12"/>
          <w:position w:val="14"/>
          <w:sz w:val="20"/>
          <w:szCs w:val="20"/>
        </w:rPr>
        <w:t>目投产仪</w:t>
      </w:r>
    </w:p>
    <w:p>
      <w:pPr>
        <w:pStyle w:val="BodyText"/>
        <w:spacing w:before="1" w:line="223" w:lineRule="auto"/>
        <w:ind w:left="2230"/>
        <w:rPr>
          <w:sz w:val="20"/>
          <w:szCs w:val="20"/>
        </w:rPr>
      </w:pPr>
      <w:r>
        <w:rPr>
          <w:spacing w:val="3"/>
          <w:sz w:val="20"/>
          <w:szCs w:val="20"/>
        </w:rPr>
        <w:t>式在平顶山举行。</w:t>
      </w:r>
    </w:p>
    <w:p>
      <w:pPr>
        <w:pStyle w:val="BodyText"/>
        <w:spacing w:before="294" w:line="371" w:lineRule="auto"/>
        <w:ind w:left="2230" w:right="210" w:firstLine="429"/>
        <w:jc w:val="both"/>
        <w:rPr>
          <w:sz w:val="20"/>
          <w:szCs w:val="20"/>
        </w:rPr>
      </w:pPr>
      <w:r>
        <w:rPr>
          <w:spacing w:val="8"/>
          <w:sz w:val="20"/>
          <w:szCs w:val="20"/>
        </w:rPr>
        <w:t>该项目结合平煤神马集团产业链特点，选用四喷嘴水煤浆气化炉等行业先进的生产装置，</w:t>
      </w:r>
      <w:r>
        <w:rPr>
          <w:spacing w:val="16"/>
          <w:sz w:val="20"/>
          <w:szCs w:val="20"/>
        </w:rPr>
        <w:t xml:space="preserve"> </w:t>
      </w:r>
      <w:r>
        <w:rPr>
          <w:spacing w:val="13"/>
          <w:sz w:val="20"/>
          <w:szCs w:val="20"/>
        </w:rPr>
        <w:t>项目设计产能规模为合成氨40万吨/年、氢气4亿标方/年。该项目全部达产</w:t>
      </w:r>
      <w:r>
        <w:rPr>
          <w:spacing w:val="12"/>
          <w:sz w:val="20"/>
          <w:szCs w:val="20"/>
        </w:rPr>
        <w:t>后，集团尼龙化</w:t>
      </w:r>
    </w:p>
    <w:p>
      <w:pPr>
        <w:pStyle w:val="BodyText"/>
        <w:spacing w:before="1" w:line="224" w:lineRule="auto"/>
        <w:ind w:left="2230"/>
        <w:rPr>
          <w:sz w:val="20"/>
          <w:szCs w:val="20"/>
        </w:rPr>
      </w:pPr>
      <w:r>
        <w:rPr>
          <w:spacing w:val="17"/>
          <w:sz w:val="20"/>
          <w:szCs w:val="20"/>
        </w:rPr>
        <w:t>工板块成本预计每年降低3亿~6亿元。</w:t>
      </w:r>
    </w:p>
    <w:p>
      <w:pPr>
        <w:pStyle w:val="BodyText"/>
        <w:spacing w:before="302" w:line="352" w:lineRule="auto"/>
        <w:ind w:left="2230" w:right="174" w:firstLine="429"/>
        <w:jc w:val="both"/>
        <w:rPr>
          <w:sz w:val="20"/>
          <w:szCs w:val="20"/>
        </w:rPr>
      </w:pPr>
      <w:r>
        <w:rPr>
          <w:spacing w:val="9"/>
          <w:sz w:val="20"/>
          <w:szCs w:val="20"/>
        </w:rPr>
        <w:t>据该公司相关负责人介绍，此前，在集团产业谱系中，氢气和合成</w:t>
      </w:r>
      <w:r>
        <w:rPr>
          <w:spacing w:val="8"/>
          <w:sz w:val="20"/>
          <w:szCs w:val="20"/>
        </w:rPr>
        <w:t>氨这两种尼龙化工产业</w:t>
      </w:r>
      <w:r>
        <w:rPr>
          <w:sz w:val="20"/>
          <w:szCs w:val="20"/>
        </w:rPr>
        <w:t xml:space="preserve"> </w:t>
      </w:r>
      <w:r>
        <w:rPr>
          <w:spacing w:val="10"/>
          <w:sz w:val="20"/>
          <w:szCs w:val="20"/>
        </w:rPr>
        <w:t>单位生产所需的重要原料，只能从炼焦企业生产过程中产</w:t>
      </w:r>
      <w:r>
        <w:rPr>
          <w:spacing w:val="9"/>
          <w:sz w:val="20"/>
          <w:szCs w:val="20"/>
        </w:rPr>
        <w:t>生的焦炉煤气中加工提取，供应缺口</w:t>
      </w:r>
    </w:p>
    <w:p>
      <w:pPr>
        <w:pStyle w:val="BodyText"/>
        <w:spacing w:before="1" w:line="222" w:lineRule="auto"/>
        <w:ind w:left="2230"/>
        <w:rPr>
          <w:sz w:val="20"/>
          <w:szCs w:val="20"/>
        </w:rPr>
      </w:pPr>
      <w:r>
        <w:rPr>
          <w:spacing w:val="8"/>
          <w:sz w:val="20"/>
          <w:szCs w:val="20"/>
        </w:rPr>
        <w:t>大、采购运输成本高、无法稳定供应等问题制约了尼龙全产业</w:t>
      </w:r>
      <w:r>
        <w:rPr>
          <w:spacing w:val="7"/>
          <w:sz w:val="20"/>
          <w:szCs w:val="20"/>
        </w:rPr>
        <w:t>链扩能增效。</w:t>
      </w:r>
    </w:p>
    <w:p>
      <w:pPr>
        <w:spacing w:line="248" w:lineRule="auto"/>
        <w:rPr>
          <w:rFonts w:ascii="Arial"/>
          <w:sz w:val="21"/>
        </w:rPr>
      </w:pPr>
    </w:p>
    <w:p>
      <w:pPr>
        <w:pStyle w:val="BodyText"/>
        <w:spacing w:before="66" w:line="380" w:lineRule="exact"/>
        <w:ind w:left="2659"/>
        <w:rPr>
          <w:sz w:val="20"/>
          <w:szCs w:val="20"/>
        </w:rPr>
      </w:pPr>
      <w:r>
        <w:rPr>
          <w:spacing w:val="11"/>
          <w:position w:val="13"/>
          <w:sz w:val="20"/>
          <w:szCs w:val="20"/>
        </w:rPr>
        <w:t>为突破发展瓶颈，经过平顶山市政府和平煤神马集团多次论证洽谈与部署推动，2020年</w:t>
      </w:r>
    </w:p>
    <w:p>
      <w:pPr>
        <w:pStyle w:val="BodyText"/>
        <w:spacing w:line="220" w:lineRule="auto"/>
        <w:ind w:left="2230"/>
        <w:rPr>
          <w:sz w:val="20"/>
          <w:szCs w:val="20"/>
        </w:rPr>
      </w:pPr>
      <w:r>
        <w:rPr>
          <w:spacing w:val="16"/>
          <w:sz w:val="20"/>
          <w:szCs w:val="20"/>
        </w:rPr>
        <w:t>6月，氢化学公司成立。同年11月，该公司氢氨项目作为2020年河南省重点建设项目和</w:t>
      </w:r>
    </w:p>
    <w:p>
      <w:pPr>
        <w:pStyle w:val="BodyText"/>
        <w:spacing w:before="145" w:line="223" w:lineRule="auto"/>
        <w:ind w:left="2230"/>
        <w:rPr>
          <w:sz w:val="20"/>
          <w:szCs w:val="20"/>
        </w:rPr>
      </w:pPr>
      <w:r>
        <w:rPr>
          <w:spacing w:val="11"/>
          <w:sz w:val="20"/>
          <w:szCs w:val="20"/>
        </w:rPr>
        <w:t>2020年国家战略性产业集群银企合作项目开始建设。</w:t>
      </w:r>
    </w:p>
    <w:p>
      <w:pPr>
        <w:spacing w:line="249" w:lineRule="auto"/>
        <w:rPr>
          <w:rFonts w:ascii="Arial"/>
          <w:sz w:val="21"/>
        </w:rPr>
      </w:pPr>
    </w:p>
    <w:p>
      <w:pPr>
        <w:pStyle w:val="BodyText"/>
        <w:spacing w:before="65" w:line="366" w:lineRule="auto"/>
        <w:ind w:left="2230" w:right="209" w:firstLine="429"/>
        <w:jc w:val="both"/>
        <w:rPr>
          <w:sz w:val="20"/>
          <w:szCs w:val="20"/>
        </w:rPr>
      </w:pPr>
      <w:r>
        <w:rPr>
          <w:spacing w:val="8"/>
          <w:sz w:val="20"/>
          <w:szCs w:val="20"/>
        </w:rPr>
        <w:t>目前，该公司生产系统已具备长周期稳定运行能力，水煤浆气化装置产生的氢气纯度达到</w:t>
      </w:r>
      <w:r>
        <w:rPr>
          <w:spacing w:val="13"/>
          <w:sz w:val="20"/>
          <w:szCs w:val="20"/>
        </w:rPr>
        <w:t xml:space="preserve"> </w:t>
      </w:r>
      <w:r>
        <w:rPr>
          <w:spacing w:val="15"/>
          <w:sz w:val="20"/>
          <w:szCs w:val="20"/>
        </w:rPr>
        <w:t>99.9%,产品质检合格率高出行业平均水平2个百分点，并可随时根据生产需要调配氢气和合</w:t>
      </w:r>
    </w:p>
    <w:p>
      <w:pPr>
        <w:pStyle w:val="BodyText"/>
        <w:spacing w:before="1" w:line="222" w:lineRule="auto"/>
        <w:ind w:left="2230"/>
        <w:rPr>
          <w:sz w:val="20"/>
          <w:szCs w:val="20"/>
        </w:rPr>
      </w:pPr>
      <w:r>
        <w:rPr>
          <w:spacing w:val="-6"/>
          <w:sz w:val="20"/>
          <w:szCs w:val="20"/>
        </w:rPr>
        <w:t>成氨产能。</w:t>
      </w:r>
    </w:p>
    <w:p>
      <w:pPr>
        <w:pStyle w:val="BodyText"/>
        <w:spacing w:before="275" w:line="420" w:lineRule="exact"/>
        <w:jc w:val="right"/>
        <w:rPr>
          <w:sz w:val="20"/>
          <w:szCs w:val="20"/>
        </w:rPr>
      </w:pPr>
      <w:r>
        <w:rPr>
          <w:spacing w:val="9"/>
          <w:position w:val="16"/>
          <w:sz w:val="20"/>
          <w:szCs w:val="20"/>
        </w:rPr>
        <w:t>后续，该公司在保证生产“长安稳优”的基</w:t>
      </w:r>
      <w:r>
        <w:rPr>
          <w:spacing w:val="8"/>
          <w:position w:val="16"/>
          <w:sz w:val="20"/>
          <w:szCs w:val="20"/>
        </w:rPr>
        <w:t>础上，计划选用集团优质主焦煤进行掺配生产，</w:t>
      </w:r>
    </w:p>
    <w:p>
      <w:pPr>
        <w:pStyle w:val="BodyText"/>
        <w:spacing w:line="220" w:lineRule="auto"/>
        <w:ind w:left="2230"/>
        <w:rPr>
          <w:sz w:val="20"/>
          <w:szCs w:val="20"/>
        </w:rPr>
        <w:sectPr>
          <w:headerReference w:type="default" r:id="rId31"/>
          <w:pgSz w:w="11910" w:h="16840"/>
          <w:pgMar w:top="400" w:right="419" w:bottom="0" w:left="489" w:header="0" w:footer="0" w:gutter="0"/>
          <w:pgNumType w:start="20"/>
          <w:cols w:space="708"/>
        </w:sectPr>
      </w:pPr>
      <w:r>
        <w:rPr>
          <w:spacing w:val="8"/>
          <w:sz w:val="20"/>
          <w:szCs w:val="20"/>
        </w:rPr>
        <w:t>贯通集团煤基化工到尼龙化工的关键一环，实现资源互补、发展韧性增强。</w:t>
      </w:r>
    </w:p>
    <w:p>
      <w:pPr>
        <w:pStyle w:val="BodyText"/>
        <w:spacing w:before="282" w:line="402" w:lineRule="exact"/>
        <w:ind w:left="2662"/>
        <w:rPr>
          <w:sz w:val="20"/>
          <w:szCs w:val="20"/>
        </w:rPr>
      </w:pPr>
      <w:r>
        <w:rPr>
          <w:b/>
          <w:bCs/>
          <w:spacing w:val="14"/>
          <w:position w:val="15"/>
          <w:sz w:val="20"/>
          <w:szCs w:val="20"/>
        </w:rPr>
        <w:t>华锦阿美三装置开工。</w:t>
      </w:r>
      <w:r>
        <w:rPr>
          <w:spacing w:val="14"/>
          <w:position w:val="15"/>
          <w:sz w:val="20"/>
          <w:szCs w:val="20"/>
        </w:rPr>
        <w:t>2月28日，华锦阿美420万吨/年高丙烯催化裂化、140万吨/年气</w:t>
      </w:r>
    </w:p>
    <w:p>
      <w:pPr>
        <w:pStyle w:val="BodyText"/>
        <w:spacing w:line="222" w:lineRule="auto"/>
        <w:ind w:left="2230"/>
        <w:rPr>
          <w:sz w:val="20"/>
          <w:szCs w:val="20"/>
        </w:rPr>
      </w:pPr>
      <w:r>
        <w:rPr>
          <w:spacing w:val="8"/>
          <w:sz w:val="20"/>
          <w:szCs w:val="20"/>
        </w:rPr>
        <w:t>体分离、45万吨/年全密度聚乙烯装置开工建设。</w:t>
      </w:r>
    </w:p>
    <w:p>
      <w:pPr>
        <w:rPr>
          <w:rFonts w:ascii="Arial"/>
          <w:sz w:val="21"/>
        </w:rPr>
      </w:pPr>
    </w:p>
    <w:p>
      <w:pPr>
        <w:pStyle w:val="BodyText"/>
        <w:spacing w:before="66" w:line="220" w:lineRule="auto"/>
        <w:ind w:left="2659"/>
        <w:rPr>
          <w:sz w:val="20"/>
          <w:szCs w:val="20"/>
        </w:rPr>
      </w:pPr>
      <w:r>
        <w:rPr>
          <w:spacing w:val="9"/>
          <w:sz w:val="20"/>
          <w:szCs w:val="20"/>
        </w:rPr>
        <w:t>华锦阿美公司副总裁黄祖熹介绍，高丙烯催化裂化装置是将重质油转化为轻质燃料产</w:t>
      </w:r>
      <w:r>
        <w:rPr>
          <w:spacing w:val="8"/>
          <w:sz w:val="20"/>
          <w:szCs w:val="20"/>
        </w:rPr>
        <w:t>品的</w:t>
      </w:r>
    </w:p>
    <w:p>
      <w:pPr>
        <w:pStyle w:val="BodyText"/>
        <w:spacing w:before="217" w:line="221" w:lineRule="auto"/>
        <w:ind w:left="7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spacing w:val="-1"/>
          <w:sz w:val="20"/>
          <w:szCs w:val="20"/>
        </w:rPr>
        <w:t>本报告版权属于中原证券股份有限公司</w:t>
      </w:r>
      <w:r>
        <w:rPr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www.ccnew.com</w:t>
      </w:r>
    </w:p>
    <w:p>
      <w:pPr>
        <w:pStyle w:val="BodyText"/>
        <w:spacing w:before="1" w:line="227" w:lineRule="auto"/>
        <w:ind w:left="80"/>
        <w:rPr>
          <w:sz w:val="20"/>
          <w:szCs w:val="20"/>
        </w:rPr>
      </w:pPr>
      <w:r>
        <w:rPr>
          <w:spacing w:val="6"/>
          <w:sz w:val="20"/>
          <w:szCs w:val="20"/>
        </w:rPr>
        <w:t>请阅读最后一页各项声明</w:t>
      </w:r>
      <w:r>
        <w:rPr>
          <w:spacing w:val="6"/>
          <w:sz w:val="20"/>
          <w:szCs w:val="20"/>
        </w:rPr>
        <w:t xml:space="preserve">                                      </w:t>
      </w:r>
      <w:r>
        <w:rPr>
          <w:spacing w:val="5"/>
          <w:sz w:val="20"/>
          <w:szCs w:val="20"/>
        </w:rPr>
        <w:t xml:space="preserve">                            </w:t>
      </w:r>
      <w:r>
        <w:rPr>
          <w:spacing w:val="5"/>
          <w:sz w:val="20"/>
          <w:szCs w:val="20"/>
        </w:rPr>
        <w:t>第7页/共16页</w:t>
      </w:r>
    </w:p>
    <w:p>
      <w:pPr>
        <w:spacing w:line="227" w:lineRule="auto"/>
        <w:rPr>
          <w:sz w:val="20"/>
          <w:szCs w:val="20"/>
        </w:rPr>
      </w:pPr>
      <w:r>
        <w:rPr>
          <w:sz w:val="20"/>
          <w:szCs w:val="20"/>
        </w:rPr>
        <w:br/>
      </w:r>
      <w:r>
        <w:rPr>
          <w:sz w:val="20"/>
          <w:szCs w:val="20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2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https://d.book118.com/236153240200010055</w:t>
        </w:r>
      </w:hyperlink>
    </w:p>
    <w:p>
      <w:pPr>
        <w:spacing w:line="227" w:lineRule="auto"/>
        <w:rPr>
          <w:sz w:val="20"/>
          <w:szCs w:val="20"/>
        </w:rPr>
      </w:pPr>
    </w:p>
    <w:sectPr>
      <w:headerReference w:type="default" r:id="rId33"/>
      <w:type w:val="nextPage"/>
      <w:pgSz w:w="11910" w:h="16840"/>
      <w:pgMar w:top="400" w:right="419" w:bottom="0" w:left="489" w:header="0" w:footer="0" w:gutter="0"/>
      <w:pgNumType w:start="21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12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58240" behindDoc="0" locked="0" layoutInCell="0" allowOverlap="1">
          <wp:simplePos x="0" y="0"/>
          <wp:positionH relativeFrom="page">
            <wp:posOffset>393721</wp:posOffset>
          </wp:positionH>
          <wp:positionV relativeFrom="page">
            <wp:posOffset>279419</wp:posOffset>
          </wp:positionV>
          <wp:extent cx="2012928" cy="520661"/>
          <wp:effectExtent l="0" t="0" r="0" b="0"/>
          <wp:wrapNone/>
          <wp:docPr id="14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 1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12928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493"/>
      <w:rPr>
        <w:sz w:val="27"/>
        <w:szCs w:val="27"/>
      </w:rPr>
    </w:pPr>
    <w:r>
      <w:rPr>
        <w:b/>
        <w:bCs/>
        <w:spacing w:val="1"/>
        <w:sz w:val="27"/>
        <w:szCs w:val="27"/>
      </w:rPr>
      <w:t>基础化工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61312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2038876387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8876387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0288" behindDoc="0" locked="0" layoutInCell="0" allowOverlap="1">
          <wp:simplePos x="0" y="0"/>
          <wp:positionH relativeFrom="page">
            <wp:posOffset>393721</wp:posOffset>
          </wp:positionH>
          <wp:positionV relativeFrom="page">
            <wp:posOffset>279419</wp:posOffset>
          </wp:positionV>
          <wp:extent cx="2012928" cy="520661"/>
          <wp:effectExtent l="0" t="0" r="0" b="0"/>
          <wp:wrapNone/>
          <wp:docPr id="137830596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830596" name="IM 1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12928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493"/>
      <w:rPr>
        <w:sz w:val="27"/>
        <w:szCs w:val="27"/>
      </w:rPr>
    </w:pPr>
    <w:r>
      <w:rPr>
        <w:b/>
        <w:bCs/>
        <w:spacing w:val="1"/>
        <w:sz w:val="27"/>
        <w:szCs w:val="27"/>
      </w:rPr>
      <w:t>基础化工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63360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1354125426" name="IM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125426" name="IM 1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2336" behindDoc="0" locked="0" layoutInCell="0" allowOverlap="1">
          <wp:simplePos x="0" y="0"/>
          <wp:positionH relativeFrom="page">
            <wp:posOffset>393721</wp:posOffset>
          </wp:positionH>
          <wp:positionV relativeFrom="page">
            <wp:posOffset>279419</wp:posOffset>
          </wp:positionV>
          <wp:extent cx="2012928" cy="520661"/>
          <wp:effectExtent l="0" t="0" r="0" b="0"/>
          <wp:wrapNone/>
          <wp:docPr id="1293722842" name="IM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3722842" name="IM 1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12928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493"/>
      <w:rPr>
        <w:sz w:val="27"/>
        <w:szCs w:val="27"/>
      </w:rPr>
    </w:pPr>
    <w:r>
      <w:rPr>
        <w:b/>
        <w:bCs/>
        <w:spacing w:val="1"/>
        <w:sz w:val="27"/>
        <w:szCs w:val="27"/>
      </w:rPr>
      <w:t>基础化工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65408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18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4384" behindDoc="0" locked="0" layoutInCell="0" allowOverlap="1">
          <wp:simplePos x="0" y="0"/>
          <wp:positionH relativeFrom="page">
            <wp:posOffset>400074</wp:posOffset>
          </wp:positionH>
          <wp:positionV relativeFrom="page">
            <wp:posOffset>279419</wp:posOffset>
          </wp:positionV>
          <wp:extent cx="2000222" cy="520661"/>
          <wp:effectExtent l="0" t="0" r="0" b="0"/>
          <wp:wrapNone/>
          <wp:docPr id="20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 2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00222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533"/>
      <w:rPr>
        <w:sz w:val="27"/>
        <w:szCs w:val="27"/>
      </w:rPr>
    </w:pPr>
    <w:r>
      <w:rPr>
        <w:b/>
        <w:bCs/>
        <w:spacing w:val="-5"/>
        <w:sz w:val="27"/>
        <w:szCs w:val="27"/>
      </w:rPr>
      <w:t>基础化工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67456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601357375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1357375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6432" behindDoc="0" locked="0" layoutInCell="0" allowOverlap="1">
          <wp:simplePos x="0" y="0"/>
          <wp:positionH relativeFrom="page">
            <wp:posOffset>400074</wp:posOffset>
          </wp:positionH>
          <wp:positionV relativeFrom="page">
            <wp:posOffset>279419</wp:posOffset>
          </wp:positionV>
          <wp:extent cx="2000222" cy="520661"/>
          <wp:effectExtent l="0" t="0" r="0" b="0"/>
          <wp:wrapNone/>
          <wp:docPr id="1555294939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5294939" name="IM 2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00222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533"/>
      <w:rPr>
        <w:sz w:val="27"/>
        <w:szCs w:val="27"/>
      </w:rPr>
    </w:pPr>
    <w:r>
      <w:rPr>
        <w:b/>
        <w:bCs/>
        <w:spacing w:val="-5"/>
        <w:sz w:val="27"/>
        <w:szCs w:val="27"/>
      </w:rPr>
      <w:t>基础化工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69504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2030478662" name="IM 1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478662" name="IM 1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68480" behindDoc="0" locked="0" layoutInCell="0" allowOverlap="1">
          <wp:simplePos x="0" y="0"/>
          <wp:positionH relativeFrom="page">
            <wp:posOffset>400074</wp:posOffset>
          </wp:positionH>
          <wp:positionV relativeFrom="page">
            <wp:posOffset>279419</wp:posOffset>
          </wp:positionV>
          <wp:extent cx="2000222" cy="520661"/>
          <wp:effectExtent l="0" t="0" r="0" b="0"/>
          <wp:wrapNone/>
          <wp:docPr id="1657277139" name="IM 2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7277139" name="IM 2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00222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533"/>
      <w:rPr>
        <w:sz w:val="27"/>
        <w:szCs w:val="27"/>
      </w:rPr>
    </w:pPr>
    <w:r>
      <w:rPr>
        <w:b/>
        <w:bCs/>
        <w:spacing w:val="-5"/>
        <w:sz w:val="27"/>
        <w:szCs w:val="27"/>
      </w:rPr>
      <w:t>基础化工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87" w:line="167" w:lineRule="auto"/>
      <w:ind w:left="1190"/>
      <w:rPr>
        <w:rFonts w:ascii="LiSu" w:eastAsia="LiSu" w:hAnsi="LiSu" w:cs="LiSu"/>
        <w:sz w:val="36"/>
        <w:szCs w:val="36"/>
      </w:rPr>
    </w:pPr>
    <w:r>
      <w:drawing>
        <wp:anchor distT="0" distB="0" distL="0" distR="0" simplePos="0" relativeHeight="251672576" behindDoc="0" locked="0" layoutInCell="0" allowOverlap="1">
          <wp:simplePos x="0" y="0"/>
          <wp:positionH relativeFrom="page">
            <wp:posOffset>323841</wp:posOffset>
          </wp:positionH>
          <wp:positionV relativeFrom="page">
            <wp:posOffset>831819</wp:posOffset>
          </wp:positionV>
          <wp:extent cx="6908814" cy="6350"/>
          <wp:effectExtent l="0" t="0" r="0" b="0"/>
          <wp:wrapNone/>
          <wp:docPr id="28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08814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0528" behindDoc="0" locked="0" layoutInCell="0" allowOverlap="1">
          <wp:simplePos x="0" y="0"/>
          <wp:positionH relativeFrom="page">
            <wp:posOffset>438115</wp:posOffset>
          </wp:positionH>
          <wp:positionV relativeFrom="page">
            <wp:posOffset>279417</wp:posOffset>
          </wp:positionV>
          <wp:extent cx="533407" cy="514352"/>
          <wp:effectExtent l="0" t="0" r="0" b="0"/>
          <wp:wrapNone/>
          <wp:docPr id="30" name="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IM 3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533407" cy="514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4" w:name="bookmark11"/>
    <w:bookmarkEnd w:id="4"/>
    <w:bookmarkStart w:id="5" w:name="bookmark36"/>
    <w:bookmarkEnd w:id="5"/>
    <w:bookmarkStart w:id="6" w:name="bookmark4"/>
    <w:bookmarkEnd w:id="6"/>
    <w:r>
      <w:rPr>
        <w:rFonts w:ascii="LiSu" w:eastAsia="LiSu" w:hAnsi="LiSu" w:cs="LiSu"/>
        <w:spacing w:val="-15"/>
        <w:sz w:val="36"/>
        <w:szCs w:val="36"/>
      </w:rPr>
      <w:t>中</w:t>
    </w:r>
    <w:r>
      <w:rPr>
        <w:rFonts w:ascii="LiSu" w:eastAsia="LiSu" w:hAnsi="LiSu" w:cs="LiSu"/>
        <w:spacing w:val="39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原</w:t>
    </w:r>
    <w:r>
      <w:rPr>
        <w:rFonts w:ascii="LiSu" w:eastAsia="LiSu" w:hAnsi="LiSu" w:cs="LiSu"/>
        <w:spacing w:val="37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证</w:t>
    </w:r>
    <w:r>
      <w:rPr>
        <w:rFonts w:ascii="LiSu" w:eastAsia="LiSu" w:hAnsi="LiSu" w:cs="LiSu"/>
        <w:spacing w:val="31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券</w:t>
    </w:r>
  </w:p>
  <w:p>
    <w:pPr>
      <w:spacing w:line="188" w:lineRule="auto"/>
      <w:ind w:left="1190"/>
      <w:rPr>
        <w:rFonts w:ascii="Times New Roman" w:eastAsia="Times New Roman" w:hAnsi="Times New Roman" w:cs="Times New Roman"/>
        <w:sz w:val="11"/>
        <w:szCs w:val="1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6.2pt;height:19.65pt;margin-top:-5.67pt;margin-left:473.5pt;position:absolute;z-index:251671552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32" w:lineRule="auto"/>
                  <w:ind w:left="20"/>
                  <w:rPr>
                    <w:sz w:val="28"/>
                    <w:szCs w:val="28"/>
                  </w:rPr>
                </w:pPr>
                <w:r>
                  <w:rPr>
                    <w:spacing w:val="-7"/>
                    <w:sz w:val="28"/>
                    <w:szCs w:val="28"/>
                  </w:rPr>
                  <w:t>基础化工</w:t>
                </w:r>
              </w:p>
            </w:txbxContent>
          </v:textbox>
        </v:shape>
      </w:pict>
    </w:r>
    <w:r>
      <w:rPr>
        <w:rFonts w:ascii="Times New Roman" w:eastAsia="Times New Roman" w:hAnsi="Times New Roman" w:cs="Times New Roman"/>
        <w:sz w:val="11"/>
        <w:szCs w:val="11"/>
      </w:rPr>
      <w:t>CENTRAL          CHI</w:t>
    </w:r>
    <w:r>
      <w:rPr>
        <w:rFonts w:ascii="Times New Roman" w:eastAsia="Times New Roman" w:hAnsi="Times New Roman" w:cs="Times New Roman"/>
        <w:spacing w:val="-1"/>
        <w:sz w:val="11"/>
        <w:szCs w:val="11"/>
      </w:rPr>
      <w:t>NA</w:t>
    </w:r>
    <w:r>
      <w:rPr>
        <w:rFonts w:ascii="Times New Roman" w:eastAsia="Times New Roman" w:hAnsi="Times New Roman" w:cs="Times New Roman"/>
        <w:sz w:val="11"/>
        <w:szCs w:val="11"/>
      </w:rPr>
      <w:t xml:space="preserve">          </w:t>
    </w:r>
    <w:r>
      <w:rPr>
        <w:rFonts w:ascii="Times New Roman" w:eastAsia="Times New Roman" w:hAnsi="Times New Roman" w:cs="Times New Roman"/>
        <w:spacing w:val="-1"/>
        <w:sz w:val="11"/>
        <w:szCs w:val="11"/>
      </w:rPr>
      <w:t>SECURITIES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87" w:line="167" w:lineRule="auto"/>
      <w:ind w:left="1190"/>
      <w:rPr>
        <w:rFonts w:ascii="LiSu" w:eastAsia="LiSu" w:hAnsi="LiSu" w:cs="LiSu"/>
        <w:sz w:val="36"/>
        <w:szCs w:val="36"/>
      </w:rPr>
    </w:pPr>
    <w:r>
      <w:drawing>
        <wp:anchor distT="0" distB="0" distL="0" distR="0" simplePos="0" relativeHeight="251675648" behindDoc="0" locked="0" layoutInCell="0" allowOverlap="1">
          <wp:simplePos x="0" y="0"/>
          <wp:positionH relativeFrom="page">
            <wp:posOffset>323841</wp:posOffset>
          </wp:positionH>
          <wp:positionV relativeFrom="page">
            <wp:posOffset>831819</wp:posOffset>
          </wp:positionV>
          <wp:extent cx="6908814" cy="6350"/>
          <wp:effectExtent l="0" t="0" r="0" b="0"/>
          <wp:wrapNone/>
          <wp:docPr id="2036586420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586420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08814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3600" behindDoc="0" locked="0" layoutInCell="0" allowOverlap="1">
          <wp:simplePos x="0" y="0"/>
          <wp:positionH relativeFrom="page">
            <wp:posOffset>438115</wp:posOffset>
          </wp:positionH>
          <wp:positionV relativeFrom="page">
            <wp:posOffset>279417</wp:posOffset>
          </wp:positionV>
          <wp:extent cx="533407" cy="514352"/>
          <wp:effectExtent l="0" t="0" r="0" b="0"/>
          <wp:wrapNone/>
          <wp:docPr id="137395815" name="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395815" name="IM 3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533407" cy="514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7" w:name="bookmark11_0"/>
    <w:bookmarkEnd w:id="7"/>
    <w:bookmarkStart w:id="8" w:name="bookmark36_0"/>
    <w:bookmarkEnd w:id="8"/>
    <w:bookmarkStart w:id="9" w:name="bookmark4_0"/>
    <w:bookmarkEnd w:id="9"/>
    <w:r>
      <w:rPr>
        <w:rFonts w:ascii="LiSu" w:eastAsia="LiSu" w:hAnsi="LiSu" w:cs="LiSu"/>
        <w:spacing w:val="-15"/>
        <w:sz w:val="36"/>
        <w:szCs w:val="36"/>
      </w:rPr>
      <w:t>中</w:t>
    </w:r>
    <w:r>
      <w:rPr>
        <w:rFonts w:ascii="LiSu" w:eastAsia="LiSu" w:hAnsi="LiSu" w:cs="LiSu"/>
        <w:spacing w:val="39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原</w:t>
    </w:r>
    <w:r>
      <w:rPr>
        <w:rFonts w:ascii="LiSu" w:eastAsia="LiSu" w:hAnsi="LiSu" w:cs="LiSu"/>
        <w:spacing w:val="37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证</w:t>
    </w:r>
    <w:r>
      <w:rPr>
        <w:rFonts w:ascii="LiSu" w:eastAsia="LiSu" w:hAnsi="LiSu" w:cs="LiSu"/>
        <w:spacing w:val="31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券</w:t>
    </w:r>
  </w:p>
  <w:p>
    <w:pPr>
      <w:spacing w:line="188" w:lineRule="auto"/>
      <w:ind w:left="1190"/>
      <w:rPr>
        <w:rFonts w:ascii="Times New Roman" w:eastAsia="Times New Roman" w:hAnsi="Times New Roman" w:cs="Times New Roman"/>
        <w:sz w:val="11"/>
        <w:szCs w:val="1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6.2pt;height:19.65pt;margin-top:-5.67pt;margin-left:473.5pt;position:absolute;z-index:251674624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32" w:lineRule="auto"/>
                  <w:ind w:left="20"/>
                  <w:rPr>
                    <w:sz w:val="28"/>
                    <w:szCs w:val="28"/>
                  </w:rPr>
                </w:pPr>
                <w:r>
                  <w:rPr>
                    <w:spacing w:val="-7"/>
                    <w:sz w:val="28"/>
                    <w:szCs w:val="28"/>
                  </w:rPr>
                  <w:t>基础化工</w:t>
                </w:r>
              </w:p>
            </w:txbxContent>
          </v:textbox>
        </v:shape>
      </w:pict>
    </w:r>
    <w:r>
      <w:rPr>
        <w:rFonts w:ascii="Times New Roman" w:eastAsia="Times New Roman" w:hAnsi="Times New Roman" w:cs="Times New Roman"/>
        <w:sz w:val="11"/>
        <w:szCs w:val="11"/>
      </w:rPr>
      <w:t>CENTRAL          CHI</w:t>
    </w:r>
    <w:r>
      <w:rPr>
        <w:rFonts w:ascii="Times New Roman" w:eastAsia="Times New Roman" w:hAnsi="Times New Roman" w:cs="Times New Roman"/>
        <w:spacing w:val="-1"/>
        <w:sz w:val="11"/>
        <w:szCs w:val="11"/>
      </w:rPr>
      <w:t>NA</w:t>
    </w:r>
    <w:r>
      <w:rPr>
        <w:rFonts w:ascii="Times New Roman" w:eastAsia="Times New Roman" w:hAnsi="Times New Roman" w:cs="Times New Roman"/>
        <w:sz w:val="11"/>
        <w:szCs w:val="11"/>
      </w:rPr>
      <w:t xml:space="preserve">          </w:t>
    </w:r>
    <w:r>
      <w:rPr>
        <w:rFonts w:ascii="Times New Roman" w:eastAsia="Times New Roman" w:hAnsi="Times New Roman" w:cs="Times New Roman"/>
        <w:spacing w:val="-1"/>
        <w:sz w:val="11"/>
        <w:szCs w:val="11"/>
      </w:rPr>
      <w:t>SECURITIES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before="287" w:line="167" w:lineRule="auto"/>
      <w:ind w:left="1190"/>
      <w:rPr>
        <w:rFonts w:ascii="LiSu" w:eastAsia="LiSu" w:hAnsi="LiSu" w:cs="LiSu"/>
        <w:sz w:val="36"/>
        <w:szCs w:val="36"/>
      </w:rPr>
    </w:pPr>
    <w:r>
      <w:drawing>
        <wp:anchor distT="0" distB="0" distL="0" distR="0" simplePos="0" relativeHeight="251678720" behindDoc="0" locked="0" layoutInCell="0" allowOverlap="1">
          <wp:simplePos x="0" y="0"/>
          <wp:positionH relativeFrom="page">
            <wp:posOffset>323841</wp:posOffset>
          </wp:positionH>
          <wp:positionV relativeFrom="page">
            <wp:posOffset>831819</wp:posOffset>
          </wp:positionV>
          <wp:extent cx="6908814" cy="6350"/>
          <wp:effectExtent l="0" t="0" r="0" b="0"/>
          <wp:wrapNone/>
          <wp:docPr id="1910271705" name="IM 2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10271705" name="IM 2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08814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6672" behindDoc="0" locked="0" layoutInCell="0" allowOverlap="1">
          <wp:simplePos x="0" y="0"/>
          <wp:positionH relativeFrom="page">
            <wp:posOffset>438115</wp:posOffset>
          </wp:positionH>
          <wp:positionV relativeFrom="page">
            <wp:posOffset>279417</wp:posOffset>
          </wp:positionV>
          <wp:extent cx="533407" cy="514352"/>
          <wp:effectExtent l="0" t="0" r="0" b="0"/>
          <wp:wrapNone/>
          <wp:docPr id="1987813183" name="IM 3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813183" name="IM 30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533407" cy="51435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Start w:id="10" w:name="bookmark11_0_0"/>
    <w:bookmarkEnd w:id="10"/>
    <w:bookmarkStart w:id="11" w:name="bookmark36_0_0"/>
    <w:bookmarkEnd w:id="11"/>
    <w:bookmarkStart w:id="12" w:name="bookmark4_0_0"/>
    <w:bookmarkEnd w:id="12"/>
    <w:r>
      <w:rPr>
        <w:rFonts w:ascii="LiSu" w:eastAsia="LiSu" w:hAnsi="LiSu" w:cs="LiSu"/>
        <w:spacing w:val="-15"/>
        <w:sz w:val="36"/>
        <w:szCs w:val="36"/>
      </w:rPr>
      <w:t>中</w:t>
    </w:r>
    <w:r>
      <w:rPr>
        <w:rFonts w:ascii="LiSu" w:eastAsia="LiSu" w:hAnsi="LiSu" w:cs="LiSu"/>
        <w:spacing w:val="39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原</w:t>
    </w:r>
    <w:r>
      <w:rPr>
        <w:rFonts w:ascii="LiSu" w:eastAsia="LiSu" w:hAnsi="LiSu" w:cs="LiSu"/>
        <w:spacing w:val="37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证</w:t>
    </w:r>
    <w:r>
      <w:rPr>
        <w:rFonts w:ascii="LiSu" w:eastAsia="LiSu" w:hAnsi="LiSu" w:cs="LiSu"/>
        <w:spacing w:val="31"/>
        <w:sz w:val="36"/>
        <w:szCs w:val="36"/>
      </w:rPr>
      <w:t xml:space="preserve"> </w:t>
    </w:r>
    <w:r>
      <w:rPr>
        <w:rFonts w:ascii="LiSu" w:eastAsia="LiSu" w:hAnsi="LiSu" w:cs="LiSu"/>
        <w:spacing w:val="-15"/>
        <w:sz w:val="36"/>
        <w:szCs w:val="36"/>
      </w:rPr>
      <w:t>券</w:t>
    </w:r>
  </w:p>
  <w:p>
    <w:pPr>
      <w:spacing w:line="188" w:lineRule="auto"/>
      <w:ind w:left="1190"/>
      <w:rPr>
        <w:rFonts w:ascii="Times New Roman" w:eastAsia="Times New Roman" w:hAnsi="Times New Roman" w:cs="Times New Roman"/>
        <w:sz w:val="11"/>
        <w:szCs w:val="11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56.2pt;height:19.65pt;margin-top:-5.67pt;margin-left:473.5pt;position:absolute;z-index:251677696" filled="f" stroked="f">
          <o:lock v:ext="edit" aspectratio="f"/>
          <v:textbox inset="0,0,0,0">
            <w:txbxContent>
              <w:p>
                <w:pPr>
                  <w:pStyle w:val="BodyText"/>
                  <w:spacing w:before="20" w:line="232" w:lineRule="auto"/>
                  <w:ind w:left="20"/>
                  <w:rPr>
                    <w:sz w:val="28"/>
                    <w:szCs w:val="28"/>
                  </w:rPr>
                </w:pPr>
                <w:r>
                  <w:rPr>
                    <w:spacing w:val="-7"/>
                    <w:sz w:val="28"/>
                    <w:szCs w:val="28"/>
                  </w:rPr>
                  <w:t>基础化工</w:t>
                </w:r>
              </w:p>
            </w:txbxContent>
          </v:textbox>
        </v:shape>
      </w:pict>
    </w:r>
    <w:r>
      <w:rPr>
        <w:rFonts w:ascii="Times New Roman" w:eastAsia="Times New Roman" w:hAnsi="Times New Roman" w:cs="Times New Roman"/>
        <w:sz w:val="11"/>
        <w:szCs w:val="11"/>
      </w:rPr>
      <w:t>CENTRAL          CHI</w:t>
    </w:r>
    <w:r>
      <w:rPr>
        <w:rFonts w:ascii="Times New Roman" w:eastAsia="Times New Roman" w:hAnsi="Times New Roman" w:cs="Times New Roman"/>
        <w:spacing w:val="-1"/>
        <w:sz w:val="11"/>
        <w:szCs w:val="11"/>
      </w:rPr>
      <w:t>NA</w:t>
    </w:r>
    <w:r>
      <w:rPr>
        <w:rFonts w:ascii="Times New Roman" w:eastAsia="Times New Roman" w:hAnsi="Times New Roman" w:cs="Times New Roman"/>
        <w:sz w:val="11"/>
        <w:szCs w:val="11"/>
      </w:rPr>
      <w:t xml:space="preserve">          </w:t>
    </w:r>
    <w:r>
      <w:rPr>
        <w:rFonts w:ascii="Times New Roman" w:eastAsia="Times New Roman" w:hAnsi="Times New Roman" w:cs="Times New Roman"/>
        <w:spacing w:val="-1"/>
        <w:sz w:val="11"/>
        <w:szCs w:val="11"/>
      </w:rPr>
      <w:t>SECURITIES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80768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42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79744" behindDoc="0" locked="0" layoutInCell="0" allowOverlap="1">
          <wp:simplePos x="0" y="0"/>
          <wp:positionH relativeFrom="page">
            <wp:posOffset>393721</wp:posOffset>
          </wp:positionH>
          <wp:positionV relativeFrom="page">
            <wp:posOffset>279419</wp:posOffset>
          </wp:positionV>
          <wp:extent cx="2012928" cy="520661"/>
          <wp:effectExtent l="0" t="0" r="0" b="0"/>
          <wp:wrapNone/>
          <wp:docPr id="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" name="IM 4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12928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533"/>
      <w:rPr>
        <w:sz w:val="27"/>
        <w:szCs w:val="27"/>
      </w:rPr>
    </w:pPr>
    <w:r>
      <w:rPr>
        <w:b/>
        <w:bCs/>
        <w:spacing w:val="-5"/>
        <w:sz w:val="27"/>
        <w:szCs w:val="27"/>
      </w:rPr>
      <w:t>基础化工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82816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1140615725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615725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1792" behindDoc="0" locked="0" layoutInCell="0" allowOverlap="1">
          <wp:simplePos x="0" y="0"/>
          <wp:positionH relativeFrom="page">
            <wp:posOffset>393721</wp:posOffset>
          </wp:positionH>
          <wp:positionV relativeFrom="page">
            <wp:posOffset>279419</wp:posOffset>
          </wp:positionV>
          <wp:extent cx="2012928" cy="520661"/>
          <wp:effectExtent l="0" t="0" r="0" b="0"/>
          <wp:wrapNone/>
          <wp:docPr id="652412252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2412252" name="IM 4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12928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533"/>
      <w:rPr>
        <w:sz w:val="27"/>
        <w:szCs w:val="27"/>
      </w:rPr>
    </w:pPr>
    <w:r>
      <w:rPr>
        <w:b/>
        <w:bCs/>
        <w:spacing w:val="-5"/>
        <w:sz w:val="27"/>
        <w:szCs w:val="27"/>
      </w:rPr>
      <w:t>基础化工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34" w:lineRule="auto"/>
      <w:rPr>
        <w:rFonts w:ascii="Arial"/>
        <w:sz w:val="21"/>
      </w:rPr>
    </w:pPr>
    <w:r>
      <w:drawing>
        <wp:anchor distT="0" distB="0" distL="0" distR="0" simplePos="0" relativeHeight="251684864" behindDoc="0" locked="0" layoutInCell="0" allowOverlap="1">
          <wp:simplePos x="0" y="0"/>
          <wp:positionH relativeFrom="page">
            <wp:posOffset>311136</wp:posOffset>
          </wp:positionH>
          <wp:positionV relativeFrom="page">
            <wp:posOffset>831819</wp:posOffset>
          </wp:positionV>
          <wp:extent cx="6915166" cy="6350"/>
          <wp:effectExtent l="0" t="0" r="0" b="0"/>
          <wp:wrapNone/>
          <wp:docPr id="541535052" name="IM 4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1535052" name="IM 4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6915166" cy="6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drawing>
        <wp:anchor distT="0" distB="0" distL="0" distR="0" simplePos="0" relativeHeight="251683840" behindDoc="0" locked="0" layoutInCell="0" allowOverlap="1">
          <wp:simplePos x="0" y="0"/>
          <wp:positionH relativeFrom="page">
            <wp:posOffset>393721</wp:posOffset>
          </wp:positionH>
          <wp:positionV relativeFrom="page">
            <wp:posOffset>279419</wp:posOffset>
          </wp:positionV>
          <wp:extent cx="2012928" cy="520661"/>
          <wp:effectExtent l="0" t="0" r="0" b="0"/>
          <wp:wrapNone/>
          <wp:docPr id="768287044" name="IM 4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8287044" name="IM 44"/>
                  <pic:cNvPicPr/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2012928" cy="52066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>
    <w:pPr>
      <w:pStyle w:val="BodyText"/>
      <w:spacing w:before="88" w:line="232" w:lineRule="auto"/>
      <w:ind w:left="9533"/>
      <w:rPr>
        <w:sz w:val="27"/>
        <w:szCs w:val="27"/>
      </w:rPr>
    </w:pPr>
    <w:r>
      <w:rPr>
        <w:b/>
        <w:bCs/>
        <w:spacing w:val="-5"/>
        <w:sz w:val="27"/>
        <w:szCs w:val="27"/>
      </w:rPr>
      <w:t>基础化工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KaiTi" w:eastAsia="KaiTi" w:hAnsi="KaiTi" w:cs="KaiTi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image" Target="media/image8.pn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header" Target="header4.xml" /><Relationship Id="rId16" Type="http://schemas.openxmlformats.org/officeDocument/2006/relationships/header" Target="header5.xml" /><Relationship Id="rId17" Type="http://schemas.openxmlformats.org/officeDocument/2006/relationships/header" Target="header6.xml" /><Relationship Id="rId18" Type="http://schemas.openxmlformats.org/officeDocument/2006/relationships/image" Target="media/image12.jpeg" /><Relationship Id="rId19" Type="http://schemas.openxmlformats.org/officeDocument/2006/relationships/image" Target="media/image13.jpe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header" Target="header8.xml" /><Relationship Id="rId22" Type="http://schemas.openxmlformats.org/officeDocument/2006/relationships/header" Target="header9.xml" /><Relationship Id="rId23" Type="http://schemas.openxmlformats.org/officeDocument/2006/relationships/image" Target="media/image6.png" /><Relationship Id="rId24" Type="http://schemas.openxmlformats.org/officeDocument/2006/relationships/image" Target="media/image11.jpeg" /><Relationship Id="rId25" Type="http://schemas.openxmlformats.org/officeDocument/2006/relationships/header" Target="header10.xml" /><Relationship Id="rId26" Type="http://schemas.openxmlformats.org/officeDocument/2006/relationships/header" Target="header11.xml" /><Relationship Id="rId27" Type="http://schemas.openxmlformats.org/officeDocument/2006/relationships/header" Target="head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image" Target="media/image16.jpeg" /><Relationship Id="rId31" Type="http://schemas.openxmlformats.org/officeDocument/2006/relationships/header" Target="header15.xml" /><Relationship Id="rId32" Type="http://schemas.openxmlformats.org/officeDocument/2006/relationships/hyperlink" Target="https://d.book118.com/236153240200010055" TargetMode="External" /><Relationship Id="rId33" Type="http://schemas.openxmlformats.org/officeDocument/2006/relationships/header" Target="header16.xml" /><Relationship Id="rId34" Type="http://schemas.openxmlformats.org/officeDocument/2006/relationships/theme" Target="theme/theme1.xml" /><Relationship Id="rId35" Type="http://schemas.openxmlformats.org/officeDocument/2006/relationships/styles" Target="styles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jpeg" /><Relationship Id="rId7" Type="http://schemas.openxmlformats.org/officeDocument/2006/relationships/image" Target="media/image4.jpeg" /><Relationship Id="rId8" Type="http://schemas.openxmlformats.org/officeDocument/2006/relationships/image" Target="media/image5.jpeg" /><Relationship Id="rId9" Type="http://schemas.openxmlformats.org/officeDocument/2006/relationships/header" Target="header1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7.jpe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7.jpe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7.jpe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11.jpeg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11.jpeg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11.jpeg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15.jpeg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15.jpeg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14.png" /><Relationship Id="rId2" Type="http://schemas.openxmlformats.org/officeDocument/2006/relationships/image" Target="media/image15.jpeg" /></Relationships>
</file>

<file path=word/_rels/header12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7.jpeg" /></Relationships>
</file>

<file path=word/_rels/header13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7.jpeg" /></Relationships>
</file>

<file path=word/_rels/header14.xml.rels><?xml version="1.0" encoding="utf-8" standalone="yes"?><Relationships xmlns="http://schemas.openxmlformats.org/package/2006/relationships"><Relationship Id="rId1" Type="http://schemas.openxmlformats.org/officeDocument/2006/relationships/image" Target="media/image6.png" /><Relationship Id="rId2" Type="http://schemas.openxmlformats.org/officeDocument/2006/relationships/image" Target="media/image7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2024-03-08T22:57:24Z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2024-03-08T22:57:28Z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65eb274f061220001f376f51wl</vt:lpwstr>
  </property>
</Properties>
</file>