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碳纤维针刺预制件相关行业公司成立方案及可行性研究报告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_Toc14051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_Toc25094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_Toc4616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_Toc19867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_Toc25788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(七)、碳纤维针刺预制件项目建设必要性分析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_Toc7976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(一)、碳纤维针刺预制件项目选址原则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_Toc21999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_Toc13706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9" w:history="1">
        <w:r>
          <w:rPr>
            <w:rFonts w:ascii="仿宋" w:eastAsia="仿宋" w:hAnsi="仿宋" w:cs="仿宋" w:hint="eastAsia"/>
            <w:lang w:eastAsia="zh-CN"/>
          </w:rPr>
          <w:t>(五)、碳纤维针刺预制件项目选址综合评价</w:t>
        </w:r>
        <w:r>
          <w:tab/>
        </w:r>
        <w:r>
          <w:fldChar w:fldCharType="begin"/>
        </w:r>
        <w:r>
          <w:instrText xml:space="preserve"> PAGEREF _Toc19799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eastAsia="zh-CN"/>
          </w:rPr>
          <w:t>四、碳纤维针刺预制件筹建公司基本信息</w:t>
        </w:r>
        <w:r>
          <w:tab/>
        </w:r>
        <w:r>
          <w:fldChar w:fldCharType="begin"/>
        </w:r>
        <w:r>
          <w:instrText xml:space="preserve"> PAGEREF _Toc7988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_Toc28560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_Toc27727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_Toc24472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_Toc22875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_Toc24226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_Toc25963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(五)、碳纤维针刺预制件项目总投资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_Toc8315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_Toc10682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_Toc24933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_Toc27339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_Toc14545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_Toc6327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_Toc9628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_Toc23767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_Toc29523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九、碳纤维针刺预制件项目经济效益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_Toc22212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9" w:history="1">
        <w:r>
          <w:rPr>
            <w:rFonts w:ascii="仿宋" w:eastAsia="仿宋" w:hAnsi="仿宋" w:cs="仿宋" w:hint="eastAsia"/>
            <w:lang w:eastAsia="zh-CN"/>
          </w:rPr>
          <w:t>(三)、碳纤维针刺预制件项目盈利能力分析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_Toc13443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" w:history="1">
        <w:r>
          <w:rPr>
            <w:rFonts w:ascii="仿宋" w:eastAsia="仿宋" w:hAnsi="仿宋" w:cs="仿宋" w:hint="eastAsia"/>
            <w:lang w:eastAsia="zh-CN"/>
          </w:rPr>
          <w:t>十、碳纤维针刺预制件项目风险分析</w:t>
        </w:r>
        <w:r>
          <w:tab/>
        </w:r>
        <w:r>
          <w:fldChar w:fldCharType="begin"/>
        </w:r>
        <w:r>
          <w:instrText xml:space="preserve"> PAGEREF _Toc1476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4" w:history="1">
        <w:r>
          <w:rPr>
            <w:rFonts w:ascii="仿宋" w:eastAsia="仿宋" w:hAnsi="仿宋" w:cs="仿宋" w:hint="eastAsia"/>
            <w:lang w:eastAsia="zh-CN"/>
          </w:rPr>
          <w:t>(一)、碳纤维针刺预制件项目风险分析</w:t>
        </w:r>
        <w:r>
          <w:tab/>
        </w:r>
        <w:r>
          <w:fldChar w:fldCharType="begin"/>
        </w:r>
        <w:r>
          <w:instrText xml:space="preserve"> PAGEREF _Toc24794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0" w:history="1">
        <w:r>
          <w:rPr>
            <w:rFonts w:ascii="仿宋" w:eastAsia="仿宋" w:hAnsi="仿宋" w:cs="仿宋" w:hint="eastAsia"/>
            <w:lang w:eastAsia="zh-CN"/>
          </w:rPr>
          <w:t>(二)、碳纤维针刺预制件项目风险对策</w:t>
        </w:r>
        <w:r>
          <w:tab/>
        </w:r>
        <w:r>
          <w:fldChar w:fldCharType="begin"/>
        </w:r>
        <w:r>
          <w:instrText xml:space="preserve"> PAGEREF _Toc19140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_Toc29361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" w:history="1">
        <w:r>
          <w:rPr>
            <w:rFonts w:ascii="仿宋" w:eastAsia="仿宋" w:hAnsi="仿宋" w:cs="仿宋" w:hint="eastAsia"/>
            <w:lang w:eastAsia="zh-CN"/>
          </w:rPr>
          <w:t>(一)、社会责任碳纤维针刺预制件项目</w:t>
        </w:r>
        <w:r>
          <w:tab/>
        </w:r>
        <w:r>
          <w:fldChar w:fldCharType="begin"/>
        </w:r>
        <w:r>
          <w:instrText xml:space="preserve"> PAGEREF _Toc1111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_Toc17359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05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9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https://d.book118.com/236205001241010041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6205001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2024-01-19T22:50:00Z</dcterms:created>
  <dcterms:modified xsi:type="dcterms:W3CDTF">2024-01-19T22:50:52Z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913A6D75A742442F88182A637271CE82_11</vt:lpwstr>
  </property>
  <property fmtid="{D5CDD505-2E9C-101B-9397-08002B2CF9AE}" pid="3" name="KSOProductBuildVer">
    <vt:lpwstr>2052-12.1.0.16120</vt:lpwstr>
  </property>
</Properties>
</file>