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left="1080" w:hanging="1080" w:hangingChars="300"/>
        <w:jc w:val="center"/>
        <w:rPr>
          <w:rFonts w:ascii="黑体" w:eastAsia="黑体" w:hint="eastAsia"/>
          <w:sz w:val="36"/>
          <w:szCs w:val="36"/>
        </w:rPr>
      </w:pPr>
      <w:r>
        <w:rPr>
          <w:rFonts w:ascii="黑体" w:eastAsia="黑体" w:hint="eastAsia"/>
          <w:sz w:val="36"/>
          <w:szCs w:val="36"/>
        </w:rPr>
        <w:t>绥中韵达快递有限公司客户满意度研究</w:t>
      </w:r>
    </w:p>
    <w:p>
      <w:pPr>
        <w:spacing w:before="100" w:beforeAutospacing="1" w:after="100" w:afterAutospacing="1" w:line="480" w:lineRule="auto"/>
        <w:ind w:firstLine="640"/>
        <w:jc w:val="center"/>
        <w:rPr>
          <w:rFonts w:ascii="黑体" w:eastAsia="黑体" w:hAnsi="黑体" w:hint="eastAsia"/>
          <w:sz w:val="32"/>
          <w:szCs w:val="32"/>
        </w:rPr>
      </w:pPr>
      <w:r>
        <w:rPr>
          <w:rFonts w:ascii="黑体" w:eastAsia="黑体" w:hAnsi="黑体" w:hint="eastAsia"/>
          <w:sz w:val="32"/>
          <w:szCs w:val="32"/>
        </w:rPr>
        <w:t>中文摘要</w:t>
      </w:r>
    </w:p>
    <w:p>
      <w:pPr>
        <w:ind w:firstLine="480"/>
        <w:rPr>
          <w:rFonts w:hint="eastAsia"/>
        </w:rPr>
      </w:pPr>
      <w:r>
        <w:rPr>
          <w:rFonts w:hint="eastAsia"/>
        </w:rPr>
        <w:t>随着人们生活水平的不断提高以及电子商务行业的迅猛发展，快递业作为电商运输不可缺少的配套产业迎来了巨大的发展契机。从目前看中国电商发展已经发展成熟，面对这十四亿人的大市场，快递行业已经不能像从前一样一成不变，在各大快递商运输效率趋于一致的今天，终端服务水平变成了衡量快递公司指标又一重要方面，对于企业而言从客户满意度到客户忠诚度，能够提供使客户满意的的客户体验已不可或缺。为了做好最初一公里和最后一公里，本文以绥中韵达快递公司为调研对象，来进行绥中韵达快递客户满意度研究。采用以问卷调查法、文献资料法、对比分析法通过对原有数据分析并结合顾客满意度、客户关系管理、消费者行为学等理论基础上，将绥中县内城镇农村绥中韵达快递有限公司的客户人群进行随机抽样调查，将调查结果进行多维度统计分析，通过对比消费者行为，从而了解绥中韵达快递有限公司发展状况和未来将要面临的机遇和挑战。然后着眼于提升客户满意度，对产品服务创新、加强服务质量管理、细分市场、快递基础设施建设等差异化战略得到结论并提出解决方案，提出改进设想。</w:t>
      </w:r>
    </w:p>
    <w:p>
      <w:pPr>
        <w:ind w:firstLine="0" w:firstLineChars="0"/>
        <w:rPr>
          <w:rFonts w:ascii="黑体" w:eastAsia="黑体" w:hAnsi="黑体" w:hint="eastAsia"/>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08"/>
          <w:docGrid w:type="lines" w:linePitch="312"/>
        </w:sectPr>
      </w:pPr>
      <w:r>
        <w:rPr>
          <w:rFonts w:ascii="黑体" w:eastAsia="黑体" w:hAnsi="黑体" w:hint="eastAsia"/>
        </w:rPr>
        <w:t>关键词：客户关系管理；满意度；服务质量；绥中韵达快递</w:t>
      </w:r>
    </w:p>
    <w:p>
      <w:pPr>
        <w:spacing w:before="100" w:beforeAutospacing="1" w:after="100" w:afterAutospacing="1" w:line="480" w:lineRule="auto"/>
        <w:ind w:firstLine="640"/>
        <w:jc w:val="center"/>
        <w:rPr>
          <w:rFonts w:ascii="黑体" w:eastAsia="黑体" w:hAnsi="黑体" w:hint="eastAsia"/>
          <w:sz w:val="32"/>
          <w:szCs w:val="32"/>
        </w:rPr>
      </w:pPr>
      <w:r>
        <w:rPr>
          <w:rFonts w:ascii="黑体" w:eastAsia="黑体" w:hAnsi="黑体" w:hint="eastAsia"/>
          <w:sz w:val="32"/>
          <w:szCs w:val="32"/>
        </w:rPr>
        <w:t>目录</w:t>
      </w:r>
    </w:p>
    <w:p>
      <w:pPr>
        <w:pStyle w:val="TOC1"/>
        <w:tabs>
          <w:tab w:val="right" w:leader="dot" w:pos="8306"/>
        </w:tabs>
      </w:pPr>
      <w:r>
        <w:rPr>
          <w:rFonts w:hint="eastAsia"/>
        </w:rPr>
        <w:fldChar w:fldCharType="begin"/>
      </w:r>
      <w:r>
        <w:rPr>
          <w:rFonts w:hint="eastAsia"/>
        </w:rPr>
        <w:instrText xml:space="preserve">TOC \o "1-2" \h \u </w:instrText>
      </w:r>
      <w:r>
        <w:rPr>
          <w:rFonts w:hint="eastAsia"/>
        </w:rPr>
        <w:fldChar w:fldCharType="separate"/>
      </w:r>
      <w:hyperlink w:anchor="_Toc6174" w:history="1">
        <w:r>
          <w:rPr>
            <w:rFonts w:hint="eastAsia"/>
          </w:rPr>
          <w:t>引言</w:t>
        </w:r>
        <w:r>
          <w:tab/>
        </w:r>
        <w:r>
          <w:fldChar w:fldCharType="begin"/>
        </w:r>
        <w:r>
          <w:instrText xml:space="preserve"> PAGEREF _Toc6174 </w:instrText>
        </w:r>
        <w:r>
          <w:fldChar w:fldCharType="separate"/>
        </w:r>
        <w:r>
          <w:t>1</w:t>
        </w:r>
        <w:r>
          <w:fldChar w:fldCharType="end"/>
        </w:r>
      </w:hyperlink>
    </w:p>
    <w:p>
      <w:pPr>
        <w:pStyle w:val="TOC1"/>
        <w:tabs>
          <w:tab w:val="right" w:leader="dot" w:pos="8306"/>
        </w:tabs>
      </w:pPr>
      <w:hyperlink w:anchor="_Toc15511" w:history="1">
        <w:r>
          <w:rPr>
            <w:rFonts w:hint="eastAsia"/>
          </w:rPr>
          <w:t>一、绥中韵达快递公司现状</w:t>
        </w:r>
        <w:r>
          <w:tab/>
        </w:r>
        <w:r>
          <w:fldChar w:fldCharType="begin"/>
        </w:r>
        <w:r>
          <w:instrText xml:space="preserve"> PAGEREF _Toc15511 </w:instrText>
        </w:r>
        <w:r>
          <w:fldChar w:fldCharType="separate"/>
        </w:r>
        <w:r>
          <w:t>3</w:t>
        </w:r>
        <w:r>
          <w:fldChar w:fldCharType="end"/>
        </w:r>
      </w:hyperlink>
    </w:p>
    <w:p>
      <w:pPr>
        <w:pStyle w:val="TOC2"/>
        <w:tabs>
          <w:tab w:val="right" w:leader="dot" w:pos="8306"/>
        </w:tabs>
        <w:ind w:left="240"/>
      </w:pPr>
      <w:hyperlink w:anchor="_Toc18062" w:history="1">
        <w:r>
          <w:rPr>
            <w:rFonts w:hint="eastAsia"/>
          </w:rPr>
          <w:t>（一）绥中韵达快递经营现状</w:t>
        </w:r>
        <w:r>
          <w:tab/>
        </w:r>
        <w:r>
          <w:fldChar w:fldCharType="begin"/>
        </w:r>
        <w:r>
          <w:instrText xml:space="preserve"> PAGEREF _Toc18062 </w:instrText>
        </w:r>
        <w:r>
          <w:fldChar w:fldCharType="separate"/>
        </w:r>
        <w:r>
          <w:t>3</w:t>
        </w:r>
        <w:r>
          <w:fldChar w:fldCharType="end"/>
        </w:r>
      </w:hyperlink>
    </w:p>
    <w:p>
      <w:pPr>
        <w:pStyle w:val="TOC2"/>
        <w:tabs>
          <w:tab w:val="right" w:leader="dot" w:pos="8306"/>
        </w:tabs>
        <w:ind w:left="240"/>
      </w:pPr>
      <w:hyperlink w:anchor="_Toc31793" w:history="1">
        <w:r>
          <w:rPr>
            <w:rFonts w:hint="eastAsia"/>
          </w:rPr>
          <w:t>（二）绥中县韵达快递服务市场现状</w:t>
        </w:r>
        <w:r>
          <w:tab/>
        </w:r>
        <w:r>
          <w:fldChar w:fldCharType="begin"/>
        </w:r>
        <w:r>
          <w:instrText xml:space="preserve"> PAGEREF _Toc31793 </w:instrText>
        </w:r>
        <w:r>
          <w:fldChar w:fldCharType="separate"/>
        </w:r>
        <w:r>
          <w:t>3</w:t>
        </w:r>
        <w:r>
          <w:fldChar w:fldCharType="end"/>
        </w:r>
      </w:hyperlink>
    </w:p>
    <w:p>
      <w:pPr>
        <w:pStyle w:val="TOC1"/>
        <w:tabs>
          <w:tab w:val="right" w:leader="dot" w:pos="8306"/>
        </w:tabs>
      </w:pPr>
      <w:hyperlink w:anchor="_Toc29600" w:history="1">
        <w:r>
          <w:rPr>
            <w:rFonts w:hint="eastAsia"/>
          </w:rPr>
          <w:t>二、绥中韵达快递有限公司客户满意度研究</w:t>
        </w:r>
        <w:r>
          <w:tab/>
        </w:r>
        <w:r>
          <w:fldChar w:fldCharType="begin"/>
        </w:r>
        <w:r>
          <w:instrText xml:space="preserve"> PAGEREF _Toc29600 </w:instrText>
        </w:r>
        <w:r>
          <w:fldChar w:fldCharType="separate"/>
        </w:r>
        <w:r>
          <w:t>5</w:t>
        </w:r>
        <w:r>
          <w:fldChar w:fldCharType="end"/>
        </w:r>
      </w:hyperlink>
    </w:p>
    <w:p>
      <w:pPr>
        <w:pStyle w:val="TOC2"/>
        <w:tabs>
          <w:tab w:val="right" w:leader="dot" w:pos="8306"/>
        </w:tabs>
        <w:ind w:left="240"/>
      </w:pPr>
      <w:hyperlink w:anchor="_Toc19325" w:history="1">
        <w:r>
          <w:rPr>
            <w:rFonts w:hint="eastAsia"/>
          </w:rPr>
          <w:t>（一）调查目的对象与方法</w:t>
        </w:r>
        <w:r>
          <w:tab/>
        </w:r>
        <w:r>
          <w:fldChar w:fldCharType="begin"/>
        </w:r>
        <w:r>
          <w:instrText xml:space="preserve"> PAGEREF _Toc19325 </w:instrText>
        </w:r>
        <w:r>
          <w:fldChar w:fldCharType="separate"/>
        </w:r>
        <w:r>
          <w:t>5</w:t>
        </w:r>
        <w:r>
          <w:fldChar w:fldCharType="end"/>
        </w:r>
      </w:hyperlink>
    </w:p>
    <w:p>
      <w:pPr>
        <w:pStyle w:val="TOC2"/>
        <w:tabs>
          <w:tab w:val="right" w:leader="dot" w:pos="8306"/>
        </w:tabs>
        <w:ind w:left="240"/>
      </w:pPr>
      <w:hyperlink w:anchor="_Toc13278" w:history="1">
        <w:r>
          <w:rPr>
            <w:rFonts w:hint="eastAsia"/>
          </w:rPr>
          <w:t>（二）调查对象与调查内容</w:t>
        </w:r>
        <w:r>
          <w:tab/>
        </w:r>
        <w:r>
          <w:fldChar w:fldCharType="begin"/>
        </w:r>
        <w:r>
          <w:instrText xml:space="preserve"> PAGEREF _Toc13278 </w:instrText>
        </w:r>
        <w:r>
          <w:fldChar w:fldCharType="separate"/>
        </w:r>
        <w:r>
          <w:t>5</w:t>
        </w:r>
        <w:r>
          <w:fldChar w:fldCharType="end"/>
        </w:r>
      </w:hyperlink>
    </w:p>
    <w:p>
      <w:pPr>
        <w:pStyle w:val="TOC2"/>
        <w:tabs>
          <w:tab w:val="right" w:leader="dot" w:pos="8306"/>
        </w:tabs>
        <w:ind w:left="240"/>
      </w:pPr>
      <w:hyperlink w:anchor="_Toc27520" w:history="1">
        <w:r>
          <w:rPr>
            <w:rFonts w:hint="eastAsia"/>
          </w:rPr>
          <w:t>（三）客户满意度调查结果与分析</w:t>
        </w:r>
        <w:r>
          <w:tab/>
        </w:r>
        <w:r>
          <w:fldChar w:fldCharType="begin"/>
        </w:r>
        <w:r>
          <w:instrText xml:space="preserve"> PAGEREF _Toc27520 </w:instrText>
        </w:r>
        <w:r>
          <w:fldChar w:fldCharType="separate"/>
        </w:r>
        <w:r>
          <w:t>6</w:t>
        </w:r>
        <w:r>
          <w:fldChar w:fldCharType="end"/>
        </w:r>
      </w:hyperlink>
    </w:p>
    <w:p>
      <w:pPr>
        <w:pStyle w:val="TOC1"/>
        <w:tabs>
          <w:tab w:val="right" w:leader="dot" w:pos="8306"/>
        </w:tabs>
      </w:pPr>
      <w:hyperlink w:anchor="_Toc28727" w:history="1">
        <w:r>
          <w:rPr>
            <w:rFonts w:hint="eastAsia"/>
          </w:rPr>
          <w:t>三、绥中韵达快递服务存在问题</w:t>
        </w:r>
        <w:r>
          <w:tab/>
        </w:r>
        <w:r>
          <w:fldChar w:fldCharType="begin"/>
        </w:r>
        <w:r>
          <w:instrText xml:space="preserve"> PAGEREF _Toc28727 </w:instrText>
        </w:r>
        <w:r>
          <w:fldChar w:fldCharType="separate"/>
        </w:r>
        <w:r>
          <w:t>11</w:t>
        </w:r>
        <w:r>
          <w:fldChar w:fldCharType="end"/>
        </w:r>
      </w:hyperlink>
    </w:p>
    <w:p>
      <w:pPr>
        <w:pStyle w:val="TOC2"/>
        <w:tabs>
          <w:tab w:val="right" w:leader="dot" w:pos="8306"/>
        </w:tabs>
        <w:ind w:left="240"/>
      </w:pPr>
      <w:hyperlink w:anchor="_Toc9583" w:history="1">
        <w:r>
          <w:rPr>
            <w:rFonts w:hint="eastAsia"/>
          </w:rPr>
          <w:t>（一）包裹破损率高</w:t>
        </w:r>
        <w:r>
          <w:tab/>
        </w:r>
        <w:r>
          <w:fldChar w:fldCharType="begin"/>
        </w:r>
        <w:r>
          <w:instrText xml:space="preserve"> PAGEREF _Toc9583 </w:instrText>
        </w:r>
        <w:r>
          <w:fldChar w:fldCharType="separate"/>
        </w:r>
        <w:r>
          <w:t>11</w:t>
        </w:r>
        <w:r>
          <w:fldChar w:fldCharType="end"/>
        </w:r>
      </w:hyperlink>
    </w:p>
    <w:p>
      <w:pPr>
        <w:pStyle w:val="TOC2"/>
        <w:tabs>
          <w:tab w:val="right" w:leader="dot" w:pos="8306"/>
        </w:tabs>
        <w:ind w:left="240"/>
      </w:pPr>
      <w:hyperlink w:anchor="_Toc10527" w:history="1">
        <w:r>
          <w:rPr>
            <w:rFonts w:hint="eastAsia"/>
          </w:rPr>
          <w:t>（二）代收不规范丢件隐患大</w:t>
        </w:r>
        <w:r>
          <w:tab/>
        </w:r>
        <w:r>
          <w:fldChar w:fldCharType="begin"/>
        </w:r>
        <w:r>
          <w:instrText xml:space="preserve"> PAGEREF _Toc10527 </w:instrText>
        </w:r>
        <w:r>
          <w:fldChar w:fldCharType="separate"/>
        </w:r>
        <w:r>
          <w:t>11</w:t>
        </w:r>
        <w:r>
          <w:fldChar w:fldCharType="end"/>
        </w:r>
      </w:hyperlink>
    </w:p>
    <w:p>
      <w:pPr>
        <w:pStyle w:val="TOC2"/>
        <w:tabs>
          <w:tab w:val="right" w:leader="dot" w:pos="8306"/>
        </w:tabs>
        <w:ind w:left="240"/>
      </w:pPr>
      <w:hyperlink w:anchor="_Toc11186" w:history="1">
        <w:r>
          <w:rPr>
            <w:rFonts w:hint="eastAsia"/>
          </w:rPr>
          <w:t>（三）配送空间延长时间延迟较大</w:t>
        </w:r>
        <w:r>
          <w:tab/>
        </w:r>
        <w:r>
          <w:fldChar w:fldCharType="begin"/>
        </w:r>
        <w:r>
          <w:instrText xml:space="preserve"> PAGEREF _Toc11186 </w:instrText>
        </w:r>
        <w:r>
          <w:fldChar w:fldCharType="separate"/>
        </w:r>
        <w:r>
          <w:t>12</w:t>
        </w:r>
        <w:r>
          <w:fldChar w:fldCharType="end"/>
        </w:r>
      </w:hyperlink>
    </w:p>
    <w:p>
      <w:pPr>
        <w:pStyle w:val="TOC2"/>
        <w:tabs>
          <w:tab w:val="right" w:leader="dot" w:pos="8306"/>
        </w:tabs>
        <w:ind w:left="240"/>
      </w:pPr>
      <w:hyperlink w:anchor="_Toc21509" w:history="1">
        <w:r>
          <w:rPr>
            <w:rFonts w:hint="eastAsia"/>
          </w:rPr>
          <w:t>（四）从业人员服务意识不到位</w:t>
        </w:r>
        <w:r>
          <w:tab/>
        </w:r>
        <w:r>
          <w:fldChar w:fldCharType="begin"/>
        </w:r>
        <w:r>
          <w:instrText xml:space="preserve"> PAGEREF _Toc21509 </w:instrText>
        </w:r>
        <w:r>
          <w:fldChar w:fldCharType="separate"/>
        </w:r>
        <w:r>
          <w:t>12</w:t>
        </w:r>
        <w:r>
          <w:fldChar w:fldCharType="end"/>
        </w:r>
      </w:hyperlink>
    </w:p>
    <w:p>
      <w:pPr>
        <w:pStyle w:val="TOC2"/>
        <w:tabs>
          <w:tab w:val="right" w:leader="dot" w:pos="8306"/>
        </w:tabs>
        <w:ind w:left="240"/>
      </w:pPr>
      <w:hyperlink w:anchor="_Toc23" w:history="1">
        <w:r>
          <w:rPr>
            <w:rFonts w:hint="eastAsia"/>
          </w:rPr>
          <w:t>（五）偏远村送取件不便</w:t>
        </w:r>
        <w:r>
          <w:tab/>
        </w:r>
        <w:r>
          <w:fldChar w:fldCharType="begin"/>
        </w:r>
        <w:r>
          <w:instrText xml:space="preserve"> PAGEREF _Toc23 </w:instrText>
        </w:r>
        <w:r>
          <w:fldChar w:fldCharType="separate"/>
        </w:r>
        <w:r>
          <w:t>12</w:t>
        </w:r>
        <w:r>
          <w:fldChar w:fldCharType="end"/>
        </w:r>
      </w:hyperlink>
    </w:p>
    <w:p>
      <w:pPr>
        <w:pStyle w:val="TOC2"/>
        <w:tabs>
          <w:tab w:val="right" w:leader="dot" w:pos="8306"/>
        </w:tabs>
        <w:ind w:left="240"/>
      </w:pPr>
      <w:hyperlink w:anchor="_Toc11561" w:history="1">
        <w:r>
          <w:rPr>
            <w:rFonts w:hint="eastAsia"/>
          </w:rPr>
          <w:t>（六）农村快递定价相对偏高</w:t>
        </w:r>
        <w:r>
          <w:tab/>
        </w:r>
        <w:r>
          <w:fldChar w:fldCharType="begin"/>
        </w:r>
        <w:r>
          <w:instrText xml:space="preserve"> PAGEREF _Toc11561 </w:instrText>
        </w:r>
        <w:r>
          <w:fldChar w:fldCharType="separate"/>
        </w:r>
        <w:r>
          <w:t>12</w:t>
        </w:r>
        <w:r>
          <w:fldChar w:fldCharType="end"/>
        </w:r>
      </w:hyperlink>
    </w:p>
    <w:p>
      <w:pPr>
        <w:pStyle w:val="TOC1"/>
        <w:tabs>
          <w:tab w:val="right" w:leader="dot" w:pos="8306"/>
        </w:tabs>
      </w:pPr>
      <w:hyperlink w:anchor="_Toc28876" w:history="1">
        <w:r>
          <w:rPr>
            <w:rFonts w:hint="eastAsia"/>
          </w:rPr>
          <w:t>四、绥中韵达快递物流服务改进意见</w:t>
        </w:r>
        <w:r>
          <w:tab/>
        </w:r>
        <w:r>
          <w:fldChar w:fldCharType="begin"/>
        </w:r>
        <w:r>
          <w:instrText xml:space="preserve"> PAGEREF _Toc28876 </w:instrText>
        </w:r>
        <w:r>
          <w:fldChar w:fldCharType="separate"/>
        </w:r>
        <w:r>
          <w:t>14</w:t>
        </w:r>
        <w:r>
          <w:fldChar w:fldCharType="end"/>
        </w:r>
      </w:hyperlink>
    </w:p>
    <w:p>
      <w:pPr>
        <w:pStyle w:val="TOC2"/>
        <w:tabs>
          <w:tab w:val="right" w:leader="dot" w:pos="8306"/>
        </w:tabs>
        <w:ind w:left="240"/>
      </w:pPr>
      <w:hyperlink w:anchor="_Toc26956" w:history="1">
        <w:r>
          <w:rPr>
            <w:rFonts w:hint="eastAsia"/>
          </w:rPr>
          <w:t>（一）加强公司乡、村两级快递网点建设</w:t>
        </w:r>
        <w:r>
          <w:tab/>
        </w:r>
        <w:r>
          <w:fldChar w:fldCharType="begin"/>
        </w:r>
        <w:r>
          <w:instrText xml:space="preserve"> PAGEREF _Toc26956 </w:instrText>
        </w:r>
        <w:r>
          <w:fldChar w:fldCharType="separate"/>
        </w:r>
        <w:r>
          <w:t>14</w:t>
        </w:r>
        <w:r>
          <w:fldChar w:fldCharType="end"/>
        </w:r>
      </w:hyperlink>
    </w:p>
    <w:p>
      <w:pPr>
        <w:pStyle w:val="TOC2"/>
        <w:tabs>
          <w:tab w:val="right" w:leader="dot" w:pos="8306"/>
        </w:tabs>
        <w:ind w:left="240"/>
      </w:pPr>
      <w:hyperlink w:anchor="_Toc2501" w:history="1">
        <w:r>
          <w:rPr>
            <w:rFonts w:hint="eastAsia"/>
          </w:rPr>
          <w:t>（二）加强公司生鲜转运服务能力</w:t>
        </w:r>
        <w:r>
          <w:tab/>
        </w:r>
        <w:r>
          <w:fldChar w:fldCharType="begin"/>
        </w:r>
        <w:r>
          <w:instrText xml:space="preserve"> PAGEREF _Toc2501 </w:instrText>
        </w:r>
        <w:r>
          <w:fldChar w:fldCharType="separate"/>
        </w:r>
        <w:r>
          <w:t>14</w:t>
        </w:r>
        <w:r>
          <w:fldChar w:fldCharType="end"/>
        </w:r>
      </w:hyperlink>
    </w:p>
    <w:p>
      <w:pPr>
        <w:pStyle w:val="TOC2"/>
        <w:tabs>
          <w:tab w:val="right" w:leader="dot" w:pos="8306"/>
        </w:tabs>
        <w:ind w:left="240"/>
      </w:pPr>
      <w:hyperlink w:anchor="_Toc19933" w:history="1">
        <w:r>
          <w:rPr>
            <w:rFonts w:hint="eastAsia"/>
          </w:rPr>
          <w:t>（三）拓展公司大件包裹业务</w:t>
        </w:r>
        <w:r>
          <w:tab/>
        </w:r>
        <w:r>
          <w:fldChar w:fldCharType="begin"/>
        </w:r>
        <w:r>
          <w:instrText xml:space="preserve"> PAGEREF _Toc19933 </w:instrText>
        </w:r>
        <w:r>
          <w:fldChar w:fldCharType="separate"/>
        </w:r>
        <w:r>
          <w:t>14</w:t>
        </w:r>
        <w:r>
          <w:fldChar w:fldCharType="end"/>
        </w:r>
      </w:hyperlink>
    </w:p>
    <w:p>
      <w:pPr>
        <w:pStyle w:val="TOC2"/>
        <w:tabs>
          <w:tab w:val="right" w:leader="dot" w:pos="8306"/>
        </w:tabs>
        <w:ind w:left="240"/>
      </w:pPr>
      <w:hyperlink w:anchor="_Toc1726" w:history="1">
        <w:r>
          <w:rPr>
            <w:rFonts w:hint="eastAsia"/>
          </w:rPr>
          <w:t>（四）加强对从业人员制度化管控</w:t>
        </w:r>
        <w:r>
          <w:tab/>
        </w:r>
        <w:r>
          <w:fldChar w:fldCharType="begin"/>
        </w:r>
        <w:r>
          <w:instrText xml:space="preserve"> PAGEREF _Toc1726 </w:instrText>
        </w:r>
        <w:r>
          <w:fldChar w:fldCharType="separate"/>
        </w:r>
        <w:r>
          <w:t>15</w:t>
        </w:r>
        <w:r>
          <w:fldChar w:fldCharType="end"/>
        </w:r>
      </w:hyperlink>
    </w:p>
    <w:p>
      <w:pPr>
        <w:pStyle w:val="TOC2"/>
        <w:tabs>
          <w:tab w:val="right" w:leader="dot" w:pos="8306"/>
        </w:tabs>
        <w:ind w:left="240"/>
      </w:pPr>
      <w:hyperlink w:anchor="_Toc11148" w:history="1">
        <w:r>
          <w:rPr>
            <w:rFonts w:hint="eastAsia"/>
          </w:rPr>
          <w:t>（五）多渠道沟通建设快递自提柜</w:t>
        </w:r>
        <w:r>
          <w:tab/>
        </w:r>
        <w:r>
          <w:fldChar w:fldCharType="begin"/>
        </w:r>
        <w:r>
          <w:instrText xml:space="preserve"> PAGEREF _Toc11148 </w:instrText>
        </w:r>
        <w:r>
          <w:fldChar w:fldCharType="separate"/>
        </w:r>
        <w:r>
          <w:t>15</w:t>
        </w:r>
        <w:r>
          <w:fldChar w:fldCharType="end"/>
        </w:r>
      </w:hyperlink>
    </w:p>
    <w:p>
      <w:pPr>
        <w:pStyle w:val="TOC2"/>
        <w:tabs>
          <w:tab w:val="right" w:leader="dot" w:pos="8306"/>
        </w:tabs>
        <w:ind w:left="240"/>
      </w:pPr>
      <w:hyperlink w:anchor="_Toc29187" w:history="1">
        <w:r>
          <w:rPr>
            <w:rFonts w:hint="eastAsia"/>
          </w:rPr>
          <w:t>（六）让利乡村发展乡村电商</w:t>
        </w:r>
        <w:r>
          <w:tab/>
        </w:r>
        <w:r>
          <w:fldChar w:fldCharType="begin"/>
        </w:r>
        <w:r>
          <w:instrText xml:space="preserve"> PAGEREF _Toc29187 </w:instrText>
        </w:r>
        <w:r>
          <w:fldChar w:fldCharType="separate"/>
        </w:r>
        <w:r>
          <w:t>15</w:t>
        </w:r>
        <w:r>
          <w:fldChar w:fldCharType="end"/>
        </w:r>
      </w:hyperlink>
    </w:p>
    <w:p>
      <w:pPr>
        <w:pStyle w:val="TOC1"/>
        <w:tabs>
          <w:tab w:val="right" w:leader="dot" w:pos="8306"/>
        </w:tabs>
      </w:pPr>
      <w:hyperlink w:anchor="_Toc22119" w:history="1">
        <w:r>
          <w:rPr>
            <w:rFonts w:hint="eastAsia"/>
          </w:rPr>
          <w:t>结论</w:t>
        </w:r>
        <w:r>
          <w:tab/>
        </w:r>
        <w:r>
          <w:fldChar w:fldCharType="begin"/>
        </w:r>
        <w:r>
          <w:instrText xml:space="preserve"> PAGEREF _Toc22119 </w:instrText>
        </w:r>
        <w:r>
          <w:fldChar w:fldCharType="separate"/>
        </w:r>
        <w:r>
          <w:t>16</w:t>
        </w:r>
        <w:r>
          <w:fldChar w:fldCharType="end"/>
        </w:r>
      </w:hyperlink>
    </w:p>
    <w:p>
      <w:pPr>
        <w:pStyle w:val="TOC1"/>
        <w:tabs>
          <w:tab w:val="right" w:leader="dot" w:pos="8306"/>
        </w:tabs>
      </w:pPr>
      <w:hyperlink w:anchor="_Toc16021" w:history="1">
        <w:r>
          <w:rPr>
            <w:rFonts w:hint="eastAsia"/>
          </w:rPr>
          <w:t>参考文献</w:t>
        </w:r>
        <w:r>
          <w:tab/>
        </w:r>
        <w:r>
          <w:fldChar w:fldCharType="begin"/>
        </w:r>
        <w:r>
          <w:instrText xml:space="preserve"> PAGEREF _Toc16021 </w:instrText>
        </w:r>
        <w:r>
          <w:fldChar w:fldCharType="separate"/>
        </w:r>
        <w:r>
          <w:t>17</w:t>
        </w:r>
        <w:r>
          <w:fldChar w:fldCharType="end"/>
        </w:r>
      </w:hyperlink>
    </w:p>
    <w:p>
      <w:pPr>
        <w:pStyle w:val="TOC1"/>
        <w:tabs>
          <w:tab w:val="right" w:leader="dot" w:pos="8306"/>
        </w:tabs>
      </w:pPr>
      <w:hyperlink w:anchor="_Toc20460" w:history="1">
        <w:r>
          <w:rPr>
            <w:rFonts w:hint="eastAsia"/>
          </w:rPr>
          <w:t>后 记</w:t>
        </w:r>
        <w:r>
          <w:tab/>
        </w:r>
        <w:r>
          <w:fldChar w:fldCharType="begin"/>
        </w:r>
        <w:r>
          <w:instrText xml:space="preserve"> PAGEREF _Toc20460 </w:instrText>
        </w:r>
        <w:r>
          <w:fldChar w:fldCharType="separate"/>
        </w:r>
        <w:r>
          <w:t>18</w:t>
        </w:r>
        <w:r>
          <w:fldChar w:fldCharType="end"/>
        </w:r>
      </w:hyperlink>
    </w:p>
    <w:p>
      <w:pPr>
        <w:ind w:firstLine="480"/>
        <w:rPr>
          <w:rFonts w:hint="eastAsia"/>
        </w:rPr>
      </w:pPr>
      <w:r>
        <w:rPr>
          <w:rFonts w:hint="eastAsia"/>
        </w:rPr>
        <w:fldChar w:fldCharType="end"/>
      </w:r>
    </w:p>
    <w:p>
      <w:pPr>
        <w:spacing w:after="100" w:afterAutospacing="1" w:line="480" w:lineRule="auto"/>
        <w:ind w:firstLine="640"/>
        <w:jc w:val="center"/>
        <w:rPr>
          <w:sz w:val="32"/>
          <w:szCs w:val="32"/>
        </w:rPr>
      </w:pPr>
      <w:r>
        <w:rPr>
          <w:sz w:val="32"/>
          <w:szCs w:val="32"/>
        </w:rPr>
        <w:br/>
      </w:r>
      <w:r>
        <w:rPr>
          <w:sz w:val="32"/>
          <w:szCs w:val="32"/>
        </w:rPr>
        <w:br/>
      </w:r>
    </w:p>
    <w:p>
      <w:pPr>
        <w:widowControl/>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https://d.book118.com/236235111122010052</w:t>
        </w:r>
      </w:hyperlink>
    </w:p>
    <w:p>
      <w:pPr>
        <w:spacing w:after="100" w:afterAutospacing="1" w:line="480" w:lineRule="auto"/>
        <w:ind w:firstLine="640"/>
        <w:jc w:val="center"/>
        <w:rPr>
          <w:sz w:val="32"/>
          <w:szCs w:val="32"/>
        </w:rPr>
      </w:pPr>
    </w:p>
    <w:sectPr>
      <w:headerReference w:type="even" r:id="rId11"/>
      <w:headerReference w:type="default" r:id="rId12"/>
      <w:footerReference w:type="even" r:id="rId13"/>
      <w:footerReference w:type="default" r:id="rId14"/>
      <w:headerReference w:type="first" r:id="rId15"/>
      <w:footerReference w:type="first" r:id="rId16"/>
      <w:type w:val="nextPage"/>
      <w:pgSz w:w="11906" w:h="16838"/>
      <w:pgMar w:top="1440" w:right="1800" w:bottom="1440" w:left="1800" w:header="851" w:footer="992" w:gutter="0"/>
      <w:pgNumType w:start="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PMingLiU">
    <w:altName w:val="Microsoft JhengHei UI"/>
    <w:panose1 w:val="02010601000101010101"/>
    <w:charset w:val="88"/>
    <w:family w:val="auto"/>
    <w:pitch w:val="default"/>
    <w:sig w:usb0="00000001" w:usb1="08080000" w:usb2="00000010" w:usb3="00000000" w:csb0="00100000" w:csb1="00000000"/>
  </w:font>
  <w:font w:name="Calibri">
    <w:panose1 w:val="020F0502020204030204"/>
    <w:charset w:val="00"/>
    <w:family w:val="swiss"/>
    <w:pitch w:val="default"/>
    <w:sig w:usb0="E0002EFF" w:usb1="C000247B" w:usb2="00000009" w:usb3="00000000" w:csb0="200001FF" w:csb1="00000000"/>
  </w:font>
  <w:font w:name="DFKai-SB">
    <w:altName w:val="Microsoft JhengHei Light"/>
    <w:panose1 w:val="03000509000000000000"/>
    <w:charset w:val="88"/>
    <w:family w:val="script"/>
    <w:pitch w:val="default"/>
    <w:sig w:usb0="00000000" w:usb1="082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ind w:firstLine="360"/>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ind w:firstLine="360"/>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DA54EF"/>
    <w:multiLevelType w:val="multilevel"/>
    <w:tmpl w:val="77DA54EF"/>
    <w:lvl w:ilvl="0">
      <w:start w:val="1"/>
      <w:numFmt w:val="decimal"/>
      <w:suff w:val="nothing"/>
      <w:lvlText w:val="第%1章"/>
      <w:lvlJc w:val="left"/>
      <w:pPr>
        <w:ind w:left="0" w:firstLine="0"/>
      </w:pPr>
      <w:rPr>
        <w:rFonts w:ascii="黑体" w:eastAsia="黑体" w:hint="eastAsia"/>
        <w:b w:val="0"/>
        <w:sz w:val="36"/>
        <w:szCs w:val="36"/>
      </w:rPr>
    </w:lvl>
    <w:lvl w:ilvl="1">
      <w:start w:val="1"/>
      <w:numFmt w:val="none"/>
      <w:suff w:val="nothing"/>
      <w:lvlJc w:val="left"/>
      <w:pPr>
        <w:ind w:left="0" w:firstLine="0"/>
      </w:pPr>
      <w:rPr>
        <w:rFonts w:hint="eastAsia"/>
      </w:rPr>
    </w:lvl>
    <w:lvl w:ilvl="2">
      <w:start w:val="1"/>
      <w:numFmt w:val="none"/>
      <w:suff w:val="nothing"/>
      <w:lvlJc w:val="left"/>
      <w:pPr>
        <w:ind w:left="0" w:firstLine="0"/>
      </w:pPr>
      <w:rPr>
        <w:rFonts w:hint="eastAsia"/>
      </w:rPr>
    </w:lvl>
    <w:lvl w:ilvl="3">
      <w:start w:val="1"/>
      <w:numFmt w:val="none"/>
      <w:suff w:val="nothing"/>
      <w:lvlJc w:val="left"/>
      <w:pPr>
        <w:ind w:left="0" w:firstLine="0"/>
      </w:pPr>
      <w:rPr>
        <w:rFonts w:hint="eastAsia"/>
      </w:rPr>
    </w:lvl>
    <w:lvl w:ilvl="4">
      <w:start w:val="1"/>
      <w:numFmt w:val="none"/>
      <w:suff w:val="nothing"/>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0823"/>
    <w:rsid w:val="0000307B"/>
    <w:rsid w:val="000250F0"/>
    <w:rsid w:val="0002510B"/>
    <w:rsid w:val="00055D4C"/>
    <w:rsid w:val="000916BE"/>
    <w:rsid w:val="000978EF"/>
    <w:rsid w:val="000A2393"/>
    <w:rsid w:val="000A479E"/>
    <w:rsid w:val="000C47AF"/>
    <w:rsid w:val="000E7BD1"/>
    <w:rsid w:val="000F09F3"/>
    <w:rsid w:val="001127AF"/>
    <w:rsid w:val="001174DD"/>
    <w:rsid w:val="00126470"/>
    <w:rsid w:val="00131835"/>
    <w:rsid w:val="0013691B"/>
    <w:rsid w:val="00152AF5"/>
    <w:rsid w:val="00161325"/>
    <w:rsid w:val="00166DCA"/>
    <w:rsid w:val="0017428B"/>
    <w:rsid w:val="00177B53"/>
    <w:rsid w:val="001B21B5"/>
    <w:rsid w:val="001B65FE"/>
    <w:rsid w:val="001B7767"/>
    <w:rsid w:val="001C38ED"/>
    <w:rsid w:val="001D04EC"/>
    <w:rsid w:val="001E1855"/>
    <w:rsid w:val="001F1E16"/>
    <w:rsid w:val="00215182"/>
    <w:rsid w:val="00245BEE"/>
    <w:rsid w:val="00252889"/>
    <w:rsid w:val="0026233F"/>
    <w:rsid w:val="00280025"/>
    <w:rsid w:val="002A0CCD"/>
    <w:rsid w:val="002B429E"/>
    <w:rsid w:val="002B6FF6"/>
    <w:rsid w:val="002E6FBB"/>
    <w:rsid w:val="00300A1C"/>
    <w:rsid w:val="00301667"/>
    <w:rsid w:val="00304C56"/>
    <w:rsid w:val="00316AD1"/>
    <w:rsid w:val="0032120E"/>
    <w:rsid w:val="00327A2C"/>
    <w:rsid w:val="00334EE2"/>
    <w:rsid w:val="00375C47"/>
    <w:rsid w:val="003F541B"/>
    <w:rsid w:val="00433745"/>
    <w:rsid w:val="00444527"/>
    <w:rsid w:val="004622F6"/>
    <w:rsid w:val="004639B5"/>
    <w:rsid w:val="00493364"/>
    <w:rsid w:val="004A0652"/>
    <w:rsid w:val="004A1044"/>
    <w:rsid w:val="004B3123"/>
    <w:rsid w:val="004E4324"/>
    <w:rsid w:val="0052422D"/>
    <w:rsid w:val="00536110"/>
    <w:rsid w:val="00553ED2"/>
    <w:rsid w:val="00555E5C"/>
    <w:rsid w:val="00560CD4"/>
    <w:rsid w:val="005969F6"/>
    <w:rsid w:val="005A66F8"/>
    <w:rsid w:val="005B3539"/>
    <w:rsid w:val="005C2283"/>
    <w:rsid w:val="005C4754"/>
    <w:rsid w:val="005C671C"/>
    <w:rsid w:val="006046B1"/>
    <w:rsid w:val="00607652"/>
    <w:rsid w:val="0062359B"/>
    <w:rsid w:val="00627EC7"/>
    <w:rsid w:val="0063399D"/>
    <w:rsid w:val="006358AD"/>
    <w:rsid w:val="0064468B"/>
    <w:rsid w:val="006752AC"/>
    <w:rsid w:val="00682294"/>
    <w:rsid w:val="006B1BB6"/>
    <w:rsid w:val="006B5549"/>
    <w:rsid w:val="006C1BBB"/>
    <w:rsid w:val="006F27F8"/>
    <w:rsid w:val="006F5DDB"/>
    <w:rsid w:val="006F7941"/>
    <w:rsid w:val="007025A9"/>
    <w:rsid w:val="00702DBE"/>
    <w:rsid w:val="00725862"/>
    <w:rsid w:val="0074659F"/>
    <w:rsid w:val="00747D15"/>
    <w:rsid w:val="00753B17"/>
    <w:rsid w:val="007564A7"/>
    <w:rsid w:val="00757A44"/>
    <w:rsid w:val="00763550"/>
    <w:rsid w:val="0077417A"/>
    <w:rsid w:val="00775525"/>
    <w:rsid w:val="00777AA2"/>
    <w:rsid w:val="00793831"/>
    <w:rsid w:val="007939A4"/>
    <w:rsid w:val="00796B71"/>
    <w:rsid w:val="007A67F2"/>
    <w:rsid w:val="007B7820"/>
    <w:rsid w:val="007B7CF9"/>
    <w:rsid w:val="007C0F29"/>
    <w:rsid w:val="007C5284"/>
    <w:rsid w:val="00800825"/>
    <w:rsid w:val="008062D9"/>
    <w:rsid w:val="00813C45"/>
    <w:rsid w:val="00815CCE"/>
    <w:rsid w:val="00815E3B"/>
    <w:rsid w:val="00851FC1"/>
    <w:rsid w:val="0085591E"/>
    <w:rsid w:val="0086197D"/>
    <w:rsid w:val="008671DF"/>
    <w:rsid w:val="00880DD6"/>
    <w:rsid w:val="008834F2"/>
    <w:rsid w:val="008838F9"/>
    <w:rsid w:val="00887A0E"/>
    <w:rsid w:val="008A6C2D"/>
    <w:rsid w:val="008D220C"/>
    <w:rsid w:val="008D352E"/>
    <w:rsid w:val="008D3C2F"/>
    <w:rsid w:val="008E07C6"/>
    <w:rsid w:val="008E1DE6"/>
    <w:rsid w:val="00902F97"/>
    <w:rsid w:val="009074A6"/>
    <w:rsid w:val="00990897"/>
    <w:rsid w:val="00996172"/>
    <w:rsid w:val="009A653A"/>
    <w:rsid w:val="009D3B76"/>
    <w:rsid w:val="009E69CC"/>
    <w:rsid w:val="00A02ECB"/>
    <w:rsid w:val="00A10205"/>
    <w:rsid w:val="00A20823"/>
    <w:rsid w:val="00A26C4A"/>
    <w:rsid w:val="00A333C6"/>
    <w:rsid w:val="00A40C53"/>
    <w:rsid w:val="00A44884"/>
    <w:rsid w:val="00A624FA"/>
    <w:rsid w:val="00A76758"/>
    <w:rsid w:val="00A83096"/>
    <w:rsid w:val="00AA12FD"/>
    <w:rsid w:val="00AF54E3"/>
    <w:rsid w:val="00AF63F5"/>
    <w:rsid w:val="00B1338F"/>
    <w:rsid w:val="00B15E47"/>
    <w:rsid w:val="00B23ABB"/>
    <w:rsid w:val="00B47232"/>
    <w:rsid w:val="00B641E1"/>
    <w:rsid w:val="00B76861"/>
    <w:rsid w:val="00B80071"/>
    <w:rsid w:val="00B83B66"/>
    <w:rsid w:val="00B86BF0"/>
    <w:rsid w:val="00BA668E"/>
    <w:rsid w:val="00BC46B9"/>
    <w:rsid w:val="00BE1134"/>
    <w:rsid w:val="00BF174F"/>
    <w:rsid w:val="00C012DF"/>
    <w:rsid w:val="00C25D7D"/>
    <w:rsid w:val="00C25EB0"/>
    <w:rsid w:val="00C26258"/>
    <w:rsid w:val="00C437CB"/>
    <w:rsid w:val="00C450F5"/>
    <w:rsid w:val="00C5195A"/>
    <w:rsid w:val="00C70733"/>
    <w:rsid w:val="00C9014C"/>
    <w:rsid w:val="00C93126"/>
    <w:rsid w:val="00CA7CF9"/>
    <w:rsid w:val="00CB710F"/>
    <w:rsid w:val="00CD4670"/>
    <w:rsid w:val="00CE0465"/>
    <w:rsid w:val="00CE7F17"/>
    <w:rsid w:val="00CF2371"/>
    <w:rsid w:val="00D00BEF"/>
    <w:rsid w:val="00D026C7"/>
    <w:rsid w:val="00D12E95"/>
    <w:rsid w:val="00D35684"/>
    <w:rsid w:val="00D41CBA"/>
    <w:rsid w:val="00D54606"/>
    <w:rsid w:val="00D6088A"/>
    <w:rsid w:val="00D64FE2"/>
    <w:rsid w:val="00D67669"/>
    <w:rsid w:val="00D778E6"/>
    <w:rsid w:val="00D86D98"/>
    <w:rsid w:val="00D875A7"/>
    <w:rsid w:val="00DA1C09"/>
    <w:rsid w:val="00DA47B7"/>
    <w:rsid w:val="00DA5131"/>
    <w:rsid w:val="00DB6C9C"/>
    <w:rsid w:val="00DD5685"/>
    <w:rsid w:val="00DF398D"/>
    <w:rsid w:val="00E0596C"/>
    <w:rsid w:val="00E604DF"/>
    <w:rsid w:val="00E817FC"/>
    <w:rsid w:val="00EC3678"/>
    <w:rsid w:val="00F06FC9"/>
    <w:rsid w:val="00F1064F"/>
    <w:rsid w:val="00F1653A"/>
    <w:rsid w:val="00F46752"/>
    <w:rsid w:val="00F65763"/>
    <w:rsid w:val="00F802CC"/>
    <w:rsid w:val="00F84666"/>
    <w:rsid w:val="00FA37D1"/>
    <w:rsid w:val="00FA47B6"/>
    <w:rsid w:val="00FD2033"/>
    <w:rsid w:val="00FE2F8D"/>
    <w:rsid w:val="01BC6B6C"/>
    <w:rsid w:val="03B30001"/>
    <w:rsid w:val="042D05E3"/>
    <w:rsid w:val="04981AC5"/>
    <w:rsid w:val="04A743FE"/>
    <w:rsid w:val="05232C33"/>
    <w:rsid w:val="06B525B7"/>
    <w:rsid w:val="07420712"/>
    <w:rsid w:val="0750282A"/>
    <w:rsid w:val="090424A8"/>
    <w:rsid w:val="0910347A"/>
    <w:rsid w:val="096B56FA"/>
    <w:rsid w:val="0A3E3CC4"/>
    <w:rsid w:val="0AD55252"/>
    <w:rsid w:val="0B997A28"/>
    <w:rsid w:val="0C3076CE"/>
    <w:rsid w:val="0C956AA0"/>
    <w:rsid w:val="0CF31BA1"/>
    <w:rsid w:val="0E124483"/>
    <w:rsid w:val="0E5F7380"/>
    <w:rsid w:val="0F9100B8"/>
    <w:rsid w:val="0FFF3756"/>
    <w:rsid w:val="11721B58"/>
    <w:rsid w:val="119010DB"/>
    <w:rsid w:val="11B4060A"/>
    <w:rsid w:val="11BB79A1"/>
    <w:rsid w:val="11C82017"/>
    <w:rsid w:val="12444D24"/>
    <w:rsid w:val="125B7D41"/>
    <w:rsid w:val="12A57958"/>
    <w:rsid w:val="13385A0C"/>
    <w:rsid w:val="13696514"/>
    <w:rsid w:val="13DC4064"/>
    <w:rsid w:val="140D7B6B"/>
    <w:rsid w:val="143E783D"/>
    <w:rsid w:val="14400B3F"/>
    <w:rsid w:val="14603F63"/>
    <w:rsid w:val="14A32D20"/>
    <w:rsid w:val="15143713"/>
    <w:rsid w:val="153A2C1D"/>
    <w:rsid w:val="15F5249D"/>
    <w:rsid w:val="160707C4"/>
    <w:rsid w:val="163F1A2D"/>
    <w:rsid w:val="17155FDA"/>
    <w:rsid w:val="17731D4B"/>
    <w:rsid w:val="18057A0B"/>
    <w:rsid w:val="19753867"/>
    <w:rsid w:val="1A50789B"/>
    <w:rsid w:val="1ABD3B2B"/>
    <w:rsid w:val="1BA46064"/>
    <w:rsid w:val="1BD6488C"/>
    <w:rsid w:val="1BE86661"/>
    <w:rsid w:val="1D1372C8"/>
    <w:rsid w:val="1DF72B5E"/>
    <w:rsid w:val="1E0B2271"/>
    <w:rsid w:val="1ED34E93"/>
    <w:rsid w:val="1F4D2CFE"/>
    <w:rsid w:val="1F667054"/>
    <w:rsid w:val="1FD92978"/>
    <w:rsid w:val="203810CF"/>
    <w:rsid w:val="204D550B"/>
    <w:rsid w:val="208E68B8"/>
    <w:rsid w:val="208E751D"/>
    <w:rsid w:val="21003021"/>
    <w:rsid w:val="213440BB"/>
    <w:rsid w:val="220B067D"/>
    <w:rsid w:val="22324542"/>
    <w:rsid w:val="229F6A68"/>
    <w:rsid w:val="22AD4A09"/>
    <w:rsid w:val="22E35601"/>
    <w:rsid w:val="23480D5F"/>
    <w:rsid w:val="237D5548"/>
    <w:rsid w:val="23EE5CA0"/>
    <w:rsid w:val="23F32584"/>
    <w:rsid w:val="246A036A"/>
    <w:rsid w:val="24D776B1"/>
    <w:rsid w:val="251D6C83"/>
    <w:rsid w:val="263F56AD"/>
    <w:rsid w:val="26AB5662"/>
    <w:rsid w:val="273274A0"/>
    <w:rsid w:val="27F67D8C"/>
    <w:rsid w:val="28230B2A"/>
    <w:rsid w:val="28684DCF"/>
    <w:rsid w:val="286D1A73"/>
    <w:rsid w:val="290C72ED"/>
    <w:rsid w:val="29DB7146"/>
    <w:rsid w:val="2A8815C7"/>
    <w:rsid w:val="2ACF1237"/>
    <w:rsid w:val="2B0003B3"/>
    <w:rsid w:val="2BBC025A"/>
    <w:rsid w:val="2C1B3DA5"/>
    <w:rsid w:val="2C3B5298"/>
    <w:rsid w:val="2C44158A"/>
    <w:rsid w:val="2CC457D5"/>
    <w:rsid w:val="2D7D2B30"/>
    <w:rsid w:val="2DDA7A1A"/>
    <w:rsid w:val="2E20526D"/>
    <w:rsid w:val="2EB42BE1"/>
    <w:rsid w:val="2FFE2245"/>
    <w:rsid w:val="300D3BB5"/>
    <w:rsid w:val="305F4685"/>
    <w:rsid w:val="30BF7316"/>
    <w:rsid w:val="310157E0"/>
    <w:rsid w:val="32F9061D"/>
    <w:rsid w:val="337A1267"/>
    <w:rsid w:val="34354D93"/>
    <w:rsid w:val="346B0473"/>
    <w:rsid w:val="34B10ECB"/>
    <w:rsid w:val="366F6DDC"/>
    <w:rsid w:val="3695179F"/>
    <w:rsid w:val="36A64060"/>
    <w:rsid w:val="36F73F1B"/>
    <w:rsid w:val="387A5D85"/>
    <w:rsid w:val="38C41374"/>
    <w:rsid w:val="393A3E14"/>
    <w:rsid w:val="394331C3"/>
    <w:rsid w:val="39B23ABE"/>
    <w:rsid w:val="39B97FDB"/>
    <w:rsid w:val="3A025C79"/>
    <w:rsid w:val="3B09305F"/>
    <w:rsid w:val="3BB17151"/>
    <w:rsid w:val="3C3975F1"/>
    <w:rsid w:val="3CE91825"/>
    <w:rsid w:val="3D547A6D"/>
    <w:rsid w:val="3D9A580B"/>
    <w:rsid w:val="3E505602"/>
    <w:rsid w:val="3E946D34"/>
    <w:rsid w:val="3EA224DA"/>
    <w:rsid w:val="3EA26EA0"/>
    <w:rsid w:val="3F142D30"/>
    <w:rsid w:val="3F2D15D2"/>
    <w:rsid w:val="3F3B3D83"/>
    <w:rsid w:val="40F235DB"/>
    <w:rsid w:val="40F60EF0"/>
    <w:rsid w:val="42E74978"/>
    <w:rsid w:val="43145284"/>
    <w:rsid w:val="43786BC1"/>
    <w:rsid w:val="43C075B8"/>
    <w:rsid w:val="44165E03"/>
    <w:rsid w:val="44F602B3"/>
    <w:rsid w:val="455B7056"/>
    <w:rsid w:val="45F511F4"/>
    <w:rsid w:val="48561BCE"/>
    <w:rsid w:val="49DD221D"/>
    <w:rsid w:val="4A082E0A"/>
    <w:rsid w:val="4A613CB9"/>
    <w:rsid w:val="4AFC6A3E"/>
    <w:rsid w:val="4B414ECD"/>
    <w:rsid w:val="4C62319D"/>
    <w:rsid w:val="4DE37425"/>
    <w:rsid w:val="4DE57EA4"/>
    <w:rsid w:val="4FB46C63"/>
    <w:rsid w:val="4FEC7C7D"/>
    <w:rsid w:val="50253300"/>
    <w:rsid w:val="5044065D"/>
    <w:rsid w:val="50A06225"/>
    <w:rsid w:val="50CD5CB0"/>
    <w:rsid w:val="51452423"/>
    <w:rsid w:val="52851DCA"/>
    <w:rsid w:val="52A5623F"/>
    <w:rsid w:val="52C43310"/>
    <w:rsid w:val="531D052B"/>
    <w:rsid w:val="53202DFF"/>
    <w:rsid w:val="5400029E"/>
    <w:rsid w:val="54A155CB"/>
    <w:rsid w:val="54D82F1A"/>
    <w:rsid w:val="55F40514"/>
    <w:rsid w:val="56456404"/>
    <w:rsid w:val="579353EE"/>
    <w:rsid w:val="57C02F41"/>
    <w:rsid w:val="588C5AA4"/>
    <w:rsid w:val="58974005"/>
    <w:rsid w:val="58D57EF1"/>
    <w:rsid w:val="59491978"/>
    <w:rsid w:val="5AD27EAC"/>
    <w:rsid w:val="5B4F522F"/>
    <w:rsid w:val="5B6954A9"/>
    <w:rsid w:val="5BAA7BBE"/>
    <w:rsid w:val="5BDC1968"/>
    <w:rsid w:val="5C5119DC"/>
    <w:rsid w:val="5C5A2855"/>
    <w:rsid w:val="5DC940DC"/>
    <w:rsid w:val="5EFD05F5"/>
    <w:rsid w:val="5FC668F1"/>
    <w:rsid w:val="602963C8"/>
    <w:rsid w:val="60B552B2"/>
    <w:rsid w:val="60FF79C4"/>
    <w:rsid w:val="61851CE3"/>
    <w:rsid w:val="621670DE"/>
    <w:rsid w:val="622501A8"/>
    <w:rsid w:val="63E81D00"/>
    <w:rsid w:val="64B36BA7"/>
    <w:rsid w:val="650B5AFF"/>
    <w:rsid w:val="65AE61AC"/>
    <w:rsid w:val="66931123"/>
    <w:rsid w:val="66BC4BD1"/>
    <w:rsid w:val="67D731EB"/>
    <w:rsid w:val="681E643C"/>
    <w:rsid w:val="68825864"/>
    <w:rsid w:val="6AAF2EC8"/>
    <w:rsid w:val="6B1A282C"/>
    <w:rsid w:val="6B1B544D"/>
    <w:rsid w:val="6B1C48E2"/>
    <w:rsid w:val="6BB86AA9"/>
    <w:rsid w:val="6D2A743F"/>
    <w:rsid w:val="6DB76D0F"/>
    <w:rsid w:val="6E012AAE"/>
    <w:rsid w:val="6E534718"/>
    <w:rsid w:val="6F0A5FF3"/>
    <w:rsid w:val="6F8540B5"/>
    <w:rsid w:val="6FA5784E"/>
    <w:rsid w:val="6FAC75F6"/>
    <w:rsid w:val="709C7946"/>
    <w:rsid w:val="70BA3499"/>
    <w:rsid w:val="70E74622"/>
    <w:rsid w:val="7193553E"/>
    <w:rsid w:val="724366E5"/>
    <w:rsid w:val="72D62C4C"/>
    <w:rsid w:val="7376364E"/>
    <w:rsid w:val="74153A9F"/>
    <w:rsid w:val="74935496"/>
    <w:rsid w:val="74BC3FEF"/>
    <w:rsid w:val="74D01C00"/>
    <w:rsid w:val="74F81E4D"/>
    <w:rsid w:val="75596A9E"/>
    <w:rsid w:val="756A5BA1"/>
    <w:rsid w:val="75F15EEB"/>
    <w:rsid w:val="75FE1266"/>
    <w:rsid w:val="76934A1B"/>
    <w:rsid w:val="77501161"/>
    <w:rsid w:val="77FE0095"/>
    <w:rsid w:val="7842131F"/>
    <w:rsid w:val="78C04956"/>
    <w:rsid w:val="79A54795"/>
    <w:rsid w:val="7B071EFF"/>
    <w:rsid w:val="7B590CCF"/>
    <w:rsid w:val="7B7D0B77"/>
    <w:rsid w:val="7BB120E1"/>
    <w:rsid w:val="7BF96E1A"/>
    <w:rsid w:val="7C6E7DCB"/>
    <w:rsid w:val="7D2A6FFA"/>
    <w:rsid w:val="7D3A67EF"/>
    <w:rsid w:val="7D7A32D7"/>
    <w:rsid w:val="7D985998"/>
    <w:rsid w:val="7E7D734A"/>
    <w:rsid w:val="7ECA48CC"/>
    <w:rsid w:val="7F0F63CA"/>
    <w:rsid w:val="7F216E54"/>
  </w:rsids>
  <w:docVars>
    <w:docVar w:name="commondata" w:val="eyJoZGlkIjoiZDNkNjYyY2Y4YzM5ZDFlZTM3ODM0NmI3NTg2ODc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35"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uiPriority="0" w:unhideWhenUsed="0" w:qFormat="1"/>
    <w:lsdException w:name="endnote text" w:semiHidden="0" w:unhideWhenUsed="0" w:qFormat="1"/>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qFormat="1"/>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59" w:unhideWhenUsed="0" w:qFormat="1"/>
    <w:lsdException w:name="Table Theme" w:semiHidden="0" w:uiPriority="0" w:unhideWhenUsed="0"/>
    <w:lsdException w:name="Light Shading" w:semiHidden="0" w:uiPriority="60" w:unhideWhenUsed="0" w:qFormat="1"/>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CommentText"/>
    <w:qFormat/>
    <w:pPr>
      <w:widowControl w:val="0"/>
      <w:ind w:firstLine="1040" w:firstLineChars="200"/>
      <w:jc w:val="both"/>
    </w:pPr>
    <w:rPr>
      <w:kern w:val="2"/>
      <w:sz w:val="24"/>
      <w:szCs w:val="24"/>
      <w:lang w:val="en-US" w:eastAsia="zh-CN" w:bidi="ar-SA"/>
    </w:rPr>
  </w:style>
  <w:style w:type="paragraph" w:styleId="Heading1">
    <w:name w:val="heading 1"/>
    <w:basedOn w:val="Normal"/>
    <w:next w:val="Normal"/>
    <w:link w:val="1Char"/>
    <w:qFormat/>
    <w:pPr>
      <w:keepNext/>
      <w:keepLines/>
      <w:spacing w:beforeAutospacing="1" w:afterAutospacing="1" w:line="480" w:lineRule="auto"/>
      <w:ind w:firstLine="0" w:firstLineChars="0"/>
      <w:jc w:val="center"/>
      <w:outlineLvl w:val="0"/>
    </w:pPr>
    <w:rPr>
      <w:rFonts w:eastAsia="黑体" w:hAnsi="宋体"/>
      <w:bCs/>
      <w:kern w:val="44"/>
      <w:sz w:val="32"/>
      <w:szCs w:val="44"/>
    </w:rPr>
  </w:style>
  <w:style w:type="paragraph" w:styleId="Heading2">
    <w:name w:val="heading 2"/>
    <w:basedOn w:val="Normal"/>
    <w:next w:val="Normal"/>
    <w:link w:val="2Char1"/>
    <w:qFormat/>
    <w:pPr>
      <w:keepNext/>
      <w:ind w:firstLine="0" w:firstLineChars="0"/>
      <w:jc w:val="both"/>
      <w:outlineLvl w:val="1"/>
    </w:pPr>
    <w:rPr>
      <w:rFonts w:ascii="Times New Roman" w:eastAsia="黑体" w:hAnsi="Times New Roman"/>
      <w:bCs/>
      <w:iCs/>
      <w:kern w:val="0"/>
      <w:sz w:val="28"/>
      <w:szCs w:val="20"/>
    </w:rPr>
  </w:style>
  <w:style w:type="paragraph" w:styleId="Heading3">
    <w:name w:val="heading 3"/>
    <w:basedOn w:val="Normal"/>
    <w:next w:val="Normal"/>
    <w:link w:val="3Char"/>
    <w:qFormat/>
    <w:pPr>
      <w:keepNext/>
      <w:keepLines/>
      <w:spacing w:line="240" w:lineRule="auto"/>
      <w:ind w:firstLine="1040" w:firstLineChars="200"/>
      <w:outlineLvl w:val="2"/>
    </w:pPr>
    <w:rPr>
      <w:rFonts w:ascii="Times New Roman" w:eastAsia="黑体" w:hAnsi="Times New Roman"/>
      <w:bCs/>
      <w:sz w:val="24"/>
      <w:szCs w:val="32"/>
    </w:rPr>
  </w:style>
  <w:style w:type="paragraph" w:styleId="Heading5">
    <w:name w:val="heading 5"/>
    <w:basedOn w:val="Normal"/>
    <w:next w:val="Normal"/>
    <w:qFormat/>
    <w:pPr>
      <w:keepNext/>
      <w:keepLines/>
      <w:numPr>
        <w:ilvl w:val="4"/>
        <w:numId w:val="1"/>
      </w:numPr>
      <w:spacing w:before="280" w:beforeLines="0" w:beforeAutospacing="0" w:after="290" w:afterLines="0" w:afterAutospacing="0" w:line="372" w:lineRule="auto"/>
      <w:ind w:firstLine="0" w:firstLineChars="0"/>
      <w:outlineLvl w:val="4"/>
    </w:pPr>
    <w:rPr>
      <w:b/>
      <w:sz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CommentText">
    <w:name w:val="annotation text"/>
    <w:basedOn w:val="Normal"/>
    <w:semiHidden/>
    <w:pPr>
      <w:jc w:val="left"/>
    </w:pPr>
  </w:style>
  <w:style w:type="character" w:customStyle="1" w:styleId="1Char">
    <w:name w:val="标题 1 Char"/>
    <w:link w:val="Heading1"/>
    <w:qFormat/>
    <w:rPr>
      <w:rFonts w:ascii="Times New Roman" w:eastAsia="黑体" w:hAnsi="Times New Roman" w:cs="Courier New"/>
      <w:bCs/>
      <w:kern w:val="44"/>
      <w:sz w:val="32"/>
      <w:szCs w:val="44"/>
    </w:rPr>
  </w:style>
  <w:style w:type="character" w:customStyle="1" w:styleId="2Char1">
    <w:name w:val="标题 2 Char1"/>
    <w:link w:val="Heading2"/>
    <w:rPr>
      <w:rFonts w:ascii="Times New Roman" w:eastAsia="黑体" w:hAnsi="Times New Roman"/>
      <w:bCs/>
      <w:iCs/>
      <w:sz w:val="28"/>
    </w:rPr>
  </w:style>
  <w:style w:type="character" w:customStyle="1" w:styleId="3Char">
    <w:name w:val="标题 3 Char"/>
    <w:link w:val="Heading3"/>
    <w:uiPriority w:val="9"/>
    <w:qFormat/>
    <w:rPr>
      <w:rFonts w:ascii="Times New Roman" w:eastAsia="黑体" w:hAnsi="Times New Roman"/>
      <w:bCs/>
      <w:sz w:val="24"/>
      <w:szCs w:val="32"/>
    </w:rPr>
  </w:style>
  <w:style w:type="paragraph" w:styleId="NormalIndent">
    <w:name w:val="Normal Indent"/>
    <w:pPr>
      <w:widowControl w:val="0"/>
      <w:topLinePunct/>
      <w:spacing w:line="360" w:lineRule="auto"/>
      <w:ind w:firstLine="484" w:firstLineChars="200"/>
      <w:jc w:val="both"/>
    </w:pPr>
    <w:rPr>
      <w:sz w:val="24"/>
      <w:szCs w:val="24"/>
      <w:lang w:val="en-US" w:eastAsia="zh-CN" w:bidi="ar-SA"/>
    </w:rPr>
  </w:style>
  <w:style w:type="paragraph" w:styleId="Caption">
    <w:name w:val="caption"/>
    <w:basedOn w:val="Normal"/>
    <w:next w:val="Normal"/>
    <w:uiPriority w:val="35"/>
    <w:qFormat/>
    <w:rPr>
      <w:rFonts w:ascii="Cambria" w:eastAsia="黑体" w:hAnsi="Cambria"/>
      <w:sz w:val="20"/>
      <w:szCs w:val="20"/>
    </w:rPr>
  </w:style>
  <w:style w:type="paragraph" w:styleId="BodyText">
    <w:name w:val="Body Text"/>
    <w:basedOn w:val="Normal"/>
    <w:pPr>
      <w:spacing w:after="120"/>
    </w:pPr>
  </w:style>
  <w:style w:type="paragraph" w:styleId="BodyTextIndent">
    <w:name w:val="Body Text Indent"/>
    <w:basedOn w:val="Normal"/>
    <w:pPr>
      <w:ind w:firstLine="360"/>
    </w:pPr>
    <w:rPr>
      <w:sz w:val="24"/>
      <w:szCs w:val="20"/>
    </w:rPr>
  </w:style>
  <w:style w:type="paragraph" w:styleId="TOC3">
    <w:name w:val="toc 3"/>
    <w:basedOn w:val="Normal"/>
    <w:next w:val="Normal"/>
    <w:pPr>
      <w:ind w:left="420" w:firstLine="0" w:leftChars="200" w:firstLineChars="0"/>
    </w:pPr>
    <w:rPr>
      <w:rFonts w:ascii="Times New Roman" w:eastAsia="宋体" w:hAnsi="Times New Roman"/>
      <w:sz w:val="21"/>
    </w:rPr>
  </w:style>
  <w:style w:type="paragraph" w:styleId="PlainText">
    <w:name w:val="Plain Text"/>
    <w:basedOn w:val="Normal"/>
    <w:rPr>
      <w:rFonts w:ascii="宋体" w:hAnsi="Courier New" w:cs="Courier New"/>
      <w:sz w:val="24"/>
      <w:szCs w:val="21"/>
    </w:rPr>
  </w:style>
  <w:style w:type="paragraph" w:styleId="BodyTextIndent2">
    <w:name w:val="Body Text Indent 2"/>
    <w:basedOn w:val="Normal"/>
    <w:qFormat/>
    <w:pPr>
      <w:spacing w:line="480" w:lineRule="auto"/>
      <w:ind w:left="420" w:leftChars="200"/>
    </w:pPr>
  </w:style>
  <w:style w:type="paragraph" w:styleId="EndnoteText">
    <w:name w:val="endnote text"/>
    <w:basedOn w:val="Normal"/>
    <w:uiPriority w:val="99"/>
    <w:qFormat/>
    <w:pPr>
      <w:snapToGrid w:val="0"/>
      <w:jc w:val="left"/>
    </w:p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pPr>
      <w:ind w:firstLine="0" w:firstLineChars="0"/>
    </w:pPr>
    <w:rPr>
      <w:rFonts w:ascii="Times New Roman" w:hAnsi="Times New Roman"/>
      <w:b w:val="0"/>
      <w:sz w:val="24"/>
    </w:rPr>
  </w:style>
  <w:style w:type="paragraph" w:styleId="FootnoteText">
    <w:name w:val="footnote text"/>
    <w:basedOn w:val="Normal"/>
    <w:semiHidden/>
    <w:pPr>
      <w:adjustRightInd w:val="0"/>
      <w:snapToGrid w:val="0"/>
      <w:spacing w:line="360" w:lineRule="atLeast"/>
      <w:jc w:val="left"/>
      <w:textAlignment w:val="baseline"/>
    </w:pPr>
    <w:rPr>
      <w:rFonts w:eastAsia="PMingLiU"/>
      <w:kern w:val="0"/>
      <w:sz w:val="20"/>
      <w:szCs w:val="20"/>
      <w:lang w:eastAsia="zh-TW"/>
    </w:rPr>
  </w:style>
  <w:style w:type="paragraph" w:styleId="TOC2">
    <w:name w:val="toc 2"/>
    <w:basedOn w:val="Normal"/>
    <w:next w:val="Normal"/>
    <w:pPr>
      <w:ind w:left="210" w:firstLine="0" w:leftChars="100" w:firstLineChars="0"/>
    </w:pPr>
    <w:rPr>
      <w:rFonts w:ascii="Times New Roman" w:hAnsi="Times New Roman"/>
      <w:sz w:val="24"/>
    </w:rPr>
  </w:style>
  <w:style w:type="paragraph" w:styleId="HTMLPreformatted">
    <w:name w:val="HTML Preformatted"/>
    <w:basedOn w:val="Normal"/>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qFormat/>
    <w:pPr>
      <w:widowControl/>
      <w:spacing w:before="100" w:beforeAutospacing="1" w:after="100" w:afterAutospacing="1"/>
      <w:jc w:val="left"/>
    </w:pPr>
    <w:rPr>
      <w:rFonts w:ascii="宋体" w:hAnsi="宋体"/>
      <w:kern w:val="0"/>
      <w:sz w:val="24"/>
    </w:rPr>
  </w:style>
  <w:style w:type="paragraph" w:styleId="Title">
    <w:name w:val="Title"/>
    <w:basedOn w:val="Normal"/>
    <w:qFormat/>
    <w:pPr>
      <w:jc w:val="center"/>
    </w:pPr>
    <w:rPr>
      <w:rFonts w:eastAsia="黑体"/>
      <w:b/>
      <w:bCs/>
      <w:sz w:val="32"/>
    </w:rPr>
  </w:style>
  <w:style w:type="paragraph" w:styleId="CommentSubject">
    <w:name w:val="annotation subject"/>
    <w:basedOn w:val="CommentText"/>
    <w:next w:val="CommentText"/>
    <w:semiHidden/>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semiHidden/>
    <w:qFormat/>
    <w:rPr>
      <w:vertAlign w:val="superscript"/>
    </w:rPr>
  </w:style>
  <w:style w:type="character" w:styleId="PageNumber">
    <w:name w:val="page number"/>
    <w:basedOn w:val="DefaultParagraphFont"/>
  </w:style>
  <w:style w:type="character" w:styleId="Hyperlink">
    <w:name w:val="Hyperlink"/>
    <w:uiPriority w:val="99"/>
    <w:rPr>
      <w:color w:val="000099"/>
      <w:u w:val="none"/>
    </w:rPr>
  </w:style>
  <w:style w:type="character" w:styleId="CommentReference">
    <w:name w:val="annotation reference"/>
    <w:semiHidden/>
    <w:rPr>
      <w:sz w:val="21"/>
      <w:szCs w:val="21"/>
    </w:rPr>
  </w:style>
  <w:style w:type="character" w:styleId="FootnoteReference">
    <w:name w:val="footnote reference"/>
    <w:semiHidden/>
    <w:rPr>
      <w:vertAlign w:val="superscript"/>
    </w:rPr>
  </w:style>
  <w:style w:type="character" w:customStyle="1" w:styleId="2Char">
    <w:name w:val="标题 2 Char"/>
    <w:link w:val="Heading2"/>
    <w:rPr>
      <w:rFonts w:ascii="Times New Roman" w:eastAsia="黑体" w:hAnsi="Times New Roman"/>
      <w:bCs/>
      <w:iCs/>
    </w:rPr>
  </w:style>
  <w:style w:type="character" w:customStyle="1" w:styleId="1">
    <w:name w:val="标题 1 字符"/>
    <w:qFormat/>
    <w:rPr>
      <w:rFonts w:eastAsia="黑体" w:hAnsi="宋体" w:cs="Courier New"/>
      <w:bCs/>
      <w:kern w:val="44"/>
      <w:sz w:val="32"/>
      <w:szCs w:val="44"/>
    </w:rPr>
  </w:style>
  <w:style w:type="character" w:customStyle="1" w:styleId="emsimilar">
    <w:name w:val="em_similar"/>
    <w:qFormat/>
    <w:rPr>
      <w:color w:val="FF0000"/>
    </w:rPr>
  </w:style>
  <w:style w:type="character" w:customStyle="1" w:styleId="Char">
    <w:name w:val="图的说明 Char"/>
    <w:link w:val="a"/>
    <w:qFormat/>
    <w:rPr>
      <w:rFonts w:ascii="宋体" w:eastAsia="宋体" w:hAnsi="宋体"/>
      <w:b/>
      <w:sz w:val="21"/>
    </w:rPr>
  </w:style>
  <w:style w:type="paragraph" w:customStyle="1" w:styleId="a">
    <w:name w:val="图的说明"/>
    <w:basedOn w:val="Normal"/>
    <w:link w:val="Char"/>
    <w:pPr>
      <w:jc w:val="center"/>
    </w:pPr>
    <w:rPr>
      <w:rFonts w:ascii="宋体" w:hAnsi="宋体"/>
      <w:b/>
      <w:kern w:val="0"/>
      <w:sz w:val="21"/>
      <w:szCs w:val="20"/>
    </w:rPr>
  </w:style>
  <w:style w:type="character" w:customStyle="1" w:styleId="fontstyle01">
    <w:name w:val="fontstyle01"/>
    <w:uiPriority w:val="99"/>
    <w:rPr>
      <w:rFonts w:ascii="宋体" w:eastAsia="宋体" w:hAnsi="宋体"/>
      <w:color w:val="000000"/>
      <w:sz w:val="24"/>
    </w:rPr>
  </w:style>
  <w:style w:type="character" w:customStyle="1" w:styleId="fontstyle21">
    <w:name w:val="fontstyle21"/>
    <w:uiPriority w:val="99"/>
    <w:rPr>
      <w:rFonts w:ascii="Calibri" w:eastAsia="宋体" w:hAnsi="Calibri"/>
      <w:color w:val="000000"/>
      <w:sz w:val="24"/>
    </w:rPr>
  </w:style>
  <w:style w:type="character" w:customStyle="1" w:styleId="em">
    <w:name w:val="em"/>
    <w:basedOn w:val="DefaultParagraphFont"/>
    <w:qFormat/>
  </w:style>
  <w:style w:type="paragraph" w:customStyle="1" w:styleId="10">
    <w:name w:val="样式1"/>
    <w:basedOn w:val="Normal"/>
    <w:pPr>
      <w:spacing w:line="400" w:lineRule="exact"/>
      <w:ind w:firstLine="600" w:firstLineChars="200"/>
    </w:pPr>
    <w:rPr>
      <w:rFonts w:ascii="Times New Roman" w:hAnsi="Times New Roman"/>
      <w:sz w:val="24"/>
    </w:rPr>
  </w:style>
  <w:style w:type="paragraph" w:customStyle="1" w:styleId="a0">
    <w:name w:val="正文_公式"/>
    <w:basedOn w:val="NormalIndent"/>
    <w:next w:val="a1"/>
    <w:pPr>
      <w:tabs>
        <w:tab w:val="center" w:pos="0"/>
      </w:tabs>
      <w:snapToGrid w:val="0"/>
      <w:spacing w:before="104" w:beforeLines="25" w:after="104" w:afterLines="25"/>
      <w:ind w:firstLine="0" w:firstLineChars="0"/>
      <w:jc w:val="center"/>
    </w:pPr>
  </w:style>
  <w:style w:type="paragraph" w:customStyle="1" w:styleId="a1">
    <w:name w:val="正文_公式说明"/>
    <w:basedOn w:val="NormalIndent"/>
    <w:next w:val="NormalIndent"/>
    <w:pPr>
      <w:ind w:firstLine="0" w:firstLineChars="0"/>
    </w:pPr>
    <w:rPr>
      <w:rFonts w:ascii="宋体" w:hAnsi="宋体"/>
    </w:rPr>
  </w:style>
  <w:style w:type="paragraph" w:customStyle="1" w:styleId="TableParagraph">
    <w:name w:val="Table Paragraph"/>
    <w:basedOn w:val="Normal"/>
    <w:uiPriority w:val="1"/>
    <w:qFormat/>
    <w:pPr>
      <w:widowControl/>
      <w:autoSpaceDE w:val="0"/>
      <w:autoSpaceDN w:val="0"/>
      <w:spacing w:line="360" w:lineRule="auto"/>
      <w:jc w:val="center"/>
    </w:pPr>
    <w:rPr>
      <w:rFonts w:eastAsia="Times New Roman"/>
      <w:kern w:val="0"/>
      <w:sz w:val="22"/>
      <w:szCs w:val="22"/>
      <w:lang w:val="zh-CN" w:bidi="zh-CN"/>
    </w:rPr>
  </w:style>
  <w:style w:type="paragraph" w:customStyle="1" w:styleId="11">
    <w:name w:val="列出段落1"/>
    <w:basedOn w:val="Normal"/>
    <w:qFormat/>
    <w:pPr>
      <w:widowControl w:val="0"/>
      <w:adjustRightInd/>
      <w:snapToGrid/>
      <w:spacing w:after="0"/>
      <w:ind w:firstLine="420" w:firstLineChars="200"/>
      <w:jc w:val="both"/>
    </w:pPr>
    <w:rPr>
      <w:rFonts w:ascii="Calibri" w:eastAsia="宋体" w:hAnsi="Calibri" w:cs="黑体"/>
      <w:kern w:val="2"/>
      <w:sz w:val="21"/>
    </w:rPr>
  </w:style>
  <w:style w:type="paragraph" w:customStyle="1" w:styleId="4">
    <w:name w:val="标题4"/>
    <w:basedOn w:val="Normal"/>
    <w:qFormat/>
    <w:pPr>
      <w:spacing w:before="50" w:beforeLines="50" w:after="50" w:afterLines="50"/>
      <w:jc w:val="left"/>
    </w:pPr>
    <w:rPr>
      <w:rFonts w:ascii="Times New Roman" w:eastAsia="黑体"/>
    </w:rPr>
  </w:style>
  <w:style w:type="paragraph" w:customStyle="1" w:styleId="a2">
    <w:name w:val="标题_图"/>
    <w:next w:val="NormalIndent"/>
    <w:qFormat/>
    <w:pPr>
      <w:spacing w:before="98" w:beforeLines="25" w:after="98" w:afterLines="25"/>
      <w:jc w:val="center"/>
      <w:outlineLvl w:val="3"/>
    </w:pPr>
    <w:rPr>
      <w:rFonts w:eastAsia="黑体"/>
      <w:sz w:val="21"/>
      <w:lang w:val="en-US" w:eastAsia="zh-CN" w:bidi="ar-SA"/>
    </w:rPr>
  </w:style>
  <w:style w:type="paragraph" w:customStyle="1" w:styleId="WPSOffice1">
    <w:name w:val="WPSOffice手动目录 1"/>
    <w:qFormat/>
    <w:rPr>
      <w:lang w:val="en-US" w:eastAsia="zh-CN" w:bidi="ar-SA"/>
    </w:rPr>
  </w:style>
  <w:style w:type="paragraph" w:customStyle="1" w:styleId="a3">
    <w:name w:val="正文_公式序号"/>
    <w:basedOn w:val="a0"/>
    <w:qFormat/>
    <w:pPr>
      <w:tabs>
        <w:tab w:val="center" w:pos="0"/>
      </w:tabs>
      <w:jc w:val="right"/>
    </w:pPr>
  </w:style>
  <w:style w:type="paragraph" w:customStyle="1" w:styleId="a4">
    <w:name w:val="正文_摘要"/>
    <w:pPr>
      <w:ind w:firstLine="484" w:firstLineChars="200"/>
      <w:jc w:val="both"/>
    </w:pPr>
    <w:rPr>
      <w:sz w:val="24"/>
      <w:lang w:val="en-US" w:eastAsia="zh-CN" w:bidi="ar-SA"/>
    </w:rPr>
  </w:style>
  <w:style w:type="paragraph" w:customStyle="1" w:styleId="1025">
    <w:name w:val="样式 标题 1 + 段后: 0.25 行"/>
    <w:basedOn w:val="Heading1"/>
    <w:qFormat/>
    <w:pPr>
      <w:spacing w:after="0" w:afterLines="0" w:line="300" w:lineRule="auto"/>
    </w:pPr>
    <w:rPr>
      <w:rFonts w:cs="宋体"/>
      <w:bCs w:val="0"/>
      <w:szCs w:val="20"/>
    </w:rPr>
  </w:style>
  <w:style w:type="table" w:customStyle="1" w:styleId="12">
    <w:name w:val="浅色底纹1"/>
    <w:basedOn w:val="TableNormal"/>
    <w:uiPriority w:val="60"/>
    <w:qFormat/>
    <w:rPr>
      <w:color w:val="FFFFFF"/>
    </w:rPr>
    <w:tblPr>
      <w:tblBorders>
        <w:top w:val="single" w:sz="8" w:space="0" w:color="000000"/>
        <w:left w:val="none" w:sz="0" w:space="0" w:color="auto"/>
        <w:bottom w:val="single" w:sz="8" w:space="0" w:color="000000"/>
        <w:right w:val="none" w:sz="0" w:space="0" w:color="auto"/>
        <w:insideH w:val="none" w:sz="0" w:space="0" w:color="auto"/>
        <w:insideV w:val="none" w:sz="0" w:space="0" w:color="auto"/>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BFBFBF"/>
      </w:tcPr>
    </w:tblStylePr>
    <w:tblStylePr w:type="band1Horz">
      <w:tblPr/>
      <w:tcPr>
        <w:tcBorders>
          <w:top w:val="nil"/>
          <w:left w:val="nil"/>
          <w:bottom w:val="nil"/>
          <w:right w:val="nil"/>
          <w:insideH w:val="nil"/>
          <w:insideV w:val="nil"/>
          <w:tl2br w:val="nil"/>
          <w:tr2bl w:val="nil"/>
        </w:tcBorders>
        <w:shd w:val="clear" w:color="auto" w:fill="BFBFBF"/>
      </w:tcPr>
    </w:tblStylePr>
  </w:style>
  <w:style w:type="table" w:customStyle="1" w:styleId="31">
    <w:name w:val="无格式表格 31"/>
    <w:basedOn w:val="TableNormal"/>
    <w:qFormat/>
    <w:rPr>
      <w:rFonts w:ascii="Calibri" w:hAnsi="Calibri"/>
    </w:rPr>
    <w:tblPr>
      <w:tblCellMar>
        <w:top w:w="0" w:type="dxa"/>
        <w:left w:w="108" w:type="dxa"/>
        <w:bottom w:w="0" w:type="dxa"/>
        <w:right w:w="108" w:type="dxa"/>
      </w:tblCellMar>
    </w:tblPr>
    <w:tblStylePr w:type="firstRow">
      <w:rPr>
        <w:b/>
        <w:bCs/>
        <w:caps/>
      </w:rPr>
      <w:tblPr/>
      <w:tcPr>
        <w:tcBorders>
          <w:top w:val="nil"/>
          <w:left w:val="single" w:sz="4" w:space="0" w:color="7F7F7F"/>
          <w:bottom w:val="nil"/>
          <w:right w:val="nil"/>
          <w:insideH w:val="nil"/>
          <w:insideV w:val="nil"/>
          <w:tl2br w:val="nil"/>
          <w:tr2bl w:val="nil"/>
        </w:tcBorders>
      </w:tcPr>
    </w:tblStylePr>
    <w:tblStylePr w:type="lastRow">
      <w:rPr>
        <w:b/>
        <w:bCs/>
        <w:caps/>
      </w:rPr>
      <w:tblPr/>
      <w:tcPr>
        <w:tcBorders>
          <w:top w:val="nil"/>
          <w:left w:val="nil"/>
          <w:bottom w:val="nil"/>
          <w:right w:val="nil"/>
          <w:insideH w:val="nil"/>
          <w:insideV w:val="nil"/>
          <w:tl2br w:val="nil"/>
          <w:tr2bl w:val="nil"/>
        </w:tcBorders>
      </w:tcPr>
    </w:tblStylePr>
    <w:tblStylePr w:type="firstCol">
      <w:rPr>
        <w:b/>
        <w:bCs/>
        <w:caps/>
      </w:rPr>
      <w:tblPr/>
      <w:tcPr>
        <w:tcBorders>
          <w:top w:val="nil"/>
          <w:left w:val="nil"/>
          <w:bottom w:val="nil"/>
          <w:right w:val="single" w:sz="4" w:space="0" w:color="7F7F7F"/>
          <w:insideH w:val="nil"/>
          <w:insideV w:val="nil"/>
          <w:tl2br w:val="nil"/>
          <w:tr2bl w:val="nil"/>
        </w:tcBorders>
      </w:tcPr>
    </w:tblStylePr>
    <w:tblStylePr w:type="lastCol">
      <w:rPr>
        <w:b/>
        <w:bCs/>
        <w:caps/>
      </w:rPr>
      <w:tblPr/>
      <w:tcPr>
        <w:tcBorders>
          <w:top w:val="nil"/>
          <w:left w:val="nil"/>
          <w:bottom w:val="nil"/>
          <w:right w:val="nil"/>
          <w:insideH w:val="nil"/>
          <w:insideV w:val="nil"/>
          <w:tl2br w:val="nil"/>
          <w:tr2bl w:val="nil"/>
        </w:tcBorders>
      </w:tcPr>
    </w:tblStylePr>
    <w:tblStylePr w:type="band1Vert">
      <w:tblPr/>
      <w:tcPr>
        <w:shd w:val="clear" w:color="auto" w:fill="F2F2F2"/>
      </w:tcPr>
    </w:tblStylePr>
    <w:tblStylePr w:type="band1Horz">
      <w:tblPr/>
      <w:tcPr>
        <w:shd w:val="clear" w:color="auto" w:fill="F2F2F2"/>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236235111122010052" TargetMode="Externa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2424</Words>
  <Characters>13819</Characters>
  <Application>Microsoft Office Word</Application>
  <DocSecurity>0</DocSecurity>
  <Lines>115</Lines>
  <Paragraphs>32</Paragraphs>
  <ScaleCrop>false</ScaleCrop>
  <Company>z</Company>
  <LinksUpToDate>false</LinksUpToDate>
  <CharactersWithSpaces>16211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本科毕业论文（设计）指导手册</dc:title>
  <dc:creator>z</dc:creator>
  <cp:lastModifiedBy>zhang</cp:lastModifiedBy>
  <cp:revision>2</cp:revision>
  <cp:lastPrinted>2021-05-21T17:00:00Z</cp:lastPrinted>
  <dcterms:created xsi:type="dcterms:W3CDTF">2015-04-08T06:56:00Z</dcterms:created>
  <dcterms:modified xsi:type="dcterms:W3CDTF">2023-12-23T14:45:04Z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573CEBCD66FB4F6681C6F5C5D20D838A_12</vt:lpwstr>
  </property>
  <property fmtid="{D5CDD505-2E9C-101B-9397-08002B2CF9AE}" pid="3" name="KSOProductBuildVer">
    <vt:lpwstr>2052-12.1.0.15990</vt:lpwstr>
  </property>
  <property fmtid="{D5CDD505-2E9C-101B-9397-08002B2CF9AE}" pid="4" name="KSORubyTemplateID">
    <vt:lpwstr>6</vt:lpwstr>
  </property>
</Properties>
</file>