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微生物杀虫剂项目建设总纲及方案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4982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_Toc14982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541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_Toc22541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24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_Toc9924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04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_Toc5104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37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_Toc4837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8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_Toc2888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16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_Toc10316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686" w:history="1">
        <w:r>
          <w:rPr>
            <w:rFonts w:ascii="仿宋" w:eastAsia="仿宋" w:hAnsi="仿宋" w:cs="仿宋" w:hint="eastAsia"/>
            <w:lang w:eastAsia="zh-CN"/>
          </w:rPr>
          <w:t>二、发展规划、产业政策和行业准入分析</w:t>
        </w:r>
        <w:r>
          <w:tab/>
        </w:r>
        <w:r>
          <w:fldChar w:fldCharType="begin"/>
        </w:r>
        <w:r>
          <w:instrText xml:space="preserve"> PAGEREF _Toc19686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4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_Toc404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87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_Toc31687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7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_Toc1387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989" w:history="1">
        <w:r>
          <w:rPr>
            <w:rFonts w:ascii="仿宋" w:eastAsia="仿宋" w:hAnsi="仿宋" w:cs="仿宋" w:hint="eastAsia"/>
            <w:lang w:eastAsia="zh-CN"/>
          </w:rPr>
          <w:t>三、经济影响分析</w:t>
        </w:r>
        <w:r>
          <w:tab/>
        </w:r>
        <w:r>
          <w:fldChar w:fldCharType="begin"/>
        </w:r>
        <w:r>
          <w:instrText xml:space="preserve"> PAGEREF _Toc31989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46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_Toc8546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48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_Toc31148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72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_Toc11272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34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_Toc32634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550" w:history="1">
        <w:r>
          <w:rPr>
            <w:rFonts w:ascii="仿宋" w:eastAsia="仿宋" w:hAnsi="仿宋" w:cs="仿宋" w:hint="eastAsia"/>
            <w:lang w:eastAsia="zh-CN"/>
          </w:rPr>
          <w:t>四、社会影响分析</w:t>
        </w:r>
        <w:r>
          <w:tab/>
        </w:r>
        <w:r>
          <w:fldChar w:fldCharType="begin"/>
        </w:r>
        <w:r>
          <w:instrText xml:space="preserve"> PAGEREF _Toc12550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34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_Toc5734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68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_Toc16168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84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_Toc9584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321" w:history="1">
        <w:r>
          <w:rPr>
            <w:rFonts w:ascii="仿宋" w:eastAsia="仿宋" w:hAnsi="仿宋" w:cs="仿宋" w:hint="eastAsia"/>
            <w:lang w:eastAsia="zh-CN"/>
          </w:rPr>
          <w:t>五、项目监理与质量保证</w:t>
        </w:r>
        <w:r>
          <w:tab/>
        </w:r>
        <w:r>
          <w:fldChar w:fldCharType="begin"/>
        </w:r>
        <w:r>
          <w:instrText xml:space="preserve"> PAGEREF _Toc20321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36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_Toc32736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49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_Toc21849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5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_Toc2625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716" w:history="1">
        <w:r>
          <w:rPr>
            <w:rFonts w:ascii="仿宋" w:eastAsia="仿宋" w:hAnsi="仿宋" w:cs="仿宋" w:hint="eastAsia"/>
            <w:lang w:eastAsia="zh-CN"/>
          </w:rPr>
          <w:t>六、微生物杀虫剂项目概论</w:t>
        </w:r>
        <w:r>
          <w:tab/>
        </w:r>
        <w:r>
          <w:fldChar w:fldCharType="begin"/>
        </w:r>
        <w:r>
          <w:instrText xml:space="preserve"> PAGEREF _Toc19716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60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_Toc7160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88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_Toc30288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971" w:history="1">
        <w:r>
          <w:rPr>
            <w:rFonts w:ascii="仿宋" w:eastAsia="仿宋" w:hAnsi="仿宋" w:cs="仿宋" w:hint="eastAsia"/>
            <w:lang w:eastAsia="zh-CN"/>
          </w:rPr>
          <w:t>七、项目质量与标准</w:t>
        </w:r>
        <w:r>
          <w:tab/>
        </w:r>
        <w:r>
          <w:fldChar w:fldCharType="begin"/>
        </w:r>
        <w:r>
          <w:instrText xml:space="preserve"> PAGEREF _Toc10971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66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_Toc14066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71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_Toc30771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21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_Toc7121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47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_Toc29447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423" w:history="1">
        <w:r>
          <w:rPr>
            <w:rFonts w:ascii="仿宋" w:eastAsia="仿宋" w:hAnsi="仿宋" w:cs="仿宋" w:hint="eastAsia"/>
            <w:lang w:eastAsia="zh-CN"/>
          </w:rPr>
          <w:t>八、土地利用与规划方案</w:t>
        </w:r>
        <w:r>
          <w:tab/>
        </w:r>
        <w:r>
          <w:fldChar w:fldCharType="begin"/>
        </w:r>
        <w:r>
          <w:instrText xml:space="preserve"> PAGEREF _Toc32423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07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_Toc25007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99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_Toc14799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558" w:history="1">
        <w:r>
          <w:rPr>
            <w:rFonts w:ascii="仿宋" w:eastAsia="仿宋" w:hAnsi="仿宋" w:cs="仿宋" w:hint="eastAsia"/>
            <w:lang w:eastAsia="zh-CN"/>
          </w:rPr>
          <w:t>九、客户关系管理与市场拓展</w:t>
        </w:r>
        <w:r>
          <w:tab/>
        </w:r>
        <w:r>
          <w:fldChar w:fldCharType="begin"/>
        </w:r>
        <w:r>
          <w:instrText xml:space="preserve"> PAGEREF _Toc13558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33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_Toc25433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81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_Toc14681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565" w:history="1">
        <w:r>
          <w:rPr>
            <w:rFonts w:ascii="仿宋" w:eastAsia="仿宋" w:hAnsi="仿宋" w:cs="仿宋" w:hint="eastAsia"/>
            <w:lang w:eastAsia="zh-CN"/>
          </w:rPr>
          <w:t>十、经济效益与社会效益优化</w:t>
        </w:r>
        <w:r>
          <w:tab/>
        </w:r>
        <w:r>
          <w:fldChar w:fldCharType="begin"/>
        </w:r>
        <w:r>
          <w:instrText xml:space="preserve"> PAGEREF _Toc4565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57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_Toc16157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_Toc125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2623" w:history="1">
        <w:r>
          <w:rPr>
            <w:rFonts w:ascii="仿宋" w:eastAsia="仿宋" w:hAnsi="仿宋" w:cs="仿宋" w:hint="eastAsia"/>
            <w:lang w:eastAsia="zh-CN"/>
          </w:rPr>
          <w:t>十一、项目实施与管理方案</w:t>
        </w:r>
        <w:r>
          <w:tab/>
        </w:r>
        <w:r>
          <w:fldChar w:fldCharType="begin"/>
        </w:r>
        <w:r>
          <w:instrText xml:space="preserve"> PAGEREF _Toc22623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24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_Toc21924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2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_Toc1092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13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_Toc9613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377" w:history="1">
        <w:r>
          <w:rPr>
            <w:rFonts w:ascii="仿宋" w:eastAsia="仿宋" w:hAnsi="仿宋" w:cs="仿宋" w:hint="eastAsia"/>
            <w:lang w:eastAsia="zh-CN"/>
          </w:rPr>
          <w:t>十二、安全与应急管理</w:t>
        </w:r>
        <w:r>
          <w:tab/>
        </w:r>
        <w:r>
          <w:fldChar w:fldCharType="begin"/>
        </w:r>
        <w:r>
          <w:instrText xml:space="preserve"> PAGEREF _Toc6377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38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_Toc23838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1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_Toc2521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305" w:history="1">
        <w:r>
          <w:rPr>
            <w:rFonts w:ascii="仿宋" w:eastAsia="仿宋" w:hAnsi="仿宋" w:cs="仿宋" w:hint="eastAsia"/>
            <w:lang w:eastAsia="zh-CN"/>
          </w:rPr>
          <w:t>十三、人力资源管理与开发</w:t>
        </w:r>
        <w:r>
          <w:tab/>
        </w:r>
        <w:r>
          <w:fldChar w:fldCharType="begin"/>
        </w:r>
        <w:r>
          <w:instrText xml:space="preserve"> PAGEREF _Toc23305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76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_Toc22276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38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_Toc29538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233" w:history="1">
        <w:r>
          <w:rPr>
            <w:rFonts w:ascii="仿宋" w:eastAsia="仿宋" w:hAnsi="仿宋" w:cs="仿宋" w:hint="eastAsia"/>
            <w:lang w:eastAsia="zh-CN"/>
          </w:rPr>
          <w:t>十四、法律法规与政策遵循</w:t>
        </w:r>
        <w:r>
          <w:tab/>
        </w:r>
        <w:r>
          <w:fldChar w:fldCharType="begin"/>
        </w:r>
        <w:r>
          <w:instrText xml:space="preserve"> PAGEREF _Toc4233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24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_Toc14524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22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_Toc32222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569" w:history="1">
        <w:r>
          <w:rPr>
            <w:rFonts w:ascii="仿宋" w:eastAsia="仿宋" w:hAnsi="仿宋" w:cs="仿宋" w:hint="eastAsia"/>
            <w:lang w:eastAsia="zh-CN"/>
          </w:rPr>
          <w:t>十五、设施与设备管理</w:t>
        </w:r>
        <w:r>
          <w:tab/>
        </w:r>
        <w:r>
          <w:fldChar w:fldCharType="begin"/>
        </w:r>
        <w:r>
          <w:instrText xml:space="preserve"> PAGEREF _Toc32569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26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_Toc11026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92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_Toc28992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09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_Toc30009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37" w:history="1">
        <w:r>
          <w:rPr>
            <w:rFonts w:ascii="仿宋" w:eastAsia="仿宋" w:hAnsi="仿宋" w:cs="仿宋" w:hint="eastAsia"/>
            <w:lang w:eastAsia="zh-CN"/>
          </w:rPr>
          <w:t>十六、项目施工方案</w:t>
        </w:r>
        <w:r>
          <w:tab/>
        </w:r>
        <w:r>
          <w:fldChar w:fldCharType="begin"/>
        </w:r>
        <w:r>
          <w:instrText xml:space="preserve"> PAGEREF _Toc2737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62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_Toc14162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20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_Toc14020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4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_Toc794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67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_Toc28167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068" w:history="1">
        <w:r>
          <w:rPr>
            <w:rFonts w:ascii="仿宋" w:eastAsia="仿宋" w:hAnsi="仿宋" w:cs="仿宋" w:hint="eastAsia"/>
            <w:lang w:eastAsia="zh-CN"/>
          </w:rPr>
          <w:t>十七、合作与交流机制建立</w:t>
        </w:r>
        <w:r>
          <w:tab/>
        </w:r>
        <w:r>
          <w:fldChar w:fldCharType="begin"/>
        </w:r>
        <w:r>
          <w:instrText xml:space="preserve"> PAGEREF _Toc28068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21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_Toc23821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45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_Toc30145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650" w:history="1">
        <w:r>
          <w:rPr>
            <w:rFonts w:ascii="仿宋" w:eastAsia="仿宋" w:hAnsi="仿宋" w:cs="仿宋" w:hint="eastAsia"/>
            <w:lang w:eastAsia="zh-CN"/>
          </w:rPr>
          <w:t>十八、质量管理与控制</w:t>
        </w:r>
        <w:r>
          <w:tab/>
        </w:r>
        <w:r>
          <w:fldChar w:fldCharType="begin"/>
        </w:r>
        <w:r>
          <w:instrText xml:space="preserve"> PAGEREF _Toc8650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41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_Toc31341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39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_Toc23739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718" w:history="1">
        <w:r>
          <w:rPr>
            <w:rFonts w:ascii="仿宋" w:eastAsia="仿宋" w:hAnsi="仿宋" w:cs="仿宋" w:hint="eastAsia"/>
            <w:lang w:eastAsia="zh-CN"/>
          </w:rPr>
          <w:t>十九、企业合规与伦理</w:t>
        </w:r>
        <w:r>
          <w:tab/>
        </w:r>
        <w:r>
          <w:fldChar w:fldCharType="begin"/>
        </w:r>
        <w:r>
          <w:instrText xml:space="preserve"> PAGEREF _Toc10718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06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_Toc31806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02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_Toc22002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18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_Toc7118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42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_Toc16642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063" w:history="1">
        <w:r>
          <w:rPr>
            <w:rFonts w:ascii="仿宋" w:eastAsia="仿宋" w:hAnsi="仿宋" w:cs="仿宋" w:hint="eastAsia"/>
            <w:lang w:eastAsia="zh-CN"/>
          </w:rPr>
          <w:t>二十、成果转化与推广应用</w:t>
        </w:r>
        <w:r>
          <w:tab/>
        </w:r>
        <w:r>
          <w:fldChar w:fldCharType="begin"/>
        </w:r>
        <w:r>
          <w:instrText xml:space="preserve"> PAGEREF _Toc24063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77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_Toc20077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40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_Toc8040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4982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建设方案旨在规划与实施一个完整的项目，以解决特定问题或达成特定目标。本方案概述了项目的目标、范围、计划和实施策略，并提供了必要的资源和时间安排。请注意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2541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9924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微生物杀虫剂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微生物杀虫剂项目将进行详细的生态影响评估，确保不会对当地的动植物种群和自然栖息地造成负面影响。如果项目地点附近有重要的生物栖息地或生态敏感区，项目将重新考虑建设地点或采取相应的保护措施。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微生物杀虫剂项目将积极采用可持续材料，如再生塑料和生物降解材料，以减少对环境的影响。项目还将推行废物减量和回收计划，例如通过再利用工业废料或建立回收系统。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微生物杀虫剂项目还将参与当地的环保活动和计划，如资助当地的环境保护项目或与社区合作进行环保宣传活动。通过这些活动，项目不仅能够提高自身的环境表现，还能在当地社区中树立积极的环保形象。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5104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微生物杀虫剂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微生物杀虫剂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微生物杀虫剂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4837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微生物杀虫剂项目将采用绿色屋顶和生态墙等环境友好型建筑设计，这些设计不仅有助于改善空气质量，还能为城市野生动植物提供栖息地。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微生物杀虫剂项目将建立高效的废水处理系统，确保所有工业废水在排放前都经过适当处理，达到或超过环保标准。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微生物杀虫剂项目将致力于使用清洁能源，如太阳能和风能，减少对化石燃料的依赖。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微生物杀虫剂项目将举办环保教育研讨会，向员工和当地社区普及环保知识，提升对环境保护重要性的认识。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888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在微生物杀虫剂项目启动前，将进行一系列深入的地质调查，包括钻探和土壤取样，以深入了解项目区域的地层结构和土壤组成。特别是对于土壤的承载能力和地下水位的深度进行详细评估。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微生物杀虫剂项目将通过地下水位监测系统定期检测水位变化，以预测和预防由高地下水位可能引起的地基问题。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微生物杀虫剂项目将进行详尽的水文和地形分析，以识别可能的洪水和泥石流风险区。基于这些分析，项目将设计防洪设施，如提高地基、构建防洪墙和排水沟。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微生物杀虫剂项目还将考虑建设排水系统，以减少地表水对土壤稳定性的影响。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完成初始的地质风险评估后，微生物杀虫剂项目将安装长期地质监测设备，如倾斜仪、裂缝计和地下水位计，以持续监测地质条件的变化。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0316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微生物杀虫剂项目将通过这些措施来适应和尊重特殊环境条件，确保项目的可持续发展，同时减少对环境的负面影响。这不仅有助于保护自然和文化遗产，还能提升项目在社会责任方面的表现和形象。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9686"/>
      <w:r>
        <w:rPr>
          <w:rFonts w:ascii="仿宋" w:eastAsia="仿宋" w:hAnsi="仿宋" w:cs="仿宋" w:hint="eastAsia"/>
          <w:sz w:val="28"/>
          <w:lang w:eastAsia="zh-CN"/>
        </w:rPr>
        <w:t>二、发展规划、产业政策和行业准入分析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404"/>
      <w:r>
        <w:rPr>
          <w:rFonts w:ascii="仿宋" w:eastAsia="仿宋" w:hAnsi="仿宋" w:cs="仿宋" w:hint="eastAsia"/>
          <w:lang w:eastAsia="zh-CN"/>
        </w:rPr>
        <w:t>(一)、发展规划分析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技术创新和研发投资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XXX项目将重点投资于研发活动，以确保在核心技术领域的持续创新和领先地位。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计划与国内外知名科研机构建立合作关系，引进先进技术，同时培养和吸引高技能人才。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研发投资的重点包括开发新产品、优化现有产品，以及提高生产效率和降低成本。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 市场扩展和品牌建设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项目将执行精确的市场分析，以识别和开发新的增长机会。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计划开发符合市场需求的新产品和服务，同时加强市场推广活动，以提升品牌知名度和市场份额。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加强客户关系管理，以提高客户满意度和忠诚度。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合作伙伴网络和供应链管理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建立并维护与关键供应链伙伴的稳定合作关系，确保供应链的高效运作和风险管理。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探索与行业领先企业的战略合作机会，以获取互惠互利的合作效果。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加强与地方政府和行业协会的合作，以利用政策优势，拓宽业务发展空间。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可持续发展和社会责任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承诺在业务发展过程中遵守环保标准，减少对环境的影响。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实施社会责任项目，如社区参与和教育支持项目，以提高企业在社会中的积极形象。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通过采用节能和可再生能源技术，推动企业的可持续发展。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风险管理和质量控制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实施全面的风险评估和管理策略，以应对市场、技术和运营风险。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强化质量控制体系，确保产品和服务的一致性和可靠性。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定期监测和评估业务流程，以持续提高效率和效能。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https://d.book118.com/237000131011006042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微生物杀虫剂项目建设总纲及方案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微生物杀虫剂项目建设总纲及方案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微生物杀虫剂项目建设总纲及方案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微生物杀虫剂项目建设总纲及方案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微生物杀虫剂项目建设总纲及方案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微生物杀虫剂项目建设总纲及方案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微生物杀虫剂项目建设总纲及方案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微生物杀虫剂项目建设总纲及方案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微生物杀虫剂项目建设总纲及方案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微生物杀虫剂项目建设总纲及方案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微生物杀虫剂项目建设总纲及方案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微生物杀虫剂项目建设总纲及方案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08E0BE8"/>
    <w:rsid w:val="208E0BE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237000131011006042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2024-02-03T00:19:00Z</dcterms:created>
  <dcterms:modified xsi:type="dcterms:W3CDTF">2024-02-03T00:20:05Z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4F4E3022DFFE404591A2092492372AEB_11</vt:lpwstr>
  </property>
  <property fmtid="{D5CDD505-2E9C-101B-9397-08002B2CF9AE}" pid="3" name="KSOProductBuildVer">
    <vt:lpwstr>2052-12.1.0.16250</vt:lpwstr>
  </property>
</Properties>
</file>