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Indent"/>
      </w:pPr>
      <w:bookmarkStart w:id="0" w:name="_Ref250014498"/>
    </w:p>
    <w:p>
      <w:pPr>
        <w:pStyle w:val="NormalIndent"/>
      </w:pPr>
    </w:p>
    <w:p>
      <w:pPr>
        <w:pStyle w:val="Title"/>
        <w:rPr>
          <w:rFonts w:ascii="Times New Roman" w:eastAsia="华文新魏" w:hAnsi="Times New Roman"/>
          <w:sz w:val="48"/>
        </w:rPr>
      </w:pPr>
      <w:r>
        <w:rPr>
          <w:rFonts w:ascii="Times New Roman" w:eastAsia="华文新魏" w:hAnsi="Times New Roman"/>
          <w:sz w:val="48"/>
        </w:rPr>
        <w:t>绍兴虞泽染织有限公司</w:t>
      </w:r>
    </w:p>
    <w:p>
      <w:pPr>
        <w:pStyle w:val="Title"/>
        <w:rPr>
          <w:rFonts w:ascii="Times New Roman" w:eastAsia="华文新魏" w:hAnsi="Times New Roman"/>
          <w:sz w:val="48"/>
        </w:rPr>
      </w:pPr>
      <w:r>
        <w:rPr>
          <w:rFonts w:ascii="Times New Roman" w:eastAsia="华文新魏" w:hAnsi="Times New Roman"/>
          <w:sz w:val="48"/>
        </w:rPr>
        <w:t>整体搬迁及配套设施升级的技术改造项目</w:t>
      </w:r>
    </w:p>
    <w:p>
      <w:pPr>
        <w:pStyle w:val="NormalIndent"/>
      </w:pPr>
    </w:p>
    <w:p>
      <w:pPr>
        <w:spacing w:before="216" w:beforeLines="50"/>
        <w:ind w:left="-254" w:leftChars="-106"/>
        <w:jc w:val="center"/>
        <w:rPr>
          <w:b/>
          <w:spacing w:val="20"/>
          <w:sz w:val="52"/>
          <w:szCs w:val="52"/>
        </w:rPr>
      </w:pPr>
      <w:r>
        <w:rPr>
          <w:b/>
          <w:spacing w:val="20"/>
          <w:sz w:val="52"/>
          <w:szCs w:val="52"/>
        </w:rPr>
        <w:t>环境影响报告书</w:t>
      </w:r>
    </w:p>
    <w:p>
      <w:pPr>
        <w:pStyle w:val="NormalIndent"/>
        <w:ind w:firstLine="0" w:firstLineChars="0"/>
        <w:jc w:val="center"/>
        <w:rPr>
          <w:b/>
          <w:w w:val="97"/>
          <w:sz w:val="28"/>
        </w:rPr>
      </w:pPr>
      <w:r>
        <w:rPr>
          <w:rFonts w:hint="eastAsia"/>
          <w:b/>
          <w:w w:val="97"/>
          <w:sz w:val="28"/>
        </w:rPr>
        <w:t>（简本）</w:t>
      </w: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spacing w:line="0" w:lineRule="atLeast"/>
      </w:pPr>
    </w:p>
    <w:p>
      <w:pPr>
        <w:pStyle w:val="NormalIndent"/>
      </w:pPr>
    </w:p>
    <w:p>
      <w:pPr>
        <w:jc w:val="center"/>
        <w:rPr>
          <w:b/>
        </w:rPr>
      </w:pPr>
      <w:r>
        <w:rPr>
          <w:b/>
          <w:sz w:val="32"/>
        </w:rPr>
        <w:t>二</w:t>
      </w:r>
      <w:r>
        <w:rPr>
          <w:rFonts w:hint="eastAsia"/>
          <w:b/>
          <w:sz w:val="32"/>
        </w:rPr>
        <w:t>〇</w:t>
      </w:r>
      <w:r>
        <w:rPr>
          <w:b/>
          <w:sz w:val="32"/>
        </w:rPr>
        <w:t>一三年</w:t>
      </w:r>
      <w:r>
        <w:rPr>
          <w:rFonts w:hint="eastAsia"/>
          <w:b/>
          <w:sz w:val="32"/>
        </w:rPr>
        <w:t>八</w:t>
      </w:r>
      <w:r>
        <w:rPr>
          <w:b/>
          <w:sz w:val="32"/>
        </w:rPr>
        <w:t>月</w:t>
      </w:r>
    </w:p>
    <w:p>
      <w:pPr>
        <w:pStyle w:val="NormalIndent"/>
        <w:jc w:val="center"/>
        <w:sectPr>
          <w:headerReference w:type="default" r:id="rId4"/>
          <w:footerReference w:type="default" r:id="rId5"/>
          <w:pgSz w:w="11907" w:h="16840"/>
          <w:pgMar w:top="1418" w:right="1701" w:bottom="1559" w:left="1701" w:header="902" w:footer="907" w:gutter="0"/>
          <w:pgNumType w:fmt="upperRoman" w:start="1"/>
          <w:cols w:space="708"/>
          <w:docGrid w:type="linesAndChars" w:linePitch="433" w:charSpace="-3315"/>
        </w:sectPr>
      </w:pPr>
    </w:p>
    <w:p>
      <w:pPr>
        <w:pStyle w:val="NormalIndent"/>
        <w:ind w:firstLine="610"/>
        <w:jc w:val="center"/>
        <w:rPr>
          <w:b/>
          <w:sz w:val="32"/>
        </w:rPr>
      </w:pPr>
      <w:r>
        <w:rPr>
          <w:b/>
          <w:sz w:val="32"/>
        </w:rPr>
        <w:t>目    录</w:t>
      </w:r>
    </w:p>
    <w:p>
      <w:pPr>
        <w:pStyle w:val="NormalIndent"/>
      </w:pPr>
    </w:p>
    <w:p>
      <w:pPr>
        <w:pStyle w:val="TOC1"/>
        <w:tabs>
          <w:tab w:val="right" w:leader="dot" w:pos="8495"/>
        </w:tabs>
        <w:rPr>
          <w:rFonts w:ascii="Calibri" w:hAnsi="Calibri" w:cs="Times New Roman"/>
          <w:b w:val="0"/>
          <w:kern w:val="2"/>
          <w:sz w:val="21"/>
        </w:rPr>
      </w:pPr>
      <w:r>
        <w:rPr>
          <w:rFonts w:cs="Times New Roman"/>
          <w:sz w:val="21"/>
        </w:rPr>
        <w:fldChar w:fldCharType="begin"/>
      </w:r>
      <w:r>
        <w:rPr>
          <w:rFonts w:cs="Times New Roman"/>
          <w:sz w:val="21"/>
        </w:rPr>
        <w:instrText xml:space="preserve"> TOC \o "2-2" \h \z \t "标题 1,1" </w:instrText>
      </w:r>
      <w:r>
        <w:rPr>
          <w:rFonts w:cs="Times New Roman"/>
          <w:sz w:val="21"/>
        </w:rPr>
        <w:fldChar w:fldCharType="separate"/>
      </w:r>
      <w:hyperlink w:anchor="_Toc364413249" w:history="1">
        <w:r>
          <w:rPr>
            <w:rStyle w:val="Hyperlink"/>
            <w:rFonts w:cs="Times New Roman" w:hint="eastAsia"/>
            <w:snapToGrid w:val="0"/>
            <w:w w:val="0"/>
          </w:rPr>
          <w:t>第1章</w:t>
        </w:r>
        <w:r>
          <w:rPr>
            <w:rStyle w:val="Hyperlink"/>
            <w:rFonts w:cs="Times New Roman" w:hint="eastAsia"/>
          </w:rPr>
          <w:t xml:space="preserve"> 总论</w:t>
        </w:r>
        <w:r>
          <w:tab/>
        </w:r>
        <w:r>
          <w:fldChar w:fldCharType="begin"/>
        </w:r>
        <w:r>
          <w:instrText xml:space="preserve"> PAGEREF _Toc364413249 \h </w:instrText>
        </w:r>
        <w:r>
          <w:fldChar w:fldCharType="separate"/>
        </w:r>
        <w:r>
          <w:t>1</w:t>
        </w:r>
        <w:r>
          <w:fldChar w:fldCharType="end"/>
        </w:r>
      </w:hyperlink>
    </w:p>
    <w:p>
      <w:pPr>
        <w:pStyle w:val="TOC2"/>
        <w:tabs>
          <w:tab w:val="left" w:pos="993"/>
          <w:tab w:val="left" w:pos="1276"/>
          <w:tab w:val="right" w:leader="dot" w:pos="8495"/>
        </w:tabs>
        <w:rPr>
          <w:rFonts w:ascii="Calibri" w:hAnsi="Calibri"/>
          <w:kern w:val="2"/>
        </w:rPr>
      </w:pPr>
      <w:hyperlink w:anchor="_Toc364413250" w:history="1">
        <w:r>
          <w:rPr>
            <w:rStyle w:val="Hyperlink"/>
          </w:rPr>
          <w:t>1.1</w:t>
        </w:r>
        <w:r>
          <w:rPr>
            <w:rStyle w:val="Hyperlink"/>
            <w:rFonts w:hint="eastAsia"/>
          </w:rPr>
          <w:t xml:space="preserve"> 项目由来</w:t>
        </w:r>
        <w:r>
          <w:tab/>
        </w:r>
        <w:r>
          <w:fldChar w:fldCharType="begin"/>
        </w:r>
        <w:r>
          <w:instrText xml:space="preserve"> PAGEREF _Toc364413250 \h </w:instrText>
        </w:r>
        <w:r>
          <w:fldChar w:fldCharType="separate"/>
        </w:r>
        <w:r>
          <w:t>1</w:t>
        </w:r>
        <w:r>
          <w:fldChar w:fldCharType="end"/>
        </w:r>
      </w:hyperlink>
    </w:p>
    <w:p>
      <w:pPr>
        <w:pStyle w:val="TOC2"/>
        <w:tabs>
          <w:tab w:val="left" w:pos="993"/>
          <w:tab w:val="left" w:pos="1276"/>
          <w:tab w:val="right" w:leader="dot" w:pos="8495"/>
        </w:tabs>
        <w:rPr>
          <w:rFonts w:ascii="Calibri" w:hAnsi="Calibri"/>
          <w:kern w:val="2"/>
        </w:rPr>
      </w:pPr>
      <w:hyperlink w:anchor="_Toc364413251" w:history="1">
        <w:r>
          <w:rPr>
            <w:rStyle w:val="Hyperlink"/>
          </w:rPr>
          <w:t>1.2</w:t>
        </w:r>
        <w:r>
          <w:rPr>
            <w:rStyle w:val="Hyperlink"/>
            <w:rFonts w:hint="eastAsia"/>
          </w:rPr>
          <w:t xml:space="preserve"> 编制依据</w:t>
        </w:r>
        <w:r>
          <w:tab/>
        </w:r>
        <w:r>
          <w:fldChar w:fldCharType="begin"/>
        </w:r>
        <w:r>
          <w:instrText xml:space="preserve"> PAGEREF _Toc364413251 \h </w:instrText>
        </w:r>
        <w:r>
          <w:fldChar w:fldCharType="separate"/>
        </w:r>
        <w:r>
          <w:t>2</w:t>
        </w:r>
        <w:r>
          <w:fldChar w:fldCharType="end"/>
        </w:r>
      </w:hyperlink>
    </w:p>
    <w:p>
      <w:pPr>
        <w:pStyle w:val="TOC2"/>
        <w:tabs>
          <w:tab w:val="left" w:pos="993"/>
          <w:tab w:val="left" w:pos="1276"/>
          <w:tab w:val="right" w:leader="dot" w:pos="8495"/>
        </w:tabs>
        <w:rPr>
          <w:rFonts w:ascii="Calibri" w:hAnsi="Calibri"/>
          <w:kern w:val="2"/>
        </w:rPr>
      </w:pPr>
      <w:hyperlink w:anchor="_Toc364413252" w:history="1">
        <w:r>
          <w:rPr>
            <w:rStyle w:val="Hyperlink"/>
          </w:rPr>
          <w:t>1.3</w:t>
        </w:r>
        <w:r>
          <w:rPr>
            <w:rStyle w:val="Hyperlink"/>
            <w:rFonts w:hint="eastAsia"/>
          </w:rPr>
          <w:t xml:space="preserve"> 环境保护目标</w:t>
        </w:r>
        <w:r>
          <w:tab/>
        </w:r>
        <w:r>
          <w:fldChar w:fldCharType="begin"/>
        </w:r>
        <w:r>
          <w:instrText xml:space="preserve"> PAGEREF _Toc364413252 \h </w:instrText>
        </w:r>
        <w:r>
          <w:fldChar w:fldCharType="separate"/>
        </w:r>
        <w:r>
          <w:t>6</w:t>
        </w:r>
        <w:r>
          <w:fldChar w:fldCharType="end"/>
        </w:r>
      </w:hyperlink>
    </w:p>
    <w:p>
      <w:pPr>
        <w:pStyle w:val="TOC1"/>
        <w:tabs>
          <w:tab w:val="right" w:leader="dot" w:pos="8495"/>
        </w:tabs>
        <w:rPr>
          <w:rFonts w:ascii="Calibri" w:hAnsi="Calibri" w:cs="Times New Roman"/>
          <w:b w:val="0"/>
          <w:kern w:val="2"/>
          <w:sz w:val="21"/>
        </w:rPr>
      </w:pPr>
      <w:hyperlink w:anchor="_Toc364413253" w:history="1">
        <w:r>
          <w:rPr>
            <w:rStyle w:val="Hyperlink"/>
            <w:rFonts w:cs="Times New Roman" w:hint="eastAsia"/>
            <w:snapToGrid w:val="0"/>
            <w:w w:val="0"/>
          </w:rPr>
          <w:t>第2章</w:t>
        </w:r>
        <w:r>
          <w:rPr>
            <w:rStyle w:val="Hyperlink"/>
            <w:rFonts w:cs="Times New Roman" w:hint="eastAsia"/>
          </w:rPr>
          <w:t xml:space="preserve"> 项目概况及污染源分析</w:t>
        </w:r>
        <w:r>
          <w:tab/>
        </w:r>
        <w:r>
          <w:fldChar w:fldCharType="begin"/>
        </w:r>
        <w:r>
          <w:instrText xml:space="preserve"> PAGEREF _Toc364413253 \h </w:instrText>
        </w:r>
        <w:r>
          <w:fldChar w:fldCharType="separate"/>
        </w:r>
        <w:r>
          <w:t>7</w:t>
        </w:r>
        <w:r>
          <w:fldChar w:fldCharType="end"/>
        </w:r>
      </w:hyperlink>
    </w:p>
    <w:p>
      <w:pPr>
        <w:pStyle w:val="TOC2"/>
        <w:tabs>
          <w:tab w:val="left" w:pos="993"/>
          <w:tab w:val="left" w:pos="1276"/>
          <w:tab w:val="right" w:leader="dot" w:pos="8495"/>
        </w:tabs>
        <w:rPr>
          <w:rFonts w:ascii="Calibri" w:hAnsi="Calibri"/>
          <w:kern w:val="2"/>
        </w:rPr>
      </w:pPr>
      <w:hyperlink w:anchor="_Toc364413254" w:history="1">
        <w:r>
          <w:rPr>
            <w:rStyle w:val="Hyperlink"/>
          </w:rPr>
          <w:t>2.1</w:t>
        </w:r>
        <w:r>
          <w:rPr>
            <w:rStyle w:val="Hyperlink"/>
            <w:rFonts w:hint="eastAsia"/>
          </w:rPr>
          <w:t xml:space="preserve"> 项目工程概况</w:t>
        </w:r>
        <w:r>
          <w:tab/>
        </w:r>
        <w:r>
          <w:fldChar w:fldCharType="begin"/>
        </w:r>
        <w:r>
          <w:instrText xml:space="preserve"> PAGEREF _Toc364413254 \h </w:instrText>
        </w:r>
        <w:r>
          <w:fldChar w:fldCharType="separate"/>
        </w:r>
        <w:r>
          <w:t>7</w:t>
        </w:r>
        <w:r>
          <w:fldChar w:fldCharType="end"/>
        </w:r>
      </w:hyperlink>
    </w:p>
    <w:p>
      <w:pPr>
        <w:pStyle w:val="TOC2"/>
        <w:tabs>
          <w:tab w:val="left" w:pos="993"/>
          <w:tab w:val="left" w:pos="1276"/>
          <w:tab w:val="right" w:leader="dot" w:pos="8495"/>
        </w:tabs>
        <w:rPr>
          <w:rFonts w:ascii="Calibri" w:hAnsi="Calibri"/>
          <w:kern w:val="2"/>
        </w:rPr>
      </w:pPr>
      <w:hyperlink w:anchor="_Toc364413255" w:history="1">
        <w:r>
          <w:rPr>
            <w:rStyle w:val="Hyperlink"/>
          </w:rPr>
          <w:t>2.2</w:t>
        </w:r>
        <w:r>
          <w:rPr>
            <w:rStyle w:val="Hyperlink"/>
            <w:rFonts w:hint="eastAsia"/>
          </w:rPr>
          <w:t xml:space="preserve"> 生产工艺流程</w:t>
        </w:r>
        <w:r>
          <w:tab/>
        </w:r>
        <w:r>
          <w:fldChar w:fldCharType="begin"/>
        </w:r>
        <w:r>
          <w:instrText xml:space="preserve"> PAGEREF _Toc364413255 \h </w:instrText>
        </w:r>
        <w:r>
          <w:fldChar w:fldCharType="separate"/>
        </w:r>
        <w:r>
          <w:t>8</w:t>
        </w:r>
        <w:r>
          <w:fldChar w:fldCharType="end"/>
        </w:r>
      </w:hyperlink>
    </w:p>
    <w:p>
      <w:pPr>
        <w:pStyle w:val="TOC2"/>
        <w:tabs>
          <w:tab w:val="left" w:pos="993"/>
          <w:tab w:val="left" w:pos="1276"/>
          <w:tab w:val="right" w:leader="dot" w:pos="8495"/>
        </w:tabs>
        <w:rPr>
          <w:rFonts w:ascii="Calibri" w:hAnsi="Calibri"/>
          <w:kern w:val="2"/>
        </w:rPr>
      </w:pPr>
      <w:hyperlink w:anchor="_Toc364413256" w:history="1">
        <w:r>
          <w:rPr>
            <w:rStyle w:val="Hyperlink"/>
          </w:rPr>
          <w:t>2.3</w:t>
        </w:r>
        <w:r>
          <w:rPr>
            <w:rStyle w:val="Hyperlink"/>
            <w:rFonts w:hint="eastAsia"/>
          </w:rPr>
          <w:t xml:space="preserve"> 项目污染源汇总</w:t>
        </w:r>
        <w:r>
          <w:tab/>
        </w:r>
        <w:r>
          <w:fldChar w:fldCharType="begin"/>
        </w:r>
        <w:r>
          <w:instrText xml:space="preserve"> PAGEREF _Toc364413256 \h </w:instrText>
        </w:r>
        <w:r>
          <w:fldChar w:fldCharType="separate"/>
        </w:r>
        <w:r>
          <w:t>10</w:t>
        </w:r>
        <w:r>
          <w:fldChar w:fldCharType="end"/>
        </w:r>
      </w:hyperlink>
    </w:p>
    <w:p>
      <w:pPr>
        <w:pStyle w:val="TOC1"/>
        <w:tabs>
          <w:tab w:val="right" w:leader="dot" w:pos="8495"/>
        </w:tabs>
        <w:rPr>
          <w:rFonts w:ascii="Calibri" w:hAnsi="Calibri" w:cs="Times New Roman"/>
          <w:b w:val="0"/>
          <w:kern w:val="2"/>
          <w:sz w:val="21"/>
        </w:rPr>
      </w:pPr>
      <w:hyperlink w:anchor="_Toc364413257" w:history="1">
        <w:r>
          <w:rPr>
            <w:rStyle w:val="Hyperlink"/>
            <w:rFonts w:cs="Times New Roman" w:hint="eastAsia"/>
            <w:snapToGrid w:val="0"/>
            <w:w w:val="0"/>
          </w:rPr>
          <w:t>第3章</w:t>
        </w:r>
        <w:r>
          <w:rPr>
            <w:rStyle w:val="Hyperlink"/>
            <w:rFonts w:cs="Times New Roman" w:hint="eastAsia"/>
          </w:rPr>
          <w:t xml:space="preserve"> 环境质量现状</w:t>
        </w:r>
        <w:r>
          <w:tab/>
        </w:r>
        <w:r>
          <w:fldChar w:fldCharType="begin"/>
        </w:r>
        <w:r>
          <w:instrText xml:space="preserve"> PAGEREF _Toc364413257 \h </w:instrText>
        </w:r>
        <w:r>
          <w:fldChar w:fldCharType="separate"/>
        </w:r>
        <w:r>
          <w:t>12</w:t>
        </w:r>
        <w:r>
          <w:fldChar w:fldCharType="end"/>
        </w:r>
      </w:hyperlink>
    </w:p>
    <w:p>
      <w:pPr>
        <w:pStyle w:val="TOC2"/>
        <w:tabs>
          <w:tab w:val="left" w:pos="993"/>
          <w:tab w:val="left" w:pos="1276"/>
          <w:tab w:val="right" w:leader="dot" w:pos="8495"/>
        </w:tabs>
        <w:rPr>
          <w:rFonts w:ascii="Calibri" w:hAnsi="Calibri"/>
          <w:kern w:val="2"/>
        </w:rPr>
      </w:pPr>
      <w:hyperlink w:anchor="_Toc364413258" w:history="1">
        <w:r>
          <w:rPr>
            <w:rStyle w:val="Hyperlink"/>
          </w:rPr>
          <w:t>3.1</w:t>
        </w:r>
        <w:r>
          <w:rPr>
            <w:rStyle w:val="Hyperlink"/>
            <w:rFonts w:hint="eastAsia"/>
          </w:rPr>
          <w:t xml:space="preserve"> 水环境质量现状评价</w:t>
        </w:r>
        <w:r>
          <w:tab/>
        </w:r>
        <w:r>
          <w:fldChar w:fldCharType="begin"/>
        </w:r>
        <w:r>
          <w:instrText xml:space="preserve"> PAGEREF _Toc364413258 \h </w:instrText>
        </w:r>
        <w:r>
          <w:fldChar w:fldCharType="separate"/>
        </w:r>
        <w:r>
          <w:t>12</w:t>
        </w:r>
        <w:r>
          <w:fldChar w:fldCharType="end"/>
        </w:r>
      </w:hyperlink>
    </w:p>
    <w:p>
      <w:pPr>
        <w:pStyle w:val="TOC2"/>
        <w:tabs>
          <w:tab w:val="left" w:pos="993"/>
          <w:tab w:val="left" w:pos="1276"/>
          <w:tab w:val="right" w:leader="dot" w:pos="8495"/>
        </w:tabs>
        <w:rPr>
          <w:rFonts w:ascii="Calibri" w:hAnsi="Calibri"/>
          <w:kern w:val="2"/>
        </w:rPr>
      </w:pPr>
      <w:hyperlink w:anchor="_Toc364413259" w:history="1">
        <w:r>
          <w:rPr>
            <w:rStyle w:val="Hyperlink"/>
          </w:rPr>
          <w:t>3.2</w:t>
        </w:r>
        <w:r>
          <w:rPr>
            <w:rStyle w:val="Hyperlink"/>
            <w:rFonts w:hint="eastAsia"/>
          </w:rPr>
          <w:t xml:space="preserve"> 环境空气质量现状评价</w:t>
        </w:r>
        <w:r>
          <w:tab/>
        </w:r>
        <w:r>
          <w:fldChar w:fldCharType="begin"/>
        </w:r>
        <w:r>
          <w:instrText xml:space="preserve"> PAGEREF _Toc364413259 \h </w:instrText>
        </w:r>
        <w:r>
          <w:fldChar w:fldCharType="separate"/>
        </w:r>
        <w:r>
          <w:t>12</w:t>
        </w:r>
        <w:r>
          <w:fldChar w:fldCharType="end"/>
        </w:r>
      </w:hyperlink>
    </w:p>
    <w:p>
      <w:pPr>
        <w:pStyle w:val="TOC2"/>
        <w:tabs>
          <w:tab w:val="left" w:pos="993"/>
          <w:tab w:val="left" w:pos="1276"/>
          <w:tab w:val="right" w:leader="dot" w:pos="8495"/>
        </w:tabs>
        <w:rPr>
          <w:rFonts w:ascii="Calibri" w:hAnsi="Calibri"/>
          <w:kern w:val="2"/>
        </w:rPr>
      </w:pPr>
      <w:hyperlink w:anchor="_Toc364413260" w:history="1">
        <w:r>
          <w:rPr>
            <w:rStyle w:val="Hyperlink"/>
          </w:rPr>
          <w:t>3.3</w:t>
        </w:r>
        <w:r>
          <w:rPr>
            <w:rStyle w:val="Hyperlink"/>
            <w:rFonts w:hint="eastAsia"/>
          </w:rPr>
          <w:t xml:space="preserve"> 声环境质量现状评价</w:t>
        </w:r>
        <w:r>
          <w:tab/>
        </w:r>
        <w:r>
          <w:fldChar w:fldCharType="begin"/>
        </w:r>
        <w:r>
          <w:instrText xml:space="preserve"> PAGEREF _Toc364413260 \h </w:instrText>
        </w:r>
        <w:r>
          <w:fldChar w:fldCharType="separate"/>
        </w:r>
        <w:r>
          <w:t>12</w:t>
        </w:r>
        <w:r>
          <w:fldChar w:fldCharType="end"/>
        </w:r>
      </w:hyperlink>
    </w:p>
    <w:p>
      <w:pPr>
        <w:pStyle w:val="TOC1"/>
        <w:tabs>
          <w:tab w:val="right" w:leader="dot" w:pos="8495"/>
        </w:tabs>
        <w:rPr>
          <w:rFonts w:ascii="Calibri" w:hAnsi="Calibri" w:cs="Times New Roman"/>
          <w:b w:val="0"/>
          <w:kern w:val="2"/>
          <w:sz w:val="21"/>
        </w:rPr>
      </w:pPr>
      <w:hyperlink w:anchor="_Toc364413261" w:history="1">
        <w:r>
          <w:rPr>
            <w:rStyle w:val="Hyperlink"/>
            <w:rFonts w:cs="Times New Roman" w:hint="eastAsia"/>
            <w:snapToGrid w:val="0"/>
            <w:w w:val="0"/>
          </w:rPr>
          <w:t>第4章</w:t>
        </w:r>
        <w:r>
          <w:rPr>
            <w:rStyle w:val="Hyperlink"/>
            <w:rFonts w:cs="Times New Roman" w:hint="eastAsia"/>
          </w:rPr>
          <w:t xml:space="preserve"> 环境影响分析</w:t>
        </w:r>
        <w:r>
          <w:tab/>
        </w:r>
        <w:r>
          <w:fldChar w:fldCharType="begin"/>
        </w:r>
        <w:r>
          <w:instrText xml:space="preserve"> PAGEREF _Toc364413261 \h </w:instrText>
        </w:r>
        <w:r>
          <w:fldChar w:fldCharType="separate"/>
        </w:r>
        <w:r>
          <w:t>13</w:t>
        </w:r>
        <w:r>
          <w:fldChar w:fldCharType="end"/>
        </w:r>
      </w:hyperlink>
    </w:p>
    <w:p>
      <w:pPr>
        <w:pStyle w:val="TOC2"/>
        <w:tabs>
          <w:tab w:val="left" w:pos="993"/>
          <w:tab w:val="left" w:pos="1276"/>
          <w:tab w:val="right" w:leader="dot" w:pos="8495"/>
        </w:tabs>
        <w:rPr>
          <w:rFonts w:ascii="Calibri" w:hAnsi="Calibri"/>
          <w:kern w:val="2"/>
        </w:rPr>
      </w:pPr>
      <w:hyperlink w:anchor="_Toc364413262" w:history="1">
        <w:r>
          <w:rPr>
            <w:rStyle w:val="Hyperlink"/>
          </w:rPr>
          <w:t>4.1</w:t>
        </w:r>
        <w:r>
          <w:rPr>
            <w:rStyle w:val="Hyperlink"/>
            <w:rFonts w:hint="eastAsia"/>
          </w:rPr>
          <w:t xml:space="preserve"> 水环境影响分析</w:t>
        </w:r>
        <w:r>
          <w:tab/>
        </w:r>
        <w:r>
          <w:fldChar w:fldCharType="begin"/>
        </w:r>
        <w:r>
          <w:instrText xml:space="preserve"> PAGEREF _Toc364413262 \h </w:instrText>
        </w:r>
        <w:r>
          <w:fldChar w:fldCharType="separate"/>
        </w:r>
        <w:r>
          <w:t>13</w:t>
        </w:r>
        <w:r>
          <w:fldChar w:fldCharType="end"/>
        </w:r>
      </w:hyperlink>
    </w:p>
    <w:p>
      <w:pPr>
        <w:pStyle w:val="TOC2"/>
        <w:tabs>
          <w:tab w:val="left" w:pos="993"/>
          <w:tab w:val="left" w:pos="1276"/>
          <w:tab w:val="right" w:leader="dot" w:pos="8495"/>
        </w:tabs>
        <w:rPr>
          <w:rFonts w:ascii="Calibri" w:hAnsi="Calibri"/>
          <w:kern w:val="2"/>
        </w:rPr>
      </w:pPr>
      <w:hyperlink w:anchor="_Toc364413263" w:history="1">
        <w:r>
          <w:rPr>
            <w:rStyle w:val="Hyperlink"/>
          </w:rPr>
          <w:t>4.2</w:t>
        </w:r>
        <w:r>
          <w:rPr>
            <w:rStyle w:val="Hyperlink"/>
            <w:rFonts w:hint="eastAsia"/>
          </w:rPr>
          <w:t xml:space="preserve"> 营运期空气环境影响分析结论</w:t>
        </w:r>
        <w:r>
          <w:tab/>
        </w:r>
        <w:r>
          <w:fldChar w:fldCharType="begin"/>
        </w:r>
        <w:r>
          <w:instrText xml:space="preserve"> PAGEREF _Toc364413263 \h </w:instrText>
        </w:r>
        <w:r>
          <w:fldChar w:fldCharType="separate"/>
        </w:r>
        <w:r>
          <w:t>13</w:t>
        </w:r>
        <w:r>
          <w:fldChar w:fldCharType="end"/>
        </w:r>
      </w:hyperlink>
    </w:p>
    <w:p>
      <w:pPr>
        <w:pStyle w:val="TOC2"/>
        <w:tabs>
          <w:tab w:val="left" w:pos="993"/>
          <w:tab w:val="left" w:pos="1276"/>
          <w:tab w:val="right" w:leader="dot" w:pos="8495"/>
        </w:tabs>
        <w:rPr>
          <w:rFonts w:ascii="Calibri" w:hAnsi="Calibri"/>
          <w:kern w:val="2"/>
        </w:rPr>
      </w:pPr>
      <w:hyperlink w:anchor="_Toc364413264" w:history="1">
        <w:r>
          <w:rPr>
            <w:rStyle w:val="Hyperlink"/>
          </w:rPr>
          <w:t>4.3</w:t>
        </w:r>
        <w:r>
          <w:rPr>
            <w:rStyle w:val="Hyperlink"/>
            <w:rFonts w:hint="eastAsia"/>
          </w:rPr>
          <w:t xml:space="preserve"> 营运期噪声环境影响分析结论</w:t>
        </w:r>
        <w:r>
          <w:tab/>
        </w:r>
        <w:r>
          <w:fldChar w:fldCharType="begin"/>
        </w:r>
        <w:r>
          <w:instrText xml:space="preserve"> PAGEREF _Toc364413264 \h </w:instrText>
        </w:r>
        <w:r>
          <w:fldChar w:fldCharType="separate"/>
        </w:r>
        <w:r>
          <w:t>14</w:t>
        </w:r>
        <w:r>
          <w:fldChar w:fldCharType="end"/>
        </w:r>
      </w:hyperlink>
    </w:p>
    <w:p>
      <w:pPr>
        <w:pStyle w:val="TOC2"/>
        <w:tabs>
          <w:tab w:val="left" w:pos="993"/>
          <w:tab w:val="left" w:pos="1276"/>
          <w:tab w:val="right" w:leader="dot" w:pos="8495"/>
        </w:tabs>
        <w:rPr>
          <w:rFonts w:ascii="Calibri" w:hAnsi="Calibri"/>
          <w:kern w:val="2"/>
        </w:rPr>
      </w:pPr>
      <w:hyperlink w:anchor="_Toc364413265" w:history="1">
        <w:r>
          <w:rPr>
            <w:rStyle w:val="Hyperlink"/>
          </w:rPr>
          <w:t>4.4</w:t>
        </w:r>
        <w:r>
          <w:rPr>
            <w:rStyle w:val="Hyperlink"/>
            <w:rFonts w:hint="eastAsia"/>
          </w:rPr>
          <w:t xml:space="preserve"> 固体废物影响分析结论</w:t>
        </w:r>
        <w:r>
          <w:tab/>
        </w:r>
        <w:r>
          <w:fldChar w:fldCharType="begin"/>
        </w:r>
        <w:r>
          <w:instrText xml:space="preserve"> PAGEREF _Toc364413265 \h </w:instrText>
        </w:r>
        <w:r>
          <w:fldChar w:fldCharType="separate"/>
        </w:r>
        <w:r>
          <w:t>14</w:t>
        </w:r>
        <w:r>
          <w:fldChar w:fldCharType="end"/>
        </w:r>
      </w:hyperlink>
    </w:p>
    <w:p>
      <w:pPr>
        <w:pStyle w:val="TOC1"/>
        <w:tabs>
          <w:tab w:val="right" w:leader="dot" w:pos="8495"/>
        </w:tabs>
        <w:rPr>
          <w:rFonts w:ascii="Calibri" w:hAnsi="Calibri" w:cs="Times New Roman"/>
          <w:b w:val="0"/>
          <w:kern w:val="2"/>
          <w:sz w:val="21"/>
        </w:rPr>
      </w:pPr>
      <w:hyperlink w:anchor="_Toc364413266" w:history="1">
        <w:r>
          <w:rPr>
            <w:rStyle w:val="Hyperlink"/>
            <w:rFonts w:cs="Times New Roman" w:hint="eastAsia"/>
            <w:snapToGrid w:val="0"/>
            <w:w w:val="0"/>
          </w:rPr>
          <w:t>第5章</w:t>
        </w:r>
        <w:r>
          <w:rPr>
            <w:rStyle w:val="Hyperlink"/>
            <w:rFonts w:cs="Times New Roman" w:hint="eastAsia"/>
          </w:rPr>
          <w:t xml:space="preserve"> 污染防治措施及总量控制</w:t>
        </w:r>
        <w:r>
          <w:tab/>
        </w:r>
        <w:r>
          <w:fldChar w:fldCharType="begin"/>
        </w:r>
        <w:r>
          <w:instrText xml:space="preserve"> PAGEREF _Toc364413266 \h </w:instrText>
        </w:r>
        <w:r>
          <w:fldChar w:fldCharType="separate"/>
        </w:r>
        <w:r>
          <w:t>15</w:t>
        </w:r>
        <w:r>
          <w:fldChar w:fldCharType="end"/>
        </w:r>
      </w:hyperlink>
    </w:p>
    <w:p>
      <w:pPr>
        <w:pStyle w:val="TOC2"/>
        <w:tabs>
          <w:tab w:val="left" w:pos="993"/>
          <w:tab w:val="left" w:pos="1276"/>
          <w:tab w:val="right" w:leader="dot" w:pos="8495"/>
        </w:tabs>
        <w:rPr>
          <w:rFonts w:ascii="Calibri" w:hAnsi="Calibri"/>
          <w:kern w:val="2"/>
        </w:rPr>
      </w:pPr>
      <w:hyperlink w:anchor="_Toc364413267" w:history="1">
        <w:r>
          <w:rPr>
            <w:rStyle w:val="Hyperlink"/>
          </w:rPr>
          <w:t>5.1</w:t>
        </w:r>
        <w:r>
          <w:rPr>
            <w:rStyle w:val="Hyperlink"/>
            <w:rFonts w:hint="eastAsia"/>
          </w:rPr>
          <w:t xml:space="preserve"> 污染防治措施汇总</w:t>
        </w:r>
        <w:r>
          <w:tab/>
        </w:r>
        <w:r>
          <w:fldChar w:fldCharType="begin"/>
        </w:r>
        <w:r>
          <w:instrText xml:space="preserve"> PAGEREF _Toc364413267 \h </w:instrText>
        </w:r>
        <w:r>
          <w:fldChar w:fldCharType="separate"/>
        </w:r>
        <w:r>
          <w:t>15</w:t>
        </w:r>
        <w:r>
          <w:fldChar w:fldCharType="end"/>
        </w:r>
      </w:hyperlink>
    </w:p>
    <w:p>
      <w:pPr>
        <w:pStyle w:val="TOC2"/>
        <w:tabs>
          <w:tab w:val="left" w:pos="993"/>
          <w:tab w:val="left" w:pos="1276"/>
          <w:tab w:val="right" w:leader="dot" w:pos="8495"/>
        </w:tabs>
        <w:rPr>
          <w:rFonts w:ascii="Calibri" w:hAnsi="Calibri"/>
          <w:kern w:val="2"/>
        </w:rPr>
      </w:pPr>
      <w:hyperlink w:anchor="_Toc364413268" w:history="1">
        <w:r>
          <w:rPr>
            <w:rStyle w:val="Hyperlink"/>
          </w:rPr>
          <w:t>5.2</w:t>
        </w:r>
        <w:r>
          <w:rPr>
            <w:rStyle w:val="Hyperlink"/>
            <w:rFonts w:hint="eastAsia"/>
          </w:rPr>
          <w:t xml:space="preserve"> 总量控制</w:t>
        </w:r>
        <w:r>
          <w:tab/>
        </w:r>
        <w:r>
          <w:fldChar w:fldCharType="begin"/>
        </w:r>
        <w:r>
          <w:instrText xml:space="preserve"> PAGEREF _Toc364413268 \h </w:instrText>
        </w:r>
        <w:r>
          <w:fldChar w:fldCharType="separate"/>
        </w:r>
        <w:r>
          <w:t>16</w:t>
        </w:r>
        <w:r>
          <w:fldChar w:fldCharType="end"/>
        </w:r>
      </w:hyperlink>
    </w:p>
    <w:p>
      <w:pPr>
        <w:pStyle w:val="TOC1"/>
        <w:tabs>
          <w:tab w:val="right" w:leader="dot" w:pos="8495"/>
        </w:tabs>
        <w:rPr>
          <w:rFonts w:ascii="Calibri" w:hAnsi="Calibri" w:cs="Times New Roman"/>
          <w:b w:val="0"/>
          <w:kern w:val="2"/>
          <w:sz w:val="21"/>
        </w:rPr>
      </w:pPr>
      <w:hyperlink w:anchor="_Toc364413269" w:history="1">
        <w:r>
          <w:rPr>
            <w:rStyle w:val="Hyperlink"/>
            <w:rFonts w:cs="Times New Roman" w:hint="eastAsia"/>
            <w:snapToGrid w:val="0"/>
            <w:w w:val="0"/>
          </w:rPr>
          <w:t>第6章</w:t>
        </w:r>
        <w:r>
          <w:rPr>
            <w:rStyle w:val="Hyperlink"/>
            <w:rFonts w:cs="Times New Roman" w:hint="eastAsia"/>
          </w:rPr>
          <w:t xml:space="preserve"> 公众参与</w:t>
        </w:r>
        <w:r>
          <w:tab/>
        </w:r>
        <w:r>
          <w:fldChar w:fldCharType="begin"/>
        </w:r>
        <w:r>
          <w:instrText xml:space="preserve"> PAGEREF _Toc364413269 \h </w:instrText>
        </w:r>
        <w:r>
          <w:fldChar w:fldCharType="separate"/>
        </w:r>
        <w:r>
          <w:t>17</w:t>
        </w:r>
        <w:r>
          <w:fldChar w:fldCharType="end"/>
        </w:r>
      </w:hyperlink>
    </w:p>
    <w:p>
      <w:pPr>
        <w:pStyle w:val="TOC2"/>
        <w:tabs>
          <w:tab w:val="left" w:pos="993"/>
          <w:tab w:val="left" w:pos="1276"/>
          <w:tab w:val="right" w:leader="dot" w:pos="8495"/>
        </w:tabs>
        <w:rPr>
          <w:rFonts w:ascii="Calibri" w:hAnsi="Calibri"/>
          <w:kern w:val="2"/>
        </w:rPr>
      </w:pPr>
      <w:hyperlink w:anchor="_Toc364413270" w:history="1">
        <w:r>
          <w:rPr>
            <w:rStyle w:val="Hyperlink"/>
          </w:rPr>
          <w:t>6.1</w:t>
        </w:r>
        <w:r>
          <w:rPr>
            <w:rStyle w:val="Hyperlink"/>
            <w:rFonts w:hint="eastAsia"/>
          </w:rPr>
          <w:t xml:space="preserve"> 公众调查</w:t>
        </w:r>
        <w:r>
          <w:tab/>
        </w:r>
        <w:r>
          <w:fldChar w:fldCharType="begin"/>
        </w:r>
        <w:r>
          <w:instrText xml:space="preserve"> PAGEREF _Toc364413270 \h </w:instrText>
        </w:r>
        <w:r>
          <w:fldChar w:fldCharType="separate"/>
        </w:r>
        <w:r>
          <w:t>17</w:t>
        </w:r>
        <w:r>
          <w:fldChar w:fldCharType="end"/>
        </w:r>
      </w:hyperlink>
    </w:p>
    <w:p>
      <w:pPr>
        <w:pStyle w:val="TOC2"/>
        <w:tabs>
          <w:tab w:val="left" w:pos="993"/>
          <w:tab w:val="left" w:pos="1276"/>
          <w:tab w:val="right" w:leader="dot" w:pos="8495"/>
        </w:tabs>
        <w:rPr>
          <w:rFonts w:ascii="Calibri" w:hAnsi="Calibri"/>
          <w:kern w:val="2"/>
        </w:rPr>
      </w:pPr>
      <w:hyperlink w:anchor="_Toc364413271" w:history="1">
        <w:r>
          <w:rPr>
            <w:rStyle w:val="Hyperlink"/>
          </w:rPr>
          <w:t>6.2</w:t>
        </w:r>
        <w:r>
          <w:rPr>
            <w:rStyle w:val="Hyperlink"/>
            <w:rFonts w:hint="eastAsia"/>
          </w:rPr>
          <w:t xml:space="preserve"> 公示情况</w:t>
        </w:r>
        <w:r>
          <w:tab/>
        </w:r>
        <w:r>
          <w:fldChar w:fldCharType="begin"/>
        </w:r>
        <w:r>
          <w:instrText xml:space="preserve"> PAGEREF _Toc364413271 \h </w:instrText>
        </w:r>
        <w:r>
          <w:fldChar w:fldCharType="separate"/>
        </w:r>
        <w:r>
          <w:t>17</w:t>
        </w:r>
        <w:r>
          <w:fldChar w:fldCharType="end"/>
        </w:r>
      </w:hyperlink>
    </w:p>
    <w:p>
      <w:pPr>
        <w:pStyle w:val="TOC2"/>
        <w:tabs>
          <w:tab w:val="left" w:pos="993"/>
          <w:tab w:val="left" w:pos="1276"/>
          <w:tab w:val="right" w:leader="dot" w:pos="8495"/>
        </w:tabs>
        <w:rPr>
          <w:rFonts w:ascii="Calibri" w:hAnsi="Calibri"/>
          <w:kern w:val="2"/>
        </w:rPr>
      </w:pPr>
      <w:hyperlink w:anchor="_Toc364413272" w:history="1">
        <w:r>
          <w:rPr>
            <w:rStyle w:val="Hyperlink"/>
          </w:rPr>
          <w:t>6.3</w:t>
        </w:r>
        <w:r>
          <w:rPr>
            <w:rStyle w:val="Hyperlink"/>
            <w:rFonts w:hint="eastAsia"/>
          </w:rPr>
          <w:t xml:space="preserve"> 公众参与调查综合结果</w:t>
        </w:r>
        <w:r>
          <w:tab/>
        </w:r>
        <w:r>
          <w:fldChar w:fldCharType="begin"/>
        </w:r>
        <w:r>
          <w:instrText xml:space="preserve"> PAGEREF _Toc364413272 \h </w:instrText>
        </w:r>
        <w:r>
          <w:fldChar w:fldCharType="separate"/>
        </w:r>
        <w:r>
          <w:t>18</w:t>
        </w:r>
        <w:r>
          <w:fldChar w:fldCharType="end"/>
        </w:r>
      </w:hyperlink>
    </w:p>
    <w:p>
      <w:pPr>
        <w:pStyle w:val="TOC1"/>
        <w:tabs>
          <w:tab w:val="right" w:leader="dot" w:pos="8495"/>
        </w:tabs>
        <w:rPr>
          <w:rFonts w:ascii="Calibri" w:hAnsi="Calibri" w:cs="Times New Roman"/>
          <w:b w:val="0"/>
          <w:kern w:val="2"/>
          <w:sz w:val="21"/>
        </w:rPr>
      </w:pPr>
      <w:hyperlink w:anchor="_Toc364413273" w:history="1">
        <w:r>
          <w:rPr>
            <w:rStyle w:val="Hyperlink"/>
            <w:rFonts w:cs="Times New Roman" w:hint="eastAsia"/>
            <w:snapToGrid w:val="0"/>
            <w:w w:val="0"/>
          </w:rPr>
          <w:t>第7章</w:t>
        </w:r>
        <w:r>
          <w:rPr>
            <w:rStyle w:val="Hyperlink"/>
            <w:rFonts w:cs="Times New Roman" w:hint="eastAsia"/>
          </w:rPr>
          <w:t xml:space="preserve"> 项目建设合理性分析</w:t>
        </w:r>
        <w:r>
          <w:tab/>
        </w:r>
        <w:r>
          <w:fldChar w:fldCharType="begin"/>
        </w:r>
        <w:r>
          <w:instrText xml:space="preserve"> PAGEREF _Toc364413273 \h </w:instrText>
        </w:r>
        <w:r>
          <w:fldChar w:fldCharType="separate"/>
        </w:r>
        <w:r>
          <w:t>19</w:t>
        </w:r>
        <w:r>
          <w:fldChar w:fldCharType="end"/>
        </w:r>
      </w:hyperlink>
    </w:p>
    <w:p>
      <w:pPr>
        <w:pStyle w:val="TOC2"/>
        <w:tabs>
          <w:tab w:val="left" w:pos="993"/>
          <w:tab w:val="left" w:pos="1276"/>
          <w:tab w:val="right" w:leader="dot" w:pos="8495"/>
        </w:tabs>
        <w:rPr>
          <w:rFonts w:ascii="Calibri" w:hAnsi="Calibri"/>
          <w:kern w:val="2"/>
        </w:rPr>
      </w:pPr>
      <w:hyperlink w:anchor="_Toc364413274" w:history="1">
        <w:r>
          <w:rPr>
            <w:rStyle w:val="Hyperlink"/>
          </w:rPr>
          <w:t>7.1</w:t>
        </w:r>
        <w:r>
          <w:rPr>
            <w:rStyle w:val="Hyperlink"/>
            <w:rFonts w:hint="eastAsia"/>
          </w:rPr>
          <w:t xml:space="preserve"> 选址布局合理性分析</w:t>
        </w:r>
        <w:r>
          <w:tab/>
        </w:r>
        <w:r>
          <w:fldChar w:fldCharType="begin"/>
        </w:r>
        <w:r>
          <w:instrText xml:space="preserve"> PAGEREF _Toc364413274 \h </w:instrText>
        </w:r>
        <w:r>
          <w:fldChar w:fldCharType="separate"/>
        </w:r>
        <w:r>
          <w:t>19</w:t>
        </w:r>
        <w:r>
          <w:fldChar w:fldCharType="end"/>
        </w:r>
      </w:hyperlink>
    </w:p>
    <w:p>
      <w:pPr>
        <w:pStyle w:val="TOC2"/>
        <w:tabs>
          <w:tab w:val="left" w:pos="993"/>
          <w:tab w:val="left" w:pos="1276"/>
          <w:tab w:val="right" w:leader="dot" w:pos="8495"/>
        </w:tabs>
        <w:rPr>
          <w:rFonts w:ascii="Calibri" w:hAnsi="Calibri"/>
          <w:kern w:val="2"/>
        </w:rPr>
      </w:pPr>
      <w:hyperlink w:anchor="_Toc364413275" w:history="1">
        <w:r>
          <w:rPr>
            <w:rStyle w:val="Hyperlink"/>
          </w:rPr>
          <w:t>7.2</w:t>
        </w:r>
        <w:r>
          <w:rPr>
            <w:rStyle w:val="Hyperlink"/>
            <w:rFonts w:hint="eastAsia"/>
          </w:rPr>
          <w:t xml:space="preserve"> 环保审批原则符合性分析</w:t>
        </w:r>
        <w:r>
          <w:tab/>
        </w:r>
        <w:r>
          <w:fldChar w:fldCharType="begin"/>
        </w:r>
        <w:r>
          <w:instrText xml:space="preserve"> PAGEREF _Toc364413275 \h </w:instrText>
        </w:r>
        <w:r>
          <w:fldChar w:fldCharType="separate"/>
        </w:r>
        <w:r>
          <w:t>19</w:t>
        </w:r>
        <w:r>
          <w:fldChar w:fldCharType="end"/>
        </w:r>
      </w:hyperlink>
    </w:p>
    <w:p>
      <w:pPr>
        <w:pStyle w:val="TOC1"/>
        <w:tabs>
          <w:tab w:val="right" w:leader="dot" w:pos="8495"/>
        </w:tabs>
        <w:rPr>
          <w:rFonts w:ascii="Calibri" w:hAnsi="Calibri" w:cs="Times New Roman"/>
          <w:b w:val="0"/>
          <w:kern w:val="2"/>
          <w:sz w:val="21"/>
        </w:rPr>
      </w:pPr>
      <w:hyperlink w:anchor="_Toc364413276" w:history="1">
        <w:r>
          <w:rPr>
            <w:rStyle w:val="Hyperlink"/>
            <w:rFonts w:cs="Times New Roman" w:hint="eastAsia"/>
            <w:snapToGrid w:val="0"/>
            <w:w w:val="0"/>
          </w:rPr>
          <w:t>第8章</w:t>
        </w:r>
        <w:r>
          <w:rPr>
            <w:rStyle w:val="Hyperlink"/>
            <w:rFonts w:cs="Times New Roman" w:hint="eastAsia"/>
          </w:rPr>
          <w:t xml:space="preserve"> 结论与建议</w:t>
        </w:r>
        <w:r>
          <w:tab/>
        </w:r>
        <w:r>
          <w:fldChar w:fldCharType="begin"/>
        </w:r>
        <w:r>
          <w:instrText xml:space="preserve"> PAGEREF _Toc364413276 \h </w:instrText>
        </w:r>
        <w:r>
          <w:fldChar w:fldCharType="separate"/>
        </w:r>
        <w:r>
          <w:t>20</w:t>
        </w:r>
        <w:r>
          <w:fldChar w:fldCharType="end"/>
        </w:r>
      </w:hyperlink>
    </w:p>
    <w:p>
      <w:pPr>
        <w:pStyle w:val="TOC2"/>
        <w:tabs>
          <w:tab w:val="left" w:pos="993"/>
          <w:tab w:val="left" w:pos="1276"/>
          <w:tab w:val="right" w:leader="dot" w:pos="8495"/>
        </w:tabs>
        <w:rPr>
          <w:rFonts w:ascii="Calibri" w:hAnsi="Calibri"/>
          <w:kern w:val="2"/>
        </w:rPr>
      </w:pPr>
      <w:hyperlink w:anchor="_Toc364413277" w:history="1">
        <w:r>
          <w:rPr>
            <w:rStyle w:val="Hyperlink"/>
          </w:rPr>
          <w:t>8.1</w:t>
        </w:r>
        <w:r>
          <w:rPr>
            <w:rStyle w:val="Hyperlink"/>
            <w:rFonts w:hint="eastAsia"/>
          </w:rPr>
          <w:t xml:space="preserve"> 综合评价结论</w:t>
        </w:r>
        <w:r>
          <w:tab/>
        </w:r>
        <w:r>
          <w:fldChar w:fldCharType="begin"/>
        </w:r>
        <w:r>
          <w:instrText xml:space="preserve"> PAGEREF _Toc364413277 \h </w:instrText>
        </w:r>
        <w:r>
          <w:fldChar w:fldCharType="separate"/>
        </w:r>
        <w:r>
          <w:t>20</w:t>
        </w:r>
        <w:r>
          <w:fldChar w:fldCharType="end"/>
        </w:r>
      </w:hyperlink>
    </w:p>
    <w:p>
      <w:pPr>
        <w:pStyle w:val="TOC2"/>
        <w:tabs>
          <w:tab w:val="left" w:pos="993"/>
          <w:tab w:val="left" w:pos="1276"/>
          <w:tab w:val="right" w:leader="dot" w:pos="8495"/>
        </w:tabs>
        <w:rPr>
          <w:rFonts w:ascii="Calibri" w:hAnsi="Calibri"/>
          <w:kern w:val="2"/>
        </w:rPr>
      </w:pPr>
      <w:hyperlink w:anchor="_Toc364413278" w:history="1">
        <w:r>
          <w:rPr>
            <w:rStyle w:val="Hyperlink"/>
          </w:rPr>
          <w:t>8.2</w:t>
        </w:r>
        <w:r>
          <w:rPr>
            <w:rStyle w:val="Hyperlink"/>
            <w:rFonts w:hint="eastAsia"/>
          </w:rPr>
          <w:t xml:space="preserve"> 建</w:t>
        </w:r>
        <w:r>
          <w:rPr>
            <w:rStyle w:val="Hyperlink"/>
          </w:rPr>
          <w:t xml:space="preserve">           </w:t>
        </w:r>
        <w:r>
          <w:rPr>
            <w:rStyle w:val="Hyperlink"/>
            <w:rFonts w:hint="eastAsia"/>
          </w:rPr>
          <w:t>议</w:t>
        </w:r>
        <w:r>
          <w:tab/>
        </w:r>
        <w:r>
          <w:fldChar w:fldCharType="begin"/>
        </w:r>
        <w:r>
          <w:instrText xml:space="preserve"> PAGEREF _Toc364413278 \h </w:instrText>
        </w:r>
        <w:r>
          <w:fldChar w:fldCharType="separate"/>
        </w:r>
        <w:r>
          <w:t>20</w:t>
        </w:r>
        <w:r>
          <w:fldChar w:fldCharType="end"/>
        </w:r>
      </w:hyperlink>
    </w:p>
    <w:p>
      <w:pPr>
        <w:pStyle w:val="NormalIndent"/>
        <w:ind w:firstLine="389"/>
        <w:rPr>
          <w:color w:val="984806"/>
        </w:rPr>
      </w:pPr>
      <w:r>
        <w:rPr>
          <w:b/>
          <w:sz w:val="21"/>
        </w:rPr>
        <w:fldChar w:fldCharType="end"/>
      </w:r>
    </w:p>
    <w:p>
      <w:pPr>
        <w:pStyle w:val="NormalIndent"/>
        <w:rPr>
          <w:color w:val="984806"/>
        </w:rPr>
      </w:pPr>
    </w:p>
    <w:p>
      <w:pPr>
        <w:pStyle w:val="NormalIndent"/>
        <w:rPr>
          <w:color w:val="984806"/>
        </w:rPr>
      </w:pPr>
    </w:p>
    <w:p>
      <w:pPr>
        <w:pStyle w:val="NormalIndent"/>
        <w:rPr>
          <w:color w:val="984806"/>
        </w:rPr>
        <w:sectPr>
          <w:headerReference w:type="default" r:id="rId6"/>
          <w:footerReference w:type="default" r:id="rId7"/>
          <w:pgSz w:w="11907" w:h="16840"/>
          <w:pgMar w:top="1418" w:right="1701" w:bottom="1559" w:left="1701" w:header="902" w:footer="907" w:gutter="0"/>
          <w:pgNumType w:fmt="upperRoman" w:start="1"/>
          <w:cols w:space="708"/>
          <w:docGrid w:type="linesAndChars" w:linePitch="433" w:charSpace="-3315"/>
        </w:sectPr>
      </w:pPr>
    </w:p>
    <w:p>
      <w:pPr>
        <w:pStyle w:val="Heading1"/>
        <w:ind w:left="0"/>
        <w:rPr>
          <w:rFonts w:cs="Times New Roman"/>
        </w:rPr>
      </w:pPr>
      <w:bookmarkStart w:id="1" w:name="_Ref254267844"/>
      <w:bookmarkStart w:id="2" w:name="_Toc364413249"/>
      <w:r>
        <w:rPr>
          <w:rFonts w:cs="Times New Roman"/>
        </w:rPr>
        <w:t>总论</w:t>
      </w:r>
      <w:bookmarkEnd w:id="0"/>
      <w:bookmarkEnd w:id="1"/>
      <w:bookmarkEnd w:id="2"/>
    </w:p>
    <w:p>
      <w:pPr>
        <w:pStyle w:val="Heading2"/>
        <w:spacing w:before="216" w:after="216"/>
      </w:pPr>
      <w:bookmarkStart w:id="3" w:name="_Toc364413250"/>
      <w:r>
        <w:t>项目由来</w:t>
      </w:r>
      <w:bookmarkEnd w:id="3"/>
    </w:p>
    <w:p>
      <w:pPr>
        <w:pStyle w:val="NormalIndent"/>
        <w:rPr>
          <w:color w:val="984806"/>
        </w:rPr>
      </w:pPr>
      <w:r>
        <w:t>绍兴虞泽染织有限公司是一家由浙江虞乐集团有限公司与香港泛勤有限公司共同出资创办的专业从事色织牛仔布生产的科技型企业，位于上虞市沥海镇沥东鱼乐路，公司创建于1995年11月，主要进行色织牛仔布的生产。</w:t>
      </w:r>
      <w:r>
        <w:rPr>
          <w:rFonts w:hint="eastAsia"/>
        </w:rPr>
        <w:t>公司创办二十多年以来，依托集团公司丰富的企业管理经验，香港泛勤公司跨国经营的优势，产品自主开发设计，区域信息优势，把牛仔布产业做优、做强、做大，使企业不断发展壮大。由于公司位于中心镇的核心地带，周边已经被居民生活区包围，给周边的居民带来了一定的影响，</w:t>
      </w:r>
      <w:r>
        <w:rPr>
          <w:rFonts w:ascii="宋体" w:hAnsi="宋体" w:hint="eastAsia"/>
        </w:rPr>
        <w:t>结合全省全面推进印染医化等四大重点行业污染整治的要求，公司将实施整体搬迁异地改造建设</w:t>
      </w:r>
      <w:r>
        <w:t>，向位于绍兴滨海新城沥海工业区的绍兴奇晖织造服饰有限公司租用土地34亩（含带征土地9亩），租用生产车间11600平方米和生产场地11044平方米。将重点对浆染生产线升级改造，新增6</w:t>
      </w:r>
      <w:r>
        <w:rPr>
          <w:rFonts w:hint="eastAsia"/>
        </w:rPr>
        <w:t>t/h</w:t>
      </w:r>
      <w:r>
        <w:t>和2</w:t>
      </w:r>
      <w:r>
        <w:rPr>
          <w:rFonts w:hint="eastAsia"/>
        </w:rPr>
        <w:t>t/h</w:t>
      </w:r>
      <w:r>
        <w:t>天然气锅炉各一台（套），新建印染废水处理</w:t>
      </w:r>
      <w:r>
        <w:rPr>
          <w:rFonts w:hint="eastAsia"/>
        </w:rPr>
        <w:t>及中水回用</w:t>
      </w:r>
      <w:r>
        <w:t>装置一套及配套公用设施。搬迁建成投产后，将形成年产1800万米高档各色牛仔布的生产能力，可实现年销售收入1.8亿元，利税1200万元，出口创汇2800万美元。</w:t>
      </w:r>
    </w:p>
    <w:p>
      <w:pPr>
        <w:pStyle w:val="NormalIndent"/>
        <w:rPr>
          <w:rFonts w:hint="eastAsia"/>
          <w:spacing w:val="12"/>
        </w:rPr>
        <w:sectPr>
          <w:headerReference w:type="default" r:id="rId8"/>
          <w:footerReference w:type="default" r:id="rId9"/>
          <w:pgSz w:w="11907" w:h="16840"/>
          <w:pgMar w:top="1418" w:right="1701" w:bottom="1559" w:left="1701" w:header="902" w:footer="907" w:gutter="0"/>
          <w:pgNumType w:start="1"/>
          <w:cols w:space="708"/>
          <w:docGrid w:type="linesAndChars" w:linePitch="433" w:charSpace="-3315"/>
        </w:sectPr>
      </w:pPr>
      <w:r>
        <w:t>项目申请于2013年3月6日由上虞市经济贸易局批准备案（备案通知书详见附件1）</w:t>
      </w:r>
      <w:r>
        <w:rPr>
          <w:szCs w:val="24"/>
        </w:rPr>
        <w:t>。在此基础上，</w:t>
      </w:r>
      <w:r>
        <w:t>绍兴虞泽染织有限公司</w:t>
      </w:r>
      <w:r>
        <w:rPr>
          <w:szCs w:val="24"/>
        </w:rPr>
        <w:t>委托</w:t>
      </w:r>
      <w:r>
        <w:t>绍兴市环保科技服务中心</w:t>
      </w:r>
      <w:r>
        <w:rPr>
          <w:szCs w:val="24"/>
        </w:rPr>
        <w:t>对该建设项目进行环境影响评价，参照《建设项目环境影响评价分类管理名录》，该项目主体工程属于“O纺织化纤” 中的“2、纺织品制造（有洗毛、染整、脱胶工段的；产生缫丝废水、精炼废水的）”，因此需编制环境影响报告书，属于轻工纺织化纤环评类别；同时根据《浙江省人民政府办公厅关于印发浙江省建设项目环境影响评价文件分级审批管理办法的通知》（浙政办发[2012]132号）和 《绍兴市环保局关于贯彻落实国家、省建设项目环境影响文件分级审批制度的意见》（绍市环发[2009]5号），该项目环保审批权限为绍兴市环保局。受</w:t>
      </w:r>
      <w:r>
        <w:t>绍兴虞泽染织有限公司</w:t>
      </w:r>
      <w:r>
        <w:rPr>
          <w:szCs w:val="24"/>
        </w:rPr>
        <w:t>的委托，</w:t>
      </w:r>
      <w:r>
        <w:t>绍兴市环保科技服务中心</w:t>
      </w:r>
      <w:r>
        <w:rPr>
          <w:szCs w:val="24"/>
        </w:rPr>
        <w:t>承担了该项目的环境影响评价工作。我</w:t>
      </w:r>
      <w:r>
        <w:rPr>
          <w:rFonts w:hint="eastAsia"/>
          <w:szCs w:val="24"/>
        </w:rPr>
        <w:t>单位</w:t>
      </w:r>
      <w:r>
        <w:rPr>
          <w:szCs w:val="24"/>
        </w:rPr>
        <w:t>接受环评委托后，在征求当地主管部门意见、实地踏勘、基础资料收集、环境现状调查基础上，</w:t>
      </w:r>
      <w:r>
        <w:t>根据环境影响评价技术导则的要求，</w:t>
      </w:r>
      <w:r>
        <w:rPr>
          <w:rFonts w:hint="eastAsia"/>
        </w:rPr>
        <w:t>按照评审意见，</w:t>
      </w:r>
      <w:r>
        <w:t>编制了本项目的环境影响报告书（</w:t>
      </w:r>
      <w:r>
        <w:rPr>
          <w:rFonts w:hint="eastAsia"/>
        </w:rPr>
        <w:t>报批</w:t>
      </w:r>
      <w:r>
        <w:t>稿）</w:t>
      </w:r>
      <w:r>
        <w:rPr>
          <w:spacing w:val="12"/>
        </w:rPr>
        <w:t>。</w:t>
      </w:r>
    </w:p>
    <w:p>
      <w:pPr>
        <w:pStyle w:val="Heading2"/>
        <w:spacing w:before="216" w:after="216"/>
      </w:pPr>
      <w:bookmarkStart w:id="4" w:name="_Toc91386862"/>
      <w:bookmarkStart w:id="5" w:name="_Toc97088077"/>
      <w:bookmarkStart w:id="6" w:name="_Toc162671429"/>
      <w:bookmarkStart w:id="7" w:name="_Toc160446430"/>
      <w:bookmarkStart w:id="8" w:name="_Toc246176788"/>
      <w:bookmarkStart w:id="9" w:name="_Toc312309943"/>
      <w:bookmarkStart w:id="10" w:name="_Toc364413251"/>
      <w:r>
        <w:t>编制依据</w:t>
      </w:r>
      <w:bookmarkEnd w:id="4"/>
      <w:bookmarkEnd w:id="5"/>
      <w:bookmarkEnd w:id="6"/>
      <w:bookmarkEnd w:id="7"/>
      <w:bookmarkEnd w:id="8"/>
      <w:bookmarkEnd w:id="9"/>
      <w:bookmarkEnd w:id="10"/>
    </w:p>
    <w:p>
      <w:pPr>
        <w:pStyle w:val="Heading3"/>
        <w:ind w:left="0"/>
      </w:pPr>
      <w:r>
        <w:t>法律法规及规范性文件</w:t>
      </w:r>
    </w:p>
    <w:p>
      <w:pPr>
        <w:pStyle w:val="10"/>
        <w:tabs>
          <w:tab w:val="left" w:pos="896"/>
        </w:tabs>
      </w:pPr>
      <w:r>
        <w:t>《中华人民共和国环境保护法》（1989.12.26）；</w:t>
      </w:r>
    </w:p>
    <w:p>
      <w:pPr>
        <w:pStyle w:val="10"/>
        <w:tabs>
          <w:tab w:val="left" w:pos="896"/>
        </w:tabs>
      </w:pPr>
      <w:r>
        <w:t>《中华人民共和国环境影响评价法》（2003.9.1）；</w:t>
      </w:r>
    </w:p>
    <w:p>
      <w:pPr>
        <w:pStyle w:val="10"/>
        <w:tabs>
          <w:tab w:val="left" w:pos="896"/>
        </w:tabs>
      </w:pPr>
      <w:r>
        <w:t>《中华人民共和国水污染防治法》（2008.2.28）；</w:t>
      </w:r>
    </w:p>
    <w:p>
      <w:pPr>
        <w:pStyle w:val="10"/>
        <w:tabs>
          <w:tab w:val="left" w:pos="896"/>
        </w:tabs>
      </w:pPr>
      <w:r>
        <w:t>《中华人民共和国大气污染防治法》（2000.4.29）；</w:t>
      </w:r>
    </w:p>
    <w:p>
      <w:pPr>
        <w:pStyle w:val="10"/>
        <w:tabs>
          <w:tab w:val="left" w:pos="896"/>
        </w:tabs>
      </w:pPr>
      <w:r>
        <w:t>《中华人民共和国环境噪声污染防治法》（1996.10.29）；</w:t>
      </w:r>
    </w:p>
    <w:p>
      <w:pPr>
        <w:pStyle w:val="10"/>
        <w:tabs>
          <w:tab w:val="left" w:pos="896"/>
        </w:tabs>
      </w:pPr>
      <w:r>
        <w:t>《中华人民共和国固体废物污染环境防治法》（2005.4.1）；</w:t>
      </w:r>
    </w:p>
    <w:p>
      <w:pPr>
        <w:pStyle w:val="10"/>
        <w:tabs>
          <w:tab w:val="left" w:pos="896"/>
        </w:tabs>
      </w:pPr>
      <w:r>
        <w:t>《中华人民共和国清洁生产促进法》（2012.7.1）；</w:t>
      </w:r>
    </w:p>
    <w:p>
      <w:pPr>
        <w:pStyle w:val="10"/>
        <w:tabs>
          <w:tab w:val="left" w:pos="896"/>
        </w:tabs>
      </w:pPr>
      <w:r>
        <w:t>《中华人民共和国土地管理法》（1998.8.29）；</w:t>
      </w:r>
    </w:p>
    <w:p>
      <w:pPr>
        <w:pStyle w:val="10"/>
        <w:tabs>
          <w:tab w:val="left" w:pos="896"/>
        </w:tabs>
      </w:pPr>
      <w:r>
        <w:t>《中华人民共和国水土保持法》（2011.3.1）；</w:t>
      </w:r>
    </w:p>
    <w:p>
      <w:pPr>
        <w:pStyle w:val="10"/>
        <w:tabs>
          <w:tab w:val="left" w:pos="896"/>
        </w:tabs>
      </w:pPr>
      <w:r>
        <w:t>《建设项目环境保护管理条例》（国务院[1998]253号令）；</w:t>
      </w:r>
    </w:p>
    <w:p>
      <w:pPr>
        <w:pStyle w:val="10"/>
        <w:tabs>
          <w:tab w:val="left" w:pos="896"/>
        </w:tabs>
      </w:pPr>
      <w:r>
        <w:t>《国务院关于落实科学发展观加强环境保护的决定》（2005.12）；</w:t>
      </w:r>
    </w:p>
    <w:p>
      <w:pPr>
        <w:pStyle w:val="10"/>
        <w:tabs>
          <w:tab w:val="left" w:pos="896"/>
        </w:tabs>
      </w:pPr>
      <w:r>
        <w:t>《建设项目环境影响评价分类管理名录》（2008.10.1）；</w:t>
      </w:r>
    </w:p>
    <w:p>
      <w:pPr>
        <w:pStyle w:val="10"/>
        <w:tabs>
          <w:tab w:val="left" w:pos="896"/>
        </w:tabs>
      </w:pPr>
      <w:r>
        <w:t>《环境影响评价公众参与暂行办法》（环保总局环发[2006]28号，2006.2.14）；</w:t>
      </w:r>
    </w:p>
    <w:p>
      <w:pPr>
        <w:pStyle w:val="10"/>
        <w:tabs>
          <w:tab w:val="left" w:pos="896"/>
        </w:tabs>
      </w:pPr>
      <w:r>
        <w:t>《关于进一步加强环境影响评价管理防范环境风险的通知》（环发[2012]77号）；</w:t>
      </w:r>
    </w:p>
    <w:p>
      <w:pPr>
        <w:pStyle w:val="10"/>
        <w:tabs>
          <w:tab w:val="left" w:pos="896"/>
        </w:tabs>
      </w:pPr>
      <w:r>
        <w:rPr>
          <w:kern w:val="6"/>
        </w:rPr>
        <w:t>《关于切实加强风险防范严格环境影响评价管理的通知》（</w:t>
      </w:r>
      <w:r>
        <w:t>国家</w:t>
      </w:r>
      <w:r>
        <w:rPr>
          <w:kern w:val="6"/>
        </w:rPr>
        <w:t>环保部环发〔2012〕98号），2012.8.8；</w:t>
      </w:r>
    </w:p>
    <w:p>
      <w:pPr>
        <w:pStyle w:val="10"/>
        <w:tabs>
          <w:tab w:val="left" w:pos="896"/>
        </w:tabs>
      </w:pPr>
      <w:r>
        <w:t xml:space="preserve">《危险化学品安全管理条例》（国务院令第591号，2011.12.1）； </w:t>
      </w:r>
    </w:p>
    <w:p>
      <w:pPr>
        <w:pStyle w:val="10"/>
        <w:tabs>
          <w:tab w:val="left" w:pos="896"/>
        </w:tabs>
      </w:pPr>
      <w:r>
        <w:t>《国家危险废物名录》（环境保护部、国家发改委令第1号），2008.6；</w:t>
      </w:r>
    </w:p>
    <w:p>
      <w:pPr>
        <w:pStyle w:val="10"/>
        <w:tabs>
          <w:tab w:val="left" w:pos="896"/>
        </w:tabs>
        <w:rPr>
          <w:rFonts w:hint="eastAsia"/>
        </w:rPr>
      </w:pPr>
      <w:r>
        <w:rPr>
          <w:rFonts w:hint="eastAsia"/>
        </w:rPr>
        <w:t>《关于进一步推进建设项目环境监理试点工作的通知》（环办〔2012〕5号）；</w:t>
      </w:r>
    </w:p>
    <w:p>
      <w:pPr>
        <w:pStyle w:val="10"/>
        <w:tabs>
          <w:tab w:val="left" w:pos="896"/>
        </w:tabs>
        <w:rPr>
          <w:rFonts w:hint="eastAsia"/>
          <w:spacing w:val="-10"/>
        </w:rPr>
      </w:pPr>
      <w:r>
        <w:rPr>
          <w:rFonts w:hint="eastAsia"/>
        </w:rPr>
        <w:t>《关于保障工业企业场地在开发利用环境安全的通知》（环发[2012]140号）</w:t>
      </w:r>
      <w:r>
        <w:rPr>
          <w:spacing w:val="-10"/>
        </w:rPr>
        <w:t>；</w:t>
      </w:r>
    </w:p>
    <w:p>
      <w:pPr>
        <w:pStyle w:val="10"/>
        <w:tabs>
          <w:tab w:val="left" w:pos="896"/>
        </w:tabs>
      </w:pPr>
      <w:r>
        <w:t>《浙江省大气污染防治条例》（2003.1）；</w:t>
      </w:r>
    </w:p>
    <w:p>
      <w:pPr>
        <w:pStyle w:val="10"/>
        <w:tabs>
          <w:tab w:val="left" w:pos="896"/>
        </w:tabs>
      </w:pPr>
      <w:r>
        <w:t>《浙江省固体废物污染环境防治条例》（2006.6.1）；</w:t>
      </w:r>
    </w:p>
    <w:p>
      <w:pPr>
        <w:pStyle w:val="10"/>
        <w:tabs>
          <w:tab w:val="left" w:pos="896"/>
        </w:tabs>
      </w:pPr>
      <w:r>
        <w:t>《浙江省水污染防治条例》（2009.1.1）；</w:t>
      </w:r>
    </w:p>
    <w:p>
      <w:pPr>
        <w:pStyle w:val="10"/>
        <w:tabs>
          <w:tab w:val="left" w:pos="896"/>
        </w:tabs>
      </w:pPr>
      <w:r>
        <w:t>《浙江省曹娥江流域水环境保护条例》（2011.3.1）；</w:t>
      </w:r>
    </w:p>
    <w:p>
      <w:pPr>
        <w:pStyle w:val="10"/>
        <w:tabs>
          <w:tab w:val="left" w:pos="896"/>
        </w:tabs>
      </w:pPr>
      <w:r>
        <w:t>《浙江省建设项目环境保护管理办法》（省政府288号令，2011.12）；</w:t>
      </w:r>
    </w:p>
    <w:p>
      <w:pPr>
        <w:pStyle w:val="10"/>
        <w:tabs>
          <w:tab w:val="left" w:pos="896"/>
        </w:tabs>
        <w:sectPr>
          <w:headerReference w:type="default" r:id="rId10"/>
          <w:footerReference w:type="default" r:id="rId11"/>
          <w:type w:val="nextPage"/>
          <w:pgSz w:w="11907" w:h="16840"/>
          <w:pgMar w:top="1418" w:right="1701" w:bottom="1559" w:left="1701" w:header="902" w:footer="907" w:gutter="0"/>
          <w:pgNumType w:start="2"/>
          <w:cols w:space="708"/>
          <w:titlePg w:val="0"/>
          <w:docGrid w:type="linesAndChars" w:linePitch="433" w:charSpace="-3315"/>
        </w:sectPr>
      </w:pPr>
      <w:r>
        <w:t>《浙江省环境污染监督管理办法（2011年修正本）》（2011.12.31）；</w:t>
      </w:r>
    </w:p>
    <w:p>
      <w:pPr>
        <w:pStyle w:val="10"/>
        <w:tabs>
          <w:tab w:val="left" w:pos="896"/>
        </w:tabs>
      </w:pPr>
      <w:r>
        <w:t>《关于落实科学发展观加强环境保护的若干意见》(省委、省政府，2006.8.24)；</w:t>
      </w:r>
    </w:p>
    <w:p>
      <w:pPr>
        <w:pStyle w:val="10"/>
        <w:tabs>
          <w:tab w:val="left" w:pos="896"/>
        </w:tabs>
      </w:pPr>
      <w:r>
        <w:t>《关于进一步加强环境监管严防发生污染事故的通知》(省环保局浙环发[2005]59号)；</w:t>
      </w:r>
    </w:p>
    <w:p>
      <w:pPr>
        <w:pStyle w:val="10"/>
        <w:tabs>
          <w:tab w:val="left" w:pos="896"/>
        </w:tabs>
      </w:pPr>
      <w:r>
        <w:t>《关于加强全省工业项目新增污染控制意见的通知》，2005.10.12；</w:t>
      </w:r>
    </w:p>
    <w:p>
      <w:pPr>
        <w:pStyle w:val="10"/>
        <w:tabs>
          <w:tab w:val="left" w:pos="896"/>
        </w:tabs>
      </w:pPr>
      <w:r>
        <w:t>《</w:t>
      </w:r>
      <w:hyperlink r:id="rId12" w:tgtFrame="det" w:history="1">
        <w:r>
          <w:t>转发环境保护部关于切实加强风险防范严格环境影响评价管理的通知</w:t>
        </w:r>
      </w:hyperlink>
      <w:r>
        <w:t>》（浙环办函[2012]280号）；</w:t>
      </w:r>
    </w:p>
    <w:p>
      <w:pPr>
        <w:pStyle w:val="10"/>
        <w:tabs>
          <w:tab w:val="left" w:pos="896"/>
        </w:tabs>
      </w:pPr>
      <w:r>
        <w:t>《浙江省企业事业单位突发环境事件应急预案管理实施办法（试行）》（浙环函[2012]449号）；</w:t>
      </w:r>
    </w:p>
    <w:p>
      <w:pPr>
        <w:pStyle w:val="10"/>
        <w:tabs>
          <w:tab w:val="left" w:pos="896"/>
        </w:tabs>
      </w:pPr>
      <w:r>
        <w:t>《关于印发浙江省主要污染物总量减排管理、监测、统计和考核四个办法的通知》（浙环发[2007]57号）；</w:t>
      </w:r>
    </w:p>
    <w:p>
      <w:pPr>
        <w:pStyle w:val="10"/>
        <w:tabs>
          <w:tab w:val="left" w:pos="896"/>
        </w:tabs>
      </w:pPr>
      <w:r>
        <w:t>关于印发《浙江省建设项目主要污染物总量准入审核办法（试行）》的通知（浙环发[2012]10号）；</w:t>
      </w:r>
    </w:p>
    <w:p>
      <w:pPr>
        <w:pStyle w:val="10"/>
        <w:tabs>
          <w:tab w:val="left" w:pos="896"/>
        </w:tabs>
      </w:pPr>
      <w:r>
        <w:t>《关于进一步加强环境影响评价管理工作的通知》（省环保局浙环发[2007]11号）；</w:t>
      </w:r>
    </w:p>
    <w:p>
      <w:pPr>
        <w:pStyle w:val="10"/>
        <w:tabs>
          <w:tab w:val="left" w:pos="896"/>
        </w:tabs>
      </w:pPr>
      <w:r>
        <w:t>《关于印发&lt;浙江省环保局建设项目环境影响评价文件审批程序若干规定&gt;等文件的通知》（省环保局浙环发[2007]12号）；</w:t>
      </w:r>
    </w:p>
    <w:p>
      <w:pPr>
        <w:pStyle w:val="10"/>
        <w:tabs>
          <w:tab w:val="left" w:pos="896"/>
        </w:tabs>
      </w:pPr>
      <w:r>
        <w:t>《关于切实加强建设项目环境影响评价公众参与工作的实施意见》（省环保局，浙环发[2008]55号），2008.9.26；</w:t>
      </w:r>
    </w:p>
    <w:p>
      <w:pPr>
        <w:pStyle w:val="10"/>
        <w:tabs>
          <w:tab w:val="left" w:pos="896"/>
        </w:tabs>
      </w:pPr>
      <w:r>
        <w:t>《关于进一步加强建设项目“三同时”管理工作的通知》（省环保局浙环发[2008]59号）；</w:t>
      </w:r>
    </w:p>
    <w:p>
      <w:pPr>
        <w:pStyle w:val="10"/>
        <w:tabs>
          <w:tab w:val="left" w:pos="896"/>
        </w:tabs>
      </w:pPr>
      <w:r>
        <w:t>《浙江省人民政府办公厅关于印发浙江省建设项目环境影响评价文件分级审批管理办法的通知》（省人民政府办公厅浙政办发[2012]132号）；</w:t>
      </w:r>
    </w:p>
    <w:p>
      <w:pPr>
        <w:pStyle w:val="10"/>
        <w:tabs>
          <w:tab w:val="left" w:pos="896"/>
        </w:tabs>
      </w:pPr>
      <w:r>
        <w:t xml:space="preserve">《关于进一步加强建设项目固体废物环境管理的通知》（省环保厅浙环发[2009]76号）； </w:t>
      </w:r>
    </w:p>
    <w:p>
      <w:pPr>
        <w:pStyle w:val="10"/>
        <w:tabs>
          <w:tab w:val="left" w:pos="896"/>
        </w:tabs>
      </w:pPr>
      <w:r>
        <w:t>《关于进一步建立完善建设项目环评审批污染物总量削减替代区域限批等制度的通知》（省环保厅浙环发[2009]77号）；</w:t>
      </w:r>
    </w:p>
    <w:p>
      <w:pPr>
        <w:pStyle w:val="10"/>
        <w:tabs>
          <w:tab w:val="left" w:pos="896"/>
        </w:tabs>
      </w:pPr>
      <w:r>
        <w:t>《关于进一步规范建设项目环境监理工作的通知》(省环保厅浙环发[2009]80号文)；</w:t>
      </w:r>
    </w:p>
    <w:p>
      <w:pPr>
        <w:pStyle w:val="10"/>
        <w:tabs>
          <w:tab w:val="left" w:pos="896"/>
        </w:tabs>
      </w:pPr>
      <w:r>
        <w:t>《浙江省有害废物名录</w:t>
      </w:r>
      <w:r>
        <w:rPr>
          <w:sz w:val="28"/>
        </w:rPr>
        <w:t>》(</w:t>
      </w:r>
      <w:r>
        <w:t>浙环发[2009]  35号文)；</w:t>
      </w:r>
    </w:p>
    <w:p>
      <w:pPr>
        <w:pStyle w:val="10"/>
        <w:tabs>
          <w:tab w:val="left" w:pos="896"/>
        </w:tabs>
        <w:sectPr>
          <w:headerReference w:type="default" r:id="rId13"/>
          <w:footerReference w:type="default" r:id="rId14"/>
          <w:type w:val="nextPage"/>
          <w:pgSz w:w="11907" w:h="16840"/>
          <w:pgMar w:top="1418" w:right="1701" w:bottom="1559" w:left="1701" w:header="902" w:footer="907" w:gutter="0"/>
          <w:pgNumType w:start="3"/>
          <w:cols w:space="708"/>
          <w:titlePg w:val="0"/>
          <w:docGrid w:type="linesAndChars" w:linePitch="433" w:charSpace="-3315"/>
        </w:sectPr>
      </w:pPr>
      <w:r>
        <w:rPr>
          <w:rFonts w:hint="eastAsia"/>
        </w:rPr>
        <w:t>《关于印发浙江省印染造纸制革化工等行业整治提升方案的通知》（浙环发[2012]60号）；</w:t>
      </w:r>
    </w:p>
    <w:p>
      <w:pPr>
        <w:pStyle w:val="10"/>
        <w:numPr>
          <w:numId w:val="15"/>
        </w:numPr>
        <w:rPr>
          <w:rFonts w:hint="eastAsia"/>
        </w:rPr>
      </w:pPr>
      <w:r>
        <w:rPr>
          <w:rFonts w:hint="eastAsia"/>
        </w:rPr>
        <w:t>《关于加强工业企业污染场地开发利用监督管理的通知》（</w:t>
      </w:r>
      <w:r>
        <w:t>省厅浙环发[2013]28号</w:t>
      </w:r>
      <w:r>
        <w:rPr>
          <w:rFonts w:hint="eastAsia"/>
        </w:rPr>
        <w:t>）；</w:t>
      </w:r>
    </w:p>
    <w:p>
      <w:pPr>
        <w:pStyle w:val="10"/>
        <w:numPr>
          <w:numId w:val="15"/>
        </w:numPr>
      </w:pPr>
      <w:r>
        <w:t>《绍兴市区城市扬尘污染防治管理办法（试行）》（绍政发[2011]41号文附件）；</w:t>
      </w:r>
    </w:p>
    <w:p>
      <w:pPr>
        <w:pStyle w:val="10"/>
        <w:numPr>
          <w:numId w:val="15"/>
        </w:numPr>
      </w:pPr>
      <w:r>
        <w:t>绍兴市环保局文件《关于切实加强工业企业搬迁转型中土壤环境治理监管工作的通知》（绍市环发[2008]67号）；</w:t>
      </w:r>
    </w:p>
    <w:p>
      <w:pPr>
        <w:pStyle w:val="10"/>
        <w:numPr>
          <w:numId w:val="15"/>
        </w:numPr>
      </w:pPr>
      <w:r>
        <w:t>《绍兴市建设项目环评审批污染物排放总量削减替代制度》（绍市环发[2010]25号文）；</w:t>
      </w:r>
    </w:p>
    <w:p>
      <w:pPr>
        <w:pStyle w:val="10"/>
        <w:numPr>
          <w:numId w:val="15"/>
        </w:numPr>
      </w:pPr>
      <w:r>
        <w:t>《绍兴市区餐厨垃圾管理办法（试行）》（绍政办发[2012]23号）；</w:t>
      </w:r>
    </w:p>
    <w:p>
      <w:pPr>
        <w:pStyle w:val="10"/>
        <w:numPr>
          <w:numId w:val="15"/>
        </w:numPr>
      </w:pPr>
      <w:r>
        <w:t>《关于规范落实建设项目环境影响评价公众参与制度的通知》（绍市环发[2011]50号）；</w:t>
      </w:r>
    </w:p>
    <w:p>
      <w:pPr>
        <w:pStyle w:val="10"/>
        <w:numPr>
          <w:numId w:val="15"/>
        </w:numPr>
      </w:pPr>
      <w:r>
        <w:t>市人民政府办公室《关于印发绍兴市印染造纸制革化工等行业整治提升实施方案》（绍政办发[2013]29号）；</w:t>
      </w:r>
    </w:p>
    <w:p>
      <w:pPr>
        <w:pStyle w:val="10"/>
        <w:numPr>
          <w:numId w:val="15"/>
        </w:numPr>
      </w:pPr>
      <w:r>
        <w:t>《绍兴市环保局关于印发&lt;绍兴印染产业集聚升级环境准入若干意见&gt;的通知》(绍市环发</w:t>
      </w:r>
      <w:r>
        <w:rPr>
          <w:szCs w:val="21"/>
        </w:rPr>
        <w:t>[2012]7</w:t>
      </w:r>
      <w:r>
        <w:t>5号)；</w:t>
      </w:r>
    </w:p>
    <w:p>
      <w:pPr>
        <w:pStyle w:val="10"/>
        <w:numPr>
          <w:numId w:val="15"/>
        </w:numPr>
      </w:pPr>
      <w:r>
        <w:t>《关于印发&lt;绍兴印染产业集聚升级环境准入若干意见&gt;补充意见的通知》（绍市环发</w:t>
      </w:r>
      <w:r>
        <w:rPr>
          <w:szCs w:val="21"/>
        </w:rPr>
        <w:t>[2013]1</w:t>
      </w:r>
      <w:r>
        <w:t>5号）；</w:t>
      </w:r>
    </w:p>
    <w:p>
      <w:pPr>
        <w:pStyle w:val="10"/>
        <w:numPr>
          <w:numId w:val="15"/>
        </w:numPr>
      </w:pPr>
      <w:r>
        <w:rPr>
          <w:rFonts w:hint="eastAsia"/>
        </w:rPr>
        <w:t>《</w:t>
      </w:r>
      <w:r>
        <w:t>绍兴市环保局关于切实加强印染企业废包装袋（桶）等危险废物环境管理的通知</w:t>
      </w:r>
      <w:r>
        <w:rPr>
          <w:rFonts w:hint="eastAsia"/>
        </w:rPr>
        <w:t>》</w:t>
      </w:r>
      <w:r>
        <w:t>（绍市环发</w:t>
      </w:r>
      <w:r>
        <w:rPr>
          <w:szCs w:val="21"/>
        </w:rPr>
        <w:t>[2012]76</w:t>
      </w:r>
      <w:r>
        <w:t>号）；</w:t>
      </w:r>
    </w:p>
    <w:p>
      <w:pPr>
        <w:pStyle w:val="10"/>
        <w:numPr>
          <w:numId w:val="15"/>
        </w:numPr>
        <w:rPr>
          <w:rFonts w:hint="eastAsia"/>
        </w:rPr>
      </w:pPr>
      <w:r>
        <w:rPr>
          <w:rFonts w:hint="eastAsia"/>
        </w:rPr>
        <w:t>《关于印发</w:t>
      </w:r>
      <w:r>
        <w:t>&lt;</w:t>
      </w:r>
      <w:r>
        <w:rPr>
          <w:rFonts w:hint="eastAsia"/>
        </w:rPr>
        <w:t>浙江省建设项目环境监理试点工作实施方案</w:t>
      </w:r>
      <w:r>
        <w:t>&gt;</w:t>
      </w:r>
      <w:r>
        <w:rPr>
          <w:rFonts w:hint="eastAsia"/>
        </w:rPr>
        <w:t>的通知》（浙环发[2012]41号），2012.5.10；</w:t>
      </w:r>
    </w:p>
    <w:p>
      <w:pPr>
        <w:pStyle w:val="10"/>
        <w:numPr>
          <w:numId w:val="15"/>
        </w:numPr>
        <w:rPr>
          <w:szCs w:val="32"/>
        </w:rPr>
      </w:pPr>
      <w:r>
        <w:rPr>
          <w:szCs w:val="32"/>
        </w:rPr>
        <w:t>关于进一步明确印染行业整治验收执行《纺织染整工业水污染物排放标准》的通知（</w:t>
      </w:r>
      <w:r>
        <w:rPr>
          <w:szCs w:val="32"/>
        </w:rPr>
        <w:fldChar w:fldCharType="begin"/>
      </w:r>
      <w:r>
        <w:rPr>
          <w:szCs w:val="32"/>
        </w:rPr>
        <w:instrText xml:space="preserve"> MERGEFIELD 文件字号 </w:instrText>
      </w:r>
      <w:r>
        <w:rPr>
          <w:szCs w:val="32"/>
        </w:rPr>
        <w:fldChar w:fldCharType="separate"/>
      </w:r>
      <w:r>
        <w:rPr>
          <w:szCs w:val="32"/>
        </w:rPr>
        <w:t>绍市生态办函</w:t>
      </w:r>
      <w:r>
        <w:rPr>
          <w:szCs w:val="21"/>
        </w:rPr>
        <w:t>[</w:t>
      </w:r>
      <w:r>
        <w:rPr>
          <w:szCs w:val="32"/>
        </w:rPr>
        <w:t>2013</w:t>
      </w:r>
      <w:r>
        <w:rPr>
          <w:szCs w:val="21"/>
        </w:rPr>
        <w:t>]</w:t>
      </w:r>
      <w:r>
        <w:rPr>
          <w:szCs w:val="32"/>
        </w:rPr>
        <w:t>9号</w:t>
      </w:r>
      <w:r>
        <w:rPr>
          <w:szCs w:val="32"/>
        </w:rPr>
        <w:fldChar w:fldCharType="end"/>
      </w:r>
      <w:r>
        <w:rPr>
          <w:szCs w:val="32"/>
        </w:rPr>
        <w:t>）；</w:t>
      </w:r>
    </w:p>
    <w:p>
      <w:pPr>
        <w:pStyle w:val="10"/>
        <w:numPr>
          <w:numId w:val="15"/>
        </w:numPr>
        <w:rPr>
          <w:rFonts w:hint="eastAsia"/>
        </w:rPr>
      </w:pPr>
      <w:r>
        <w:rPr>
          <w:szCs w:val="32"/>
        </w:rPr>
        <w:t>《关于进一步明确印染企业定型机废气深度治理相关要求的通知》（</w:t>
      </w:r>
      <w:r>
        <w:rPr>
          <w:szCs w:val="32"/>
        </w:rPr>
        <w:fldChar w:fldCharType="begin"/>
      </w:r>
      <w:r>
        <w:rPr>
          <w:szCs w:val="32"/>
        </w:rPr>
        <w:instrText xml:space="preserve"> MERGEFIELD 文件字号 </w:instrText>
      </w:r>
      <w:r>
        <w:rPr>
          <w:szCs w:val="32"/>
        </w:rPr>
        <w:fldChar w:fldCharType="separate"/>
      </w:r>
      <w:r>
        <w:rPr>
          <w:szCs w:val="32"/>
        </w:rPr>
        <w:fldChar w:fldCharType="begin"/>
      </w:r>
      <w:r>
        <w:rPr>
          <w:szCs w:val="32"/>
        </w:rPr>
        <w:instrText xml:space="preserve"> MERGEFIELD 文件字号 </w:instrText>
      </w:r>
      <w:r>
        <w:rPr>
          <w:szCs w:val="32"/>
        </w:rPr>
        <w:fldChar w:fldCharType="separate"/>
      </w:r>
      <w:r>
        <w:rPr>
          <w:szCs w:val="32"/>
        </w:rPr>
        <w:t>绍市环函</w:t>
      </w:r>
      <w:r>
        <w:rPr>
          <w:szCs w:val="21"/>
        </w:rPr>
        <w:t>[</w:t>
      </w:r>
      <w:r>
        <w:rPr>
          <w:szCs w:val="32"/>
        </w:rPr>
        <w:t>2013</w:t>
      </w:r>
      <w:r>
        <w:rPr>
          <w:szCs w:val="21"/>
        </w:rPr>
        <w:t>]</w:t>
      </w:r>
      <w:r>
        <w:rPr>
          <w:szCs w:val="32"/>
        </w:rPr>
        <w:t>93号</w:t>
      </w:r>
      <w:r>
        <w:rPr>
          <w:szCs w:val="32"/>
        </w:rPr>
        <w:fldChar w:fldCharType="end"/>
      </w:r>
      <w:r>
        <w:rPr>
          <w:szCs w:val="32"/>
        </w:rPr>
        <w:fldChar w:fldCharType="end"/>
      </w:r>
      <w:r>
        <w:rPr>
          <w:szCs w:val="32"/>
        </w:rPr>
        <w:t>）</w:t>
      </w:r>
      <w:r>
        <w:rPr>
          <w:rFonts w:hint="eastAsia"/>
          <w:szCs w:val="32"/>
        </w:rPr>
        <w:t>；</w:t>
      </w:r>
    </w:p>
    <w:p>
      <w:pPr>
        <w:pStyle w:val="10"/>
        <w:numPr>
          <w:numId w:val="15"/>
        </w:numPr>
      </w:pPr>
      <w:r>
        <w:rPr>
          <w:rFonts w:hint="eastAsia"/>
        </w:rPr>
        <w:t>《</w:t>
      </w:r>
      <w:r>
        <w:t>上虞市人民政府办公室关于上虞市水处理发展有限责任公司实施提标运行的通知</w:t>
      </w:r>
      <w:r>
        <w:rPr>
          <w:rFonts w:hint="eastAsia"/>
        </w:rPr>
        <w:t>》（</w:t>
      </w:r>
      <w:r>
        <w:t>虞政办发〔2013〕195号</w:t>
      </w:r>
      <w:r>
        <w:rPr>
          <w:rFonts w:hint="eastAsia"/>
        </w:rPr>
        <w:t>），2013.7.8</w:t>
      </w:r>
      <w:r>
        <w:t>。</w:t>
      </w:r>
    </w:p>
    <w:p>
      <w:pPr>
        <w:pStyle w:val="Heading3"/>
        <w:ind w:left="0"/>
      </w:pPr>
      <w:r>
        <w:t>产业政策及相关行业规范</w:t>
      </w:r>
    </w:p>
    <w:p>
      <w:pPr>
        <w:pStyle w:val="10"/>
        <w:numPr>
          <w:numId w:val="14"/>
        </w:numPr>
      </w:pPr>
      <w:r>
        <w:t>《外商投资产业指导目录》（2011年修订）；</w:t>
      </w:r>
    </w:p>
    <w:p>
      <w:pPr>
        <w:pStyle w:val="10"/>
        <w:numPr>
          <w:numId w:val="15"/>
        </w:numPr>
        <w:sectPr>
          <w:headerReference w:type="default" r:id="rId15"/>
          <w:footerReference w:type="default" r:id="rId16"/>
          <w:type w:val="nextPage"/>
          <w:pgSz w:w="11907" w:h="16840"/>
          <w:pgMar w:top="1418" w:right="1701" w:bottom="1559" w:left="1701" w:header="902" w:footer="907" w:gutter="0"/>
          <w:pgNumType w:start="4"/>
          <w:cols w:space="708"/>
          <w:titlePg w:val="0"/>
          <w:docGrid w:type="linesAndChars" w:linePitch="433" w:charSpace="-3315"/>
        </w:sectPr>
      </w:pPr>
      <w:r>
        <w:t>《产业结构调整指导目录（2011年本）（修正）》（国家发改委2012第21号令），2013.2.16；</w:t>
      </w:r>
    </w:p>
    <w:p>
      <w:pPr>
        <w:pStyle w:val="10"/>
        <w:numPr>
          <w:numId w:val="17"/>
        </w:numPr>
      </w:pPr>
      <w:r>
        <w:rPr>
          <w:szCs w:val="24"/>
        </w:rPr>
        <w:t>《当前部分行业制止低水平重复建设目录》，（发改委、中银、中银监，发改产业[2004]746号附件）；</w:t>
      </w:r>
    </w:p>
    <w:p>
      <w:pPr>
        <w:pStyle w:val="10"/>
        <w:numPr>
          <w:numId w:val="17"/>
        </w:numPr>
      </w:pPr>
      <w:r>
        <w:t>《部分工业行业淘汰落后生产工艺装备和产品指导目录(2010年本)》（工产业[2010]第122号）；</w:t>
      </w:r>
    </w:p>
    <w:p>
      <w:pPr>
        <w:pStyle w:val="10"/>
        <w:numPr>
          <w:numId w:val="17"/>
        </w:numPr>
      </w:pPr>
      <w:r>
        <w:rPr>
          <w:szCs w:val="24"/>
        </w:rPr>
        <w:t>《限制用地项目目录（2012年本）》和《禁止用地项目目录（2012年本）》的通知；</w:t>
      </w:r>
    </w:p>
    <w:p>
      <w:pPr>
        <w:pStyle w:val="10"/>
        <w:numPr>
          <w:numId w:val="17"/>
        </w:numPr>
      </w:pPr>
      <w:r>
        <w:rPr>
          <w:szCs w:val="24"/>
        </w:rPr>
        <w:t>《关于加快纺织行业结构调整促进产业升级若干意见的通知》，（国家发改委等发改运行[2006]762号），2006.4.29；</w:t>
      </w:r>
    </w:p>
    <w:p>
      <w:pPr>
        <w:pStyle w:val="10"/>
        <w:numPr>
          <w:numId w:val="17"/>
        </w:numPr>
      </w:pPr>
      <w:r>
        <w:t>《印染行业准入条件（2010年修订版）》（工消费[2010]第93号）；</w:t>
      </w:r>
    </w:p>
    <w:p>
      <w:pPr>
        <w:pStyle w:val="10"/>
        <w:numPr>
          <w:numId w:val="17"/>
        </w:numPr>
      </w:pPr>
      <w:r>
        <w:t>《印染行业废水污染防治技术政策》（环发[2001]118号），2001.8施行；</w:t>
      </w:r>
    </w:p>
    <w:p>
      <w:pPr>
        <w:pStyle w:val="10"/>
        <w:numPr>
          <w:numId w:val="17"/>
        </w:numPr>
      </w:pPr>
      <w:r>
        <w:t>《纺织工业调整和振兴规划》（2009-2011），国务院；</w:t>
      </w:r>
    </w:p>
    <w:p>
      <w:pPr>
        <w:pStyle w:val="10"/>
        <w:numPr>
          <w:numId w:val="17"/>
        </w:numPr>
      </w:pPr>
      <w:r>
        <w:t>《纺织工业技术进步与技术改造投资方向（2009~2011年）》（国家工信部）；</w:t>
      </w:r>
    </w:p>
    <w:p>
      <w:pPr>
        <w:pStyle w:val="10"/>
        <w:numPr>
          <w:numId w:val="17"/>
        </w:numPr>
      </w:pPr>
      <w:r>
        <w:t>《国家发展改革委关于印发天然气利用政策的通知》 (发改能源[2007]2155号)，2007.8.30；</w:t>
      </w:r>
    </w:p>
    <w:p>
      <w:pPr>
        <w:pStyle w:val="10"/>
        <w:numPr>
          <w:numId w:val="17"/>
        </w:numPr>
      </w:pPr>
      <w:r>
        <w:t>《浙江省淘汰和禁止发展的落后生产能力目录（2012年本）》（浙淘汰办〔2012〕12号文附件）；</w:t>
      </w:r>
    </w:p>
    <w:p>
      <w:pPr>
        <w:pStyle w:val="10"/>
        <w:numPr>
          <w:numId w:val="17"/>
        </w:numPr>
      </w:pPr>
      <w:r>
        <w:t>《浙江省印染产业环境准入指导意见》</w:t>
      </w:r>
      <w:bookmarkStart w:id="11" w:name="字A"/>
      <w:r>
        <w:t>（</w:t>
      </w:r>
      <w:r>
        <w:rPr>
          <w:szCs w:val="24"/>
        </w:rPr>
        <w:t>浙环发</w:t>
      </w:r>
      <w:bookmarkStart w:id="12" w:name="字B"/>
      <w:bookmarkStart w:id="13" w:name="字C"/>
      <w:bookmarkEnd w:id="12"/>
      <w:bookmarkEnd w:id="11"/>
      <w:r>
        <w:rPr>
          <w:szCs w:val="24"/>
        </w:rPr>
        <w:t>[2009</w:t>
      </w:r>
      <w:bookmarkStart w:id="14" w:name="字D"/>
      <w:bookmarkEnd w:id="13"/>
      <w:r>
        <w:rPr>
          <w:szCs w:val="24"/>
        </w:rPr>
        <w:t>]19</w:t>
      </w:r>
      <w:bookmarkEnd w:id="14"/>
      <w:r>
        <w:rPr>
          <w:szCs w:val="24"/>
        </w:rPr>
        <w:t>号</w:t>
      </w:r>
      <w:r>
        <w:t>）</w:t>
      </w:r>
      <w:r>
        <w:rPr>
          <w:szCs w:val="24"/>
        </w:rPr>
        <w:t>；</w:t>
      </w:r>
    </w:p>
    <w:p>
      <w:pPr>
        <w:pStyle w:val="10"/>
        <w:numPr>
          <w:numId w:val="17"/>
        </w:numPr>
      </w:pPr>
      <w:r>
        <w:t>《绍兴市产业结构调整导向目录（2010—2011年）》（绍政办发[2010]36号）；</w:t>
      </w:r>
    </w:p>
    <w:p>
      <w:pPr>
        <w:pStyle w:val="10"/>
        <w:numPr>
          <w:numId w:val="17"/>
        </w:numPr>
      </w:pPr>
      <w:r>
        <w:t>《绍兴市强制淘汰落后产能目录2011年本》（绍政办发（2011）135号）；</w:t>
      </w:r>
    </w:p>
    <w:p>
      <w:pPr>
        <w:pStyle w:val="10"/>
        <w:numPr>
          <w:numId w:val="17"/>
        </w:numPr>
        <w:rPr>
          <w:rFonts w:hint="eastAsia"/>
        </w:rPr>
      </w:pPr>
      <w:r>
        <w:t>《绍兴市纺织产业提升发展规划及政策（2008年12月）》。</w:t>
      </w:r>
    </w:p>
    <w:p>
      <w:pPr>
        <w:pStyle w:val="Heading3"/>
        <w:ind w:left="0"/>
      </w:pPr>
      <w:r>
        <w:t>技术规范</w:t>
      </w:r>
    </w:p>
    <w:p>
      <w:pPr>
        <w:pStyle w:val="10"/>
        <w:numPr>
          <w:numId w:val="16"/>
        </w:numPr>
        <w:tabs>
          <w:tab w:val="left" w:pos="851"/>
          <w:tab w:val="clear" w:pos="896"/>
        </w:tabs>
      </w:pPr>
      <w:r>
        <w:t>《环境影响评价技术导则-总纲》HJ2.1-2011；</w:t>
      </w:r>
    </w:p>
    <w:p>
      <w:pPr>
        <w:pStyle w:val="10"/>
        <w:numPr>
          <w:numId w:val="17"/>
        </w:numPr>
        <w:tabs>
          <w:tab w:val="left" w:pos="851"/>
          <w:tab w:val="clear" w:pos="896"/>
        </w:tabs>
      </w:pPr>
      <w:r>
        <w:t>《环境影响评价技术导则-大气环境》HJ2.2-2008；</w:t>
      </w:r>
    </w:p>
    <w:p>
      <w:pPr>
        <w:pStyle w:val="10"/>
        <w:numPr>
          <w:numId w:val="17"/>
        </w:numPr>
        <w:tabs>
          <w:tab w:val="left" w:pos="851"/>
          <w:tab w:val="clear" w:pos="896"/>
        </w:tabs>
      </w:pPr>
      <w:r>
        <w:t>《环境影响评价技术导则-地面水环境》HJ/T2.3-93；</w:t>
      </w:r>
    </w:p>
    <w:p>
      <w:pPr>
        <w:pStyle w:val="10"/>
        <w:numPr>
          <w:numId w:val="17"/>
        </w:numPr>
        <w:tabs>
          <w:tab w:val="left" w:pos="851"/>
          <w:tab w:val="clear" w:pos="896"/>
        </w:tabs>
      </w:pPr>
      <w:r>
        <w:t>《环境影响评价技术导则-声环境》HJ2.4-2009；</w:t>
      </w:r>
    </w:p>
    <w:p>
      <w:pPr>
        <w:pStyle w:val="10"/>
        <w:numPr>
          <w:numId w:val="17"/>
        </w:numPr>
        <w:tabs>
          <w:tab w:val="left" w:pos="851"/>
          <w:tab w:val="clear" w:pos="896"/>
        </w:tabs>
      </w:pPr>
      <w:r>
        <w:t>《环境影响评价技术导则-生态影响》HJ 19-2011；</w:t>
      </w:r>
    </w:p>
    <w:p>
      <w:pPr>
        <w:pStyle w:val="10"/>
        <w:numPr>
          <w:numId w:val="17"/>
        </w:numPr>
        <w:tabs>
          <w:tab w:val="left" w:pos="851"/>
          <w:tab w:val="clear" w:pos="896"/>
        </w:tabs>
      </w:pPr>
      <w:r>
        <w:t>《建设项目环境风险评价技术导则》HJ/T169-2004；</w:t>
      </w:r>
    </w:p>
    <w:p>
      <w:pPr>
        <w:pStyle w:val="10"/>
        <w:numPr>
          <w:numId w:val="17"/>
        </w:numPr>
        <w:tabs>
          <w:tab w:val="left" w:pos="851"/>
          <w:tab w:val="clear" w:pos="896"/>
        </w:tabs>
      </w:pPr>
      <w:r>
        <w:t>《环境影响评价技术导则-地下水环境》HJ610-2011；</w:t>
      </w:r>
    </w:p>
    <w:p>
      <w:pPr>
        <w:pStyle w:val="10"/>
        <w:numPr>
          <w:numId w:val="17"/>
        </w:numPr>
        <w:tabs>
          <w:tab w:val="left" w:pos="851"/>
          <w:tab w:val="clear" w:pos="896"/>
        </w:tabs>
        <w:rPr>
          <w:szCs w:val="24"/>
        </w:rPr>
        <w:sectPr>
          <w:headerReference w:type="default" r:id="rId17"/>
          <w:footerReference w:type="default" r:id="rId18"/>
          <w:type w:val="nextPage"/>
          <w:pgSz w:w="11907" w:h="16840"/>
          <w:pgMar w:top="1418" w:right="1701" w:bottom="1559" w:left="1701" w:header="902" w:footer="907" w:gutter="0"/>
          <w:pgNumType w:start="5"/>
          <w:cols w:space="708"/>
          <w:titlePg w:val="0"/>
          <w:docGrid w:type="linesAndChars" w:linePitch="433" w:charSpace="-3315"/>
        </w:sectPr>
      </w:pPr>
      <w:r>
        <w:rPr>
          <w:szCs w:val="24"/>
        </w:rPr>
        <w:t>《印染行业清洁生产评价指标体系（试行）》（国家发改委），2006.12.1；</w:t>
      </w:r>
    </w:p>
    <w:p>
      <w:pPr>
        <w:pStyle w:val="10"/>
        <w:numPr>
          <w:numId w:val="19"/>
        </w:numPr>
        <w:tabs>
          <w:tab w:val="left" w:pos="851"/>
          <w:tab w:val="clear" w:pos="896"/>
        </w:tabs>
      </w:pPr>
      <w:hyperlink r:id="rId19" w:tgtFrame="_self" w:history="1">
        <w:r>
          <w:t>《清洁生产标准纺织业（棉印染）》</w:t>
        </w:r>
      </w:hyperlink>
      <w:r>
        <w:t>（HJ/T185-2006）；</w:t>
      </w:r>
    </w:p>
    <w:p>
      <w:pPr>
        <w:pStyle w:val="10"/>
        <w:numPr>
          <w:numId w:val="19"/>
        </w:numPr>
        <w:tabs>
          <w:tab w:val="left" w:pos="851"/>
          <w:tab w:val="clear" w:pos="896"/>
        </w:tabs>
      </w:pPr>
      <w:r>
        <w:rPr>
          <w:szCs w:val="24"/>
        </w:rPr>
        <w:t>《纺织染整工业废水治理工程技术规范》HJ471-2009；</w:t>
      </w:r>
    </w:p>
    <w:p>
      <w:pPr>
        <w:pStyle w:val="10"/>
        <w:numPr>
          <w:numId w:val="19"/>
        </w:numPr>
        <w:tabs>
          <w:tab w:val="left" w:pos="851"/>
          <w:tab w:val="clear" w:pos="896"/>
        </w:tabs>
        <w:rPr>
          <w:szCs w:val="24"/>
        </w:rPr>
      </w:pPr>
      <w:r>
        <w:t>《危险化学品重大危险源辨识》（GB18218</w:t>
      </w:r>
      <w:r>
        <w:rPr>
          <w:rFonts w:hint="eastAsia"/>
        </w:rPr>
        <w:t>-</w:t>
      </w:r>
      <w:r>
        <w:t>2009）；</w:t>
      </w:r>
    </w:p>
    <w:p>
      <w:pPr>
        <w:pStyle w:val="10"/>
        <w:numPr>
          <w:numId w:val="19"/>
        </w:numPr>
        <w:tabs>
          <w:tab w:val="left" w:pos="851"/>
          <w:tab w:val="clear" w:pos="896"/>
        </w:tabs>
        <w:rPr>
          <w:szCs w:val="24"/>
        </w:rPr>
      </w:pPr>
      <w:r>
        <w:rPr>
          <w:szCs w:val="24"/>
        </w:rPr>
        <w:t>《印染企业综合能耗计算方法及基本定额》（FZ/T01002-2010）；</w:t>
      </w:r>
    </w:p>
    <w:p>
      <w:pPr>
        <w:pStyle w:val="10"/>
        <w:numPr>
          <w:numId w:val="19"/>
        </w:numPr>
        <w:tabs>
          <w:tab w:val="left" w:pos="851"/>
          <w:tab w:val="clear" w:pos="896"/>
        </w:tabs>
        <w:rPr>
          <w:szCs w:val="24"/>
        </w:rPr>
      </w:pPr>
      <w:hyperlink r:id="rId19" w:tgtFrame="_self" w:history="1">
        <w:r>
          <w:t xml:space="preserve"> 浙江省《印染布可比单位综合能耗限额及计算方法》</w:t>
        </w:r>
      </w:hyperlink>
      <w:r>
        <w:t>（DB33/685-2012）</w:t>
      </w:r>
      <w:r>
        <w:rPr>
          <w:szCs w:val="24"/>
        </w:rPr>
        <w:t>；</w:t>
      </w:r>
    </w:p>
    <w:p>
      <w:pPr>
        <w:pStyle w:val="10"/>
        <w:numPr>
          <w:numId w:val="19"/>
        </w:numPr>
        <w:tabs>
          <w:tab w:val="left" w:pos="851"/>
          <w:tab w:val="clear" w:pos="896"/>
        </w:tabs>
      </w:pPr>
      <w:r>
        <w:t>《浙江省建设项目环境影响评价技术要点》（省环保局），2005.4；</w:t>
      </w:r>
    </w:p>
    <w:p>
      <w:pPr>
        <w:pStyle w:val="10"/>
        <w:numPr>
          <w:numId w:val="19"/>
        </w:numPr>
        <w:tabs>
          <w:tab w:val="left" w:pos="851"/>
          <w:tab w:val="clear" w:pos="896"/>
        </w:tabs>
      </w:pPr>
      <w:r>
        <w:t>《固体废物鉴别导则（试行）》（2006.4.1施行）；</w:t>
      </w:r>
    </w:p>
    <w:p>
      <w:pPr>
        <w:pStyle w:val="Heading3"/>
        <w:ind w:left="0"/>
      </w:pPr>
      <w:r>
        <w:t>项目技术文件</w:t>
      </w:r>
    </w:p>
    <w:p>
      <w:pPr>
        <w:pStyle w:val="10"/>
        <w:numPr>
          <w:numId w:val="18"/>
        </w:numPr>
      </w:pPr>
      <w:r>
        <w:t>上虞市企业投资项目备案通知书（技术改造）（虞经贸沥海投资[2013]5号）；</w:t>
      </w:r>
    </w:p>
    <w:p>
      <w:pPr>
        <w:pStyle w:val="10"/>
        <w:numPr>
          <w:numId w:val="19"/>
        </w:numPr>
      </w:pPr>
      <w:r>
        <w:t>土地证</w:t>
      </w:r>
      <w:r>
        <w:rPr>
          <w:rFonts w:hint="eastAsia"/>
        </w:rPr>
        <w:t>、</w:t>
      </w:r>
      <w:r>
        <w:t>租赁协议书；</w:t>
      </w:r>
    </w:p>
    <w:p>
      <w:pPr>
        <w:pStyle w:val="10"/>
        <w:numPr>
          <w:numId w:val="19"/>
        </w:numPr>
      </w:pPr>
      <w:r>
        <w:t>浙江省排污许可证（</w:t>
      </w:r>
      <w:r>
        <w:rPr>
          <w:spacing w:val="-4"/>
        </w:rPr>
        <w:t>绍虞110002（滨）</w:t>
      </w:r>
      <w:r>
        <w:t>）；</w:t>
      </w:r>
    </w:p>
    <w:p>
      <w:pPr>
        <w:pStyle w:val="10"/>
        <w:numPr>
          <w:numId w:val="19"/>
        </w:numPr>
      </w:pPr>
      <w:r>
        <w:t>绍兴虞泽染织有限公司牛仔布织造项目环境影响报告表及环评审批意见（虞环审[95]41号）</w:t>
      </w:r>
      <w:r>
        <w:rPr>
          <w:rFonts w:hint="eastAsia"/>
        </w:rPr>
        <w:t>；</w:t>
      </w:r>
    </w:p>
    <w:p>
      <w:pPr>
        <w:pStyle w:val="10"/>
        <w:numPr>
          <w:numId w:val="19"/>
        </w:numPr>
      </w:pPr>
      <w:r>
        <w:t>绍兴虞泽染织有限公司年产760万码色织牛仔布建设项目环境保护设施竣工验收申请报告及验收意见（虞环监验[97]2号）；</w:t>
      </w:r>
    </w:p>
    <w:p>
      <w:pPr>
        <w:pStyle w:val="10"/>
        <w:numPr>
          <w:numId w:val="19"/>
        </w:numPr>
      </w:pPr>
      <w:r>
        <w:t>绍兴虞泽染织有限公司</w:t>
      </w:r>
      <w:r>
        <w:rPr>
          <w:rFonts w:hint="eastAsia"/>
        </w:rPr>
        <w:t>污染源限期整治项目环保验收意见（虞环整治验[2007]1号）；</w:t>
      </w:r>
    </w:p>
    <w:p>
      <w:pPr>
        <w:pStyle w:val="10"/>
        <w:numPr>
          <w:numId w:val="19"/>
        </w:numPr>
      </w:pPr>
      <w:r>
        <w:t>污水入网意见书；</w:t>
      </w:r>
    </w:p>
    <w:p>
      <w:pPr>
        <w:pStyle w:val="10"/>
        <w:numPr>
          <w:numId w:val="19"/>
        </w:numPr>
      </w:pPr>
      <w:r>
        <w:t>供天然气证明</w:t>
      </w:r>
      <w:r>
        <w:rPr>
          <w:rFonts w:hint="eastAsia"/>
        </w:rPr>
        <w:t>；</w:t>
      </w:r>
    </w:p>
    <w:p>
      <w:pPr>
        <w:pStyle w:val="10"/>
        <w:numPr>
          <w:numId w:val="19"/>
        </w:numPr>
      </w:pPr>
      <w:r>
        <w:rPr>
          <w:szCs w:val="24"/>
        </w:rPr>
        <w:t>危废处理协议</w:t>
      </w:r>
      <w:r>
        <w:t>；</w:t>
      </w:r>
    </w:p>
    <w:p>
      <w:pPr>
        <w:pStyle w:val="10"/>
        <w:numPr>
          <w:numId w:val="19"/>
        </w:numPr>
      </w:pPr>
      <w:r>
        <w:rPr>
          <w:rFonts w:hint="eastAsia"/>
          <w:szCs w:val="24"/>
        </w:rPr>
        <w:t>污泥焚烧协议；</w:t>
      </w:r>
    </w:p>
    <w:p>
      <w:pPr>
        <w:pStyle w:val="Heading2"/>
        <w:spacing w:before="216" w:after="216"/>
      </w:pPr>
      <w:bookmarkStart w:id="15" w:name="_Toc364413252"/>
      <w:r>
        <w:t>环境保护目标</w:t>
      </w:r>
      <w:bookmarkEnd w:id="15"/>
    </w:p>
    <w:p>
      <w:pPr>
        <w:pStyle w:val="NormalIndent"/>
      </w:pPr>
      <w:r>
        <w:t>主要保护目标情况见</w:t>
      </w:r>
      <w:r>
        <w:fldChar w:fldCharType="begin"/>
      </w:r>
      <w:r>
        <w:instrText xml:space="preserve"> REF _Ref356549021 \h </w:instrText>
      </w:r>
      <w:r>
        <w:fldChar w:fldCharType="separate"/>
      </w:r>
      <w:r>
        <w:rPr>
          <w:rFonts w:hint="eastAsia"/>
        </w:rPr>
        <w:t xml:space="preserve">表 </w:t>
      </w:r>
      <w:r>
        <w:t>1.3</w:t>
      </w:r>
      <w:r>
        <w:noBreakHyphen/>
      </w:r>
      <w:r>
        <w:t>1</w:t>
      </w:r>
      <w:r>
        <w:fldChar w:fldCharType="end"/>
      </w:r>
      <w:r>
        <w:t>。</w:t>
      </w:r>
    </w:p>
    <w:p>
      <w:pPr>
        <w:pStyle w:val="Caption"/>
        <w:rPr>
          <w:b w:val="0"/>
          <w:bCs/>
        </w:rPr>
      </w:pPr>
      <w:bookmarkStart w:id="16" w:name="_Ref356549021"/>
      <w:r>
        <w:rPr>
          <w:rFonts w:hint="eastAsia"/>
        </w:rPr>
        <w:t xml:space="preserve">表 </w:t>
      </w:r>
      <w:r>
        <w:fldChar w:fldCharType="begin"/>
      </w:r>
      <w:r>
        <w:instrText xml:space="preserve"> </w:instrText>
      </w:r>
      <w:r>
        <w:rPr>
          <w:rFonts w:hint="eastAsia"/>
        </w:rPr>
        <w:instrText>STYLEREF 2 \s</w:instrText>
      </w:r>
      <w:r>
        <w:instrText xml:space="preserve"> </w:instrText>
      </w:r>
      <w:r>
        <w:fldChar w:fldCharType="separate"/>
      </w:r>
      <w:r>
        <w:t>1.3</w:t>
      </w:r>
      <w:r>
        <w:fldChar w:fldCharType="end"/>
      </w:r>
      <w:r>
        <w:noBreakHyphen/>
      </w:r>
      <w:r>
        <w:fldChar w:fldCharType="begin"/>
      </w:r>
      <w:r>
        <w:instrText xml:space="preserve"> </w:instrText>
      </w:r>
      <w:r>
        <w:rPr>
          <w:rFonts w:hint="eastAsia"/>
        </w:rPr>
        <w:instrText>SEQ 表 \* ARABIC \s 2</w:instrText>
      </w:r>
      <w:r>
        <w:instrText xml:space="preserve"> </w:instrText>
      </w:r>
      <w:r>
        <w:fldChar w:fldCharType="separate"/>
      </w:r>
      <w:r>
        <w:t>1</w:t>
      </w:r>
      <w:r>
        <w:fldChar w:fldCharType="end"/>
      </w:r>
      <w:bookmarkEnd w:id="16"/>
      <w:r>
        <w:t xml:space="preserve"> 项目周围主要保护目标分布情况</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28" w:type="dxa"/>
          <w:bottom w:w="0" w:type="dxa"/>
          <w:right w:w="28" w:type="dxa"/>
        </w:tblCellMar>
        <w:tblLook w:val="0000"/>
      </w:tblPr>
      <w:tblGrid>
        <w:gridCol w:w="721"/>
        <w:gridCol w:w="2993"/>
        <w:gridCol w:w="568"/>
        <w:gridCol w:w="789"/>
        <w:gridCol w:w="1935"/>
        <w:gridCol w:w="1555"/>
      </w:tblGrid>
      <w:tr>
        <w:tblPrEx>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28" w:type="dxa"/>
            <w:bottom w:w="0" w:type="dxa"/>
            <w:right w:w="28" w:type="dxa"/>
          </w:tblCellMar>
          <w:tblLook w:val="0000"/>
        </w:tblPrEx>
        <w:trPr>
          <w:trHeight w:val="340"/>
          <w:jc w:val="center"/>
        </w:trPr>
        <w:tc>
          <w:tcPr>
            <w:tcW w:w="421" w:type="pct"/>
            <w:vAlign w:val="center"/>
          </w:tcPr>
          <w:p>
            <w:pPr>
              <w:pStyle w:val="a"/>
            </w:pPr>
            <w:r>
              <w:t>序号</w:t>
            </w:r>
          </w:p>
        </w:tc>
        <w:tc>
          <w:tcPr>
            <w:tcW w:w="1748" w:type="pct"/>
            <w:vAlign w:val="center"/>
          </w:tcPr>
          <w:p>
            <w:pPr>
              <w:pStyle w:val="a"/>
            </w:pPr>
            <w:r>
              <w:t>名称</w:t>
            </w:r>
          </w:p>
        </w:tc>
        <w:tc>
          <w:tcPr>
            <w:tcW w:w="332" w:type="pct"/>
            <w:vAlign w:val="center"/>
          </w:tcPr>
          <w:p>
            <w:pPr>
              <w:pStyle w:val="a"/>
            </w:pPr>
            <w:r>
              <w:t>方位</w:t>
            </w:r>
          </w:p>
        </w:tc>
        <w:tc>
          <w:tcPr>
            <w:tcW w:w="461" w:type="pct"/>
            <w:vAlign w:val="center"/>
          </w:tcPr>
          <w:p>
            <w:pPr>
              <w:pStyle w:val="a"/>
            </w:pPr>
            <w:r>
              <w:t>距离</w:t>
            </w:r>
          </w:p>
        </w:tc>
        <w:tc>
          <w:tcPr>
            <w:tcW w:w="1130" w:type="pct"/>
            <w:vAlign w:val="center"/>
          </w:tcPr>
          <w:p>
            <w:pPr>
              <w:pStyle w:val="a"/>
            </w:pPr>
            <w:r>
              <w:t>敏感性描述</w:t>
            </w:r>
          </w:p>
        </w:tc>
        <w:tc>
          <w:tcPr>
            <w:tcW w:w="908" w:type="pct"/>
            <w:vAlign w:val="center"/>
          </w:tcPr>
          <w:p>
            <w:pPr>
              <w:pStyle w:val="a"/>
            </w:pPr>
            <w:r>
              <w:t>保护级别</w:t>
            </w:r>
          </w:p>
        </w:tc>
      </w:tr>
      <w:tr>
        <w:tblPrEx>
          <w:tblW w:w="5000" w:type="pct"/>
          <w:jc w:val="center"/>
          <w:tblCellMar>
            <w:top w:w="0" w:type="dxa"/>
            <w:left w:w="28" w:type="dxa"/>
            <w:bottom w:w="0" w:type="dxa"/>
            <w:right w:w="28" w:type="dxa"/>
          </w:tblCellMar>
          <w:tblLook w:val="0000"/>
        </w:tblPrEx>
        <w:trPr>
          <w:trHeight w:val="340"/>
          <w:jc w:val="center"/>
        </w:trPr>
        <w:tc>
          <w:tcPr>
            <w:tcW w:w="421" w:type="pct"/>
            <w:vAlign w:val="center"/>
          </w:tcPr>
          <w:p>
            <w:pPr>
              <w:pStyle w:val="a5"/>
              <w:widowControl w:val="0"/>
              <w:numPr>
                <w:numId w:val="11"/>
              </w:numPr>
            </w:pPr>
          </w:p>
        </w:tc>
        <w:tc>
          <w:tcPr>
            <w:tcW w:w="1748" w:type="pct"/>
            <w:vAlign w:val="center"/>
          </w:tcPr>
          <w:p>
            <w:pPr>
              <w:pStyle w:val="a"/>
            </w:pPr>
            <w:r>
              <w:t>俞家湾</w:t>
            </w:r>
            <w:r>
              <w:rPr>
                <w:rFonts w:hint="eastAsia"/>
              </w:rPr>
              <w:t>自然村</w:t>
            </w:r>
            <w:r>
              <w:t>（华东村</w:t>
            </w:r>
            <w:r>
              <w:rPr>
                <w:rFonts w:hint="eastAsia"/>
              </w:rPr>
              <w:t>行政村</w:t>
            </w:r>
            <w:r>
              <w:t>）</w:t>
            </w:r>
          </w:p>
        </w:tc>
        <w:tc>
          <w:tcPr>
            <w:tcW w:w="332" w:type="pct"/>
            <w:vAlign w:val="center"/>
          </w:tcPr>
          <w:p>
            <w:pPr>
              <w:pStyle w:val="a"/>
            </w:pPr>
            <w:r>
              <w:t>南</w:t>
            </w:r>
          </w:p>
        </w:tc>
        <w:tc>
          <w:tcPr>
            <w:tcW w:w="461" w:type="pct"/>
            <w:vAlign w:val="center"/>
          </w:tcPr>
          <w:p>
            <w:pPr>
              <w:pStyle w:val="a"/>
            </w:pPr>
            <w:r>
              <w:rPr>
                <w:lang w:val="en-GB"/>
              </w:rPr>
              <w:t>107m</w:t>
            </w:r>
          </w:p>
        </w:tc>
        <w:tc>
          <w:tcPr>
            <w:tcW w:w="1130" w:type="pct"/>
            <w:vMerge w:val="restart"/>
            <w:vAlign w:val="center"/>
          </w:tcPr>
          <w:p>
            <w:pPr>
              <w:pStyle w:val="a"/>
            </w:pPr>
            <w:r>
              <w:t>对噪声和废气敏感</w:t>
            </w:r>
          </w:p>
        </w:tc>
        <w:tc>
          <w:tcPr>
            <w:tcW w:w="908" w:type="pct"/>
            <w:vMerge w:val="restart"/>
            <w:vAlign w:val="center"/>
          </w:tcPr>
          <w:p>
            <w:pPr>
              <w:pStyle w:val="a"/>
            </w:pPr>
            <w:r>
              <w:t>环境空气二级</w:t>
            </w:r>
          </w:p>
          <w:p>
            <w:pPr>
              <w:pStyle w:val="a"/>
            </w:pPr>
            <w:r>
              <w:t>声环境2类</w:t>
            </w:r>
          </w:p>
        </w:tc>
      </w:tr>
      <w:tr>
        <w:tblPrEx>
          <w:tblW w:w="5000" w:type="pct"/>
          <w:jc w:val="center"/>
          <w:tblCellMar>
            <w:top w:w="0" w:type="dxa"/>
            <w:left w:w="28" w:type="dxa"/>
            <w:bottom w:w="0" w:type="dxa"/>
            <w:right w:w="28" w:type="dxa"/>
          </w:tblCellMar>
          <w:tblLook w:val="0000"/>
        </w:tblPrEx>
        <w:trPr>
          <w:trHeight w:val="340"/>
          <w:jc w:val="center"/>
        </w:trPr>
        <w:tc>
          <w:tcPr>
            <w:tcW w:w="421" w:type="pct"/>
            <w:vAlign w:val="center"/>
          </w:tcPr>
          <w:p>
            <w:pPr>
              <w:pStyle w:val="a5"/>
              <w:widowControl w:val="0"/>
              <w:numPr>
                <w:numId w:val="11"/>
              </w:numPr>
            </w:pPr>
          </w:p>
        </w:tc>
        <w:tc>
          <w:tcPr>
            <w:tcW w:w="1748" w:type="pct"/>
            <w:vAlign w:val="center"/>
          </w:tcPr>
          <w:p>
            <w:pPr>
              <w:pStyle w:val="a"/>
            </w:pPr>
            <w:r>
              <w:t>邵家村</w:t>
            </w:r>
            <w:r>
              <w:rPr>
                <w:rFonts w:hint="eastAsia"/>
              </w:rPr>
              <w:t>自然村</w:t>
            </w:r>
            <w:r>
              <w:t>（华东村</w:t>
            </w:r>
            <w:r>
              <w:rPr>
                <w:rFonts w:hint="eastAsia"/>
              </w:rPr>
              <w:t>行政村</w:t>
            </w:r>
            <w:r>
              <w:t>）</w:t>
            </w:r>
          </w:p>
        </w:tc>
        <w:tc>
          <w:tcPr>
            <w:tcW w:w="332" w:type="pct"/>
            <w:vAlign w:val="center"/>
          </w:tcPr>
          <w:p>
            <w:pPr>
              <w:pStyle w:val="a"/>
            </w:pPr>
            <w:r>
              <w:t>西南</w:t>
            </w:r>
          </w:p>
        </w:tc>
        <w:tc>
          <w:tcPr>
            <w:tcW w:w="461" w:type="pct"/>
            <w:vAlign w:val="center"/>
          </w:tcPr>
          <w:p>
            <w:pPr>
              <w:pStyle w:val="a"/>
              <w:rPr>
                <w:lang w:val="en-GB"/>
              </w:rPr>
            </w:pPr>
            <w:r>
              <w:rPr>
                <w:lang w:val="en-GB"/>
              </w:rPr>
              <w:t>185m</w:t>
            </w:r>
          </w:p>
        </w:tc>
        <w:tc>
          <w:tcPr>
            <w:tcW w:w="1130" w:type="pct"/>
            <w:vMerge/>
            <w:vAlign w:val="center"/>
          </w:tcPr>
          <w:p>
            <w:pPr>
              <w:pStyle w:val="a"/>
            </w:pPr>
          </w:p>
        </w:tc>
        <w:tc>
          <w:tcPr>
            <w:tcW w:w="908" w:type="pct"/>
            <w:vMerge/>
            <w:vAlign w:val="center"/>
          </w:tcPr>
          <w:p>
            <w:pPr>
              <w:pStyle w:val="a"/>
            </w:pPr>
          </w:p>
        </w:tc>
      </w:tr>
      <w:tr>
        <w:tblPrEx>
          <w:tblW w:w="5000" w:type="pct"/>
          <w:jc w:val="center"/>
          <w:tblCellMar>
            <w:top w:w="0" w:type="dxa"/>
            <w:left w:w="28" w:type="dxa"/>
            <w:bottom w:w="0" w:type="dxa"/>
            <w:right w:w="28" w:type="dxa"/>
          </w:tblCellMar>
          <w:tblLook w:val="0000"/>
        </w:tblPrEx>
        <w:trPr>
          <w:trHeight w:val="340"/>
          <w:jc w:val="center"/>
        </w:trPr>
        <w:tc>
          <w:tcPr>
            <w:tcW w:w="421" w:type="pct"/>
            <w:vAlign w:val="center"/>
          </w:tcPr>
          <w:p>
            <w:pPr>
              <w:pStyle w:val="a5"/>
              <w:widowControl w:val="0"/>
              <w:numPr>
                <w:numId w:val="11"/>
              </w:numPr>
            </w:pPr>
          </w:p>
        </w:tc>
        <w:tc>
          <w:tcPr>
            <w:tcW w:w="1748" w:type="pct"/>
            <w:vAlign w:val="center"/>
          </w:tcPr>
          <w:p>
            <w:pPr>
              <w:pStyle w:val="a"/>
            </w:pPr>
            <w:r>
              <w:rPr>
                <w:rFonts w:hint="eastAsia"/>
              </w:rPr>
              <w:t>潭许村行政村</w:t>
            </w:r>
          </w:p>
        </w:tc>
        <w:tc>
          <w:tcPr>
            <w:tcW w:w="332" w:type="pct"/>
            <w:vAlign w:val="center"/>
          </w:tcPr>
          <w:p>
            <w:pPr>
              <w:pStyle w:val="a"/>
            </w:pPr>
            <w:r>
              <w:rPr>
                <w:rFonts w:hint="eastAsia"/>
              </w:rPr>
              <w:t>东南</w:t>
            </w:r>
          </w:p>
        </w:tc>
        <w:tc>
          <w:tcPr>
            <w:tcW w:w="461" w:type="pct"/>
            <w:vAlign w:val="center"/>
          </w:tcPr>
          <w:p>
            <w:pPr>
              <w:pStyle w:val="a"/>
              <w:rPr>
                <w:lang w:val="en-GB"/>
              </w:rPr>
            </w:pPr>
            <w:r>
              <w:rPr>
                <w:rFonts w:hint="eastAsia"/>
                <w:lang w:val="en-GB"/>
              </w:rPr>
              <w:t>500m</w:t>
            </w:r>
          </w:p>
        </w:tc>
        <w:tc>
          <w:tcPr>
            <w:tcW w:w="1130" w:type="pct"/>
            <w:vMerge/>
            <w:vAlign w:val="center"/>
          </w:tcPr>
          <w:p>
            <w:pPr>
              <w:pStyle w:val="a"/>
            </w:pPr>
          </w:p>
        </w:tc>
        <w:tc>
          <w:tcPr>
            <w:tcW w:w="908" w:type="pct"/>
            <w:vMerge/>
            <w:vAlign w:val="center"/>
          </w:tcPr>
          <w:p>
            <w:pPr>
              <w:pStyle w:val="a"/>
            </w:pPr>
          </w:p>
        </w:tc>
      </w:tr>
      <w:tr>
        <w:tblPrEx>
          <w:tblW w:w="5000" w:type="pct"/>
          <w:jc w:val="center"/>
          <w:tblCellMar>
            <w:top w:w="0" w:type="dxa"/>
            <w:left w:w="28" w:type="dxa"/>
            <w:bottom w:w="0" w:type="dxa"/>
            <w:right w:w="28" w:type="dxa"/>
          </w:tblCellMar>
          <w:tblLook w:val="0000"/>
        </w:tblPrEx>
        <w:trPr>
          <w:trHeight w:val="340"/>
          <w:jc w:val="center"/>
        </w:trPr>
        <w:tc>
          <w:tcPr>
            <w:tcW w:w="421" w:type="pct"/>
            <w:vAlign w:val="center"/>
          </w:tcPr>
          <w:p>
            <w:pPr>
              <w:pStyle w:val="a5"/>
              <w:widowControl w:val="0"/>
              <w:numPr>
                <w:numId w:val="11"/>
              </w:numPr>
            </w:pPr>
          </w:p>
        </w:tc>
        <w:tc>
          <w:tcPr>
            <w:tcW w:w="1748" w:type="pct"/>
            <w:vAlign w:val="center"/>
          </w:tcPr>
          <w:p>
            <w:pPr>
              <w:pStyle w:val="a"/>
            </w:pPr>
            <w:r>
              <w:rPr>
                <w:rFonts w:hint="eastAsia"/>
              </w:rPr>
              <w:t>内河</w:t>
            </w:r>
          </w:p>
        </w:tc>
        <w:tc>
          <w:tcPr>
            <w:tcW w:w="332" w:type="pct"/>
            <w:vAlign w:val="center"/>
          </w:tcPr>
          <w:p>
            <w:pPr>
              <w:pStyle w:val="a"/>
            </w:pPr>
            <w:r>
              <w:rPr>
                <w:rFonts w:hint="eastAsia"/>
              </w:rPr>
              <w:t>东</w:t>
            </w:r>
          </w:p>
        </w:tc>
        <w:tc>
          <w:tcPr>
            <w:tcW w:w="461" w:type="pct"/>
            <w:vAlign w:val="center"/>
          </w:tcPr>
          <w:p>
            <w:pPr>
              <w:pStyle w:val="a"/>
            </w:pPr>
            <w:r>
              <w:rPr>
                <w:rFonts w:hint="eastAsia"/>
              </w:rPr>
              <w:t>350m</w:t>
            </w:r>
          </w:p>
        </w:tc>
        <w:tc>
          <w:tcPr>
            <w:tcW w:w="1130" w:type="pct"/>
            <w:vMerge w:val="restart"/>
            <w:vAlign w:val="center"/>
          </w:tcPr>
          <w:p>
            <w:pPr>
              <w:pStyle w:val="a"/>
            </w:pPr>
            <w:r>
              <w:t>对废水较敏感</w:t>
            </w:r>
          </w:p>
        </w:tc>
        <w:tc>
          <w:tcPr>
            <w:tcW w:w="908" w:type="pct"/>
            <w:vMerge w:val="restart"/>
            <w:vAlign w:val="center"/>
          </w:tcPr>
          <w:p>
            <w:pPr>
              <w:pStyle w:val="a"/>
            </w:pPr>
            <w:r>
              <w:t>水环境</w:t>
            </w:r>
            <w:r>
              <w:rPr>
                <w:rFonts w:ascii="宋体" w:hAnsi="宋体" w:cs="宋体" w:hint="eastAsia"/>
              </w:rPr>
              <w:t>Ⅲ</w:t>
            </w:r>
            <w:r>
              <w:t>类</w:t>
            </w:r>
          </w:p>
        </w:tc>
      </w:tr>
      <w:tr>
        <w:tblPrEx>
          <w:tblW w:w="5000" w:type="pct"/>
          <w:jc w:val="center"/>
          <w:tblCellMar>
            <w:top w:w="0" w:type="dxa"/>
            <w:left w:w="28" w:type="dxa"/>
            <w:bottom w:w="0" w:type="dxa"/>
            <w:right w:w="28" w:type="dxa"/>
          </w:tblCellMar>
          <w:tblLook w:val="0000"/>
        </w:tblPrEx>
        <w:trPr>
          <w:trHeight w:val="340"/>
          <w:jc w:val="center"/>
        </w:trPr>
        <w:tc>
          <w:tcPr>
            <w:tcW w:w="421" w:type="pct"/>
            <w:vAlign w:val="center"/>
          </w:tcPr>
          <w:p>
            <w:pPr>
              <w:pStyle w:val="a5"/>
              <w:widowControl w:val="0"/>
              <w:numPr>
                <w:numId w:val="11"/>
              </w:numPr>
            </w:pPr>
          </w:p>
        </w:tc>
        <w:tc>
          <w:tcPr>
            <w:tcW w:w="1748" w:type="pct"/>
            <w:vAlign w:val="center"/>
          </w:tcPr>
          <w:p>
            <w:pPr>
              <w:pStyle w:val="a"/>
            </w:pPr>
            <w:r>
              <w:t>中心河</w:t>
            </w:r>
          </w:p>
        </w:tc>
        <w:tc>
          <w:tcPr>
            <w:tcW w:w="332" w:type="pct"/>
            <w:vAlign w:val="center"/>
          </w:tcPr>
          <w:p>
            <w:pPr>
              <w:pStyle w:val="a"/>
            </w:pPr>
            <w:r>
              <w:t>北</w:t>
            </w:r>
          </w:p>
        </w:tc>
        <w:tc>
          <w:tcPr>
            <w:tcW w:w="461" w:type="pct"/>
            <w:vAlign w:val="center"/>
          </w:tcPr>
          <w:p>
            <w:pPr>
              <w:pStyle w:val="a"/>
            </w:pPr>
            <w:r>
              <w:rPr>
                <w:rFonts w:hint="eastAsia"/>
              </w:rPr>
              <w:t>1000</w:t>
            </w:r>
            <w:r>
              <w:t>m</w:t>
            </w:r>
          </w:p>
        </w:tc>
        <w:tc>
          <w:tcPr>
            <w:tcW w:w="1130" w:type="pct"/>
            <w:vMerge/>
            <w:vAlign w:val="center"/>
          </w:tcPr>
          <w:p>
            <w:pPr>
              <w:pStyle w:val="a"/>
            </w:pPr>
          </w:p>
        </w:tc>
        <w:tc>
          <w:tcPr>
            <w:tcW w:w="908" w:type="pct"/>
            <w:vMerge/>
            <w:vAlign w:val="center"/>
          </w:tcPr>
          <w:p>
            <w:pPr>
              <w:pStyle w:val="a"/>
            </w:pPr>
          </w:p>
        </w:tc>
      </w:tr>
    </w:tbl>
    <w:p>
      <w:pPr>
        <w:pStyle w:val="NormalIndent"/>
        <w:tabs>
          <w:tab w:val="left" w:pos="993"/>
        </w:tabs>
        <w:ind w:firstLineChars="0"/>
        <w:rPr>
          <w:color w:val="984806"/>
        </w:rPr>
        <w:sectPr>
          <w:headerReference w:type="default" r:id="rId20"/>
          <w:footerReference w:type="default" r:id="rId21"/>
          <w:type w:val="nextPage"/>
          <w:pgSz w:w="11907" w:h="16840"/>
          <w:pgMar w:top="1418" w:right="1701" w:bottom="1559" w:left="1701" w:header="902" w:footer="907" w:gutter="0"/>
          <w:pgNumType w:start="6"/>
          <w:cols w:space="708"/>
          <w:titlePg w:val="0"/>
          <w:docGrid w:type="linesAndChars" w:linePitch="433" w:charSpace="-3315"/>
        </w:sectPr>
      </w:pPr>
    </w:p>
    <w:p>
      <w:pPr>
        <w:pStyle w:val="Heading1"/>
        <w:ind w:left="0"/>
        <w:rPr>
          <w:rFonts w:cs="Times New Roman"/>
        </w:rPr>
      </w:pPr>
      <w:bookmarkStart w:id="17" w:name="_Ref245626817"/>
      <w:bookmarkStart w:id="18" w:name="_Toc246176805"/>
      <w:bookmarkStart w:id="19" w:name="_Toc364413253"/>
      <w:bookmarkStart w:id="20" w:name="_Ref243148339"/>
      <w:bookmarkStart w:id="21" w:name="_Toc246176811"/>
      <w:r>
        <w:rPr>
          <w:rFonts w:cs="Times New Roman"/>
        </w:rPr>
        <w:t>项目概况</w:t>
      </w:r>
      <w:bookmarkEnd w:id="17"/>
      <w:bookmarkEnd w:id="18"/>
      <w:r>
        <w:rPr>
          <w:rFonts w:cs="Times New Roman" w:hint="eastAsia"/>
        </w:rPr>
        <w:t>及污染源分析</w:t>
      </w:r>
      <w:bookmarkEnd w:id="19"/>
    </w:p>
    <w:p>
      <w:pPr>
        <w:pStyle w:val="Heading2"/>
        <w:spacing w:before="216" w:after="216"/>
      </w:pPr>
      <w:bookmarkStart w:id="22" w:name="_Toc364413254"/>
      <w:r>
        <w:t>项目工程概况</w:t>
      </w:r>
      <w:bookmarkEnd w:id="22"/>
    </w:p>
    <w:p>
      <w:pPr>
        <w:pStyle w:val="Caption"/>
        <w:rPr>
          <w:rFonts w:eastAsia="Cambria" w:cs="微软雅黑"/>
          <w:szCs w:val="24"/>
        </w:rPr>
      </w:pPr>
      <w:bookmarkStart w:id="23" w:name="_Ref267598722"/>
      <w:bookmarkStart w:id="24" w:name="_Ref267598791"/>
      <w:r>
        <w:rPr>
          <w:rFonts w:cs="微软雅黑" w:hint="eastAsia"/>
        </w:rPr>
        <w:t>表</w:t>
      </w:r>
      <w:r>
        <w:rPr>
          <w:rFonts w:cs="微软雅黑"/>
        </w:rPr>
        <w:t xml:space="preserve"> </w:t>
      </w:r>
      <w:r>
        <w:rPr>
          <w:rFonts w:cs="微软雅黑"/>
        </w:rPr>
        <w:fldChar w:fldCharType="begin"/>
      </w:r>
      <w:r>
        <w:rPr>
          <w:rFonts w:cs="微软雅黑"/>
        </w:rPr>
        <w:instrText xml:space="preserve"> STYLEREF 2 \s </w:instrText>
      </w:r>
      <w:r>
        <w:rPr>
          <w:rFonts w:cs="微软雅黑"/>
        </w:rPr>
        <w:fldChar w:fldCharType="separate"/>
      </w:r>
      <w:r>
        <w:rPr>
          <w:rFonts w:cs="微软雅黑"/>
        </w:rPr>
        <w:t>2.1</w:t>
      </w:r>
      <w:r>
        <w:rPr>
          <w:rFonts w:cs="微软雅黑"/>
        </w:rPr>
        <w:fldChar w:fldCharType="end"/>
      </w:r>
      <w:r>
        <w:rPr>
          <w:rFonts w:cs="微软雅黑"/>
        </w:rPr>
        <w:noBreakHyphen/>
      </w:r>
      <w:r>
        <w:rPr>
          <w:rFonts w:cs="微软雅黑"/>
        </w:rPr>
        <w:fldChar w:fldCharType="begin"/>
      </w:r>
      <w:r>
        <w:rPr>
          <w:rFonts w:cs="微软雅黑"/>
        </w:rPr>
        <w:instrText xml:space="preserve"> SEQ 表 \* ARABIC \s 2 </w:instrText>
      </w:r>
      <w:r>
        <w:rPr>
          <w:rFonts w:cs="微软雅黑"/>
        </w:rPr>
        <w:fldChar w:fldCharType="separate"/>
      </w:r>
      <w:r>
        <w:rPr>
          <w:rFonts w:cs="微软雅黑"/>
        </w:rPr>
        <w:t>1</w:t>
      </w:r>
      <w:r>
        <w:rPr>
          <w:rFonts w:cs="微软雅黑"/>
        </w:rPr>
        <w:fldChar w:fldCharType="end"/>
      </w:r>
      <w:r>
        <w:rPr>
          <w:rFonts w:cs="微软雅黑"/>
        </w:rPr>
        <w:tab/>
      </w:r>
      <w:r>
        <w:rPr>
          <w:rFonts w:cs="微软雅黑" w:hint="eastAsia"/>
        </w:rPr>
        <w:tab/>
      </w:r>
      <w:r>
        <w:rPr>
          <w:rFonts w:cs="微软雅黑" w:hint="eastAsia"/>
        </w:rPr>
        <w:t>项目</w:t>
      </w:r>
      <w:r>
        <w:rPr>
          <w:rFonts w:cs="微软雅黑"/>
        </w:rPr>
        <w:t>概况一览表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48"/>
        <w:gridCol w:w="621"/>
        <w:gridCol w:w="647"/>
        <w:gridCol w:w="1256"/>
        <w:gridCol w:w="2993"/>
        <w:gridCol w:w="1226"/>
        <w:gridCol w:w="15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369"/>
        </w:trPr>
        <w:tc>
          <w:tcPr>
            <w:tcW w:w="1704" w:type="pct"/>
            <w:gridSpan w:val="4"/>
            <w:vAlign w:val="center"/>
          </w:tcPr>
          <w:p>
            <w:pPr>
              <w:pStyle w:val="a"/>
            </w:pPr>
            <w:bookmarkEnd w:id="20"/>
            <w:bookmarkEnd w:id="21"/>
            <w:bookmarkEnd w:id="23"/>
            <w:bookmarkEnd w:id="24"/>
            <w:r>
              <w:t>项目名称</w:t>
            </w:r>
          </w:p>
        </w:tc>
        <w:tc>
          <w:tcPr>
            <w:tcW w:w="3296" w:type="pct"/>
            <w:gridSpan w:val="3"/>
            <w:vAlign w:val="center"/>
          </w:tcPr>
          <w:p>
            <w:pPr>
              <w:pStyle w:val="a"/>
            </w:pPr>
            <w:r>
              <w:t>绍兴虞泽染织有限公司整体搬迁及配套设施升级的技术改造项目</w:t>
            </w:r>
          </w:p>
        </w:tc>
      </w:tr>
      <w:tr>
        <w:tblPrEx>
          <w:tblW w:w="5000" w:type="pct"/>
          <w:tblCellMar>
            <w:top w:w="0" w:type="dxa"/>
            <w:left w:w="108" w:type="dxa"/>
            <w:bottom w:w="0" w:type="dxa"/>
            <w:right w:w="108" w:type="dxa"/>
          </w:tblCellMar>
          <w:tblLook w:val="0000"/>
        </w:tblPrEx>
        <w:trPr>
          <w:cantSplit/>
          <w:trHeight w:val="369"/>
        </w:trPr>
        <w:tc>
          <w:tcPr>
            <w:tcW w:w="1704" w:type="pct"/>
            <w:gridSpan w:val="4"/>
            <w:vAlign w:val="center"/>
          </w:tcPr>
          <w:p>
            <w:pPr>
              <w:pStyle w:val="a"/>
            </w:pPr>
            <w:r>
              <w:t>建设单位</w:t>
            </w:r>
          </w:p>
        </w:tc>
        <w:tc>
          <w:tcPr>
            <w:tcW w:w="1716" w:type="pct"/>
            <w:vAlign w:val="center"/>
          </w:tcPr>
          <w:p>
            <w:pPr>
              <w:pStyle w:val="a"/>
              <w:rPr>
                <w:szCs w:val="21"/>
              </w:rPr>
            </w:pPr>
            <w:r>
              <w:t>绍兴虞泽染织有限公司</w:t>
            </w:r>
          </w:p>
        </w:tc>
        <w:tc>
          <w:tcPr>
            <w:tcW w:w="703" w:type="pct"/>
            <w:vAlign w:val="center"/>
          </w:tcPr>
          <w:p>
            <w:pPr>
              <w:pStyle w:val="a"/>
              <w:rPr>
                <w:szCs w:val="21"/>
              </w:rPr>
            </w:pPr>
            <w:r>
              <w:t>建设性质</w:t>
            </w:r>
          </w:p>
        </w:tc>
        <w:tc>
          <w:tcPr>
            <w:tcW w:w="877" w:type="pct"/>
            <w:vAlign w:val="center"/>
          </w:tcPr>
          <w:p>
            <w:pPr>
              <w:pStyle w:val="a"/>
              <w:rPr>
                <w:szCs w:val="21"/>
              </w:rPr>
            </w:pPr>
            <w:r>
              <w:t>迁建</w:t>
            </w:r>
          </w:p>
        </w:tc>
      </w:tr>
      <w:tr>
        <w:tblPrEx>
          <w:tblW w:w="5000" w:type="pct"/>
          <w:tblCellMar>
            <w:top w:w="0" w:type="dxa"/>
            <w:left w:w="108" w:type="dxa"/>
            <w:bottom w:w="0" w:type="dxa"/>
            <w:right w:w="108" w:type="dxa"/>
          </w:tblCellMar>
          <w:tblLook w:val="0000"/>
        </w:tblPrEx>
        <w:trPr>
          <w:cantSplit/>
          <w:trHeight w:val="369"/>
        </w:trPr>
        <w:tc>
          <w:tcPr>
            <w:tcW w:w="1704" w:type="pct"/>
            <w:gridSpan w:val="4"/>
            <w:vAlign w:val="center"/>
          </w:tcPr>
          <w:p>
            <w:pPr>
              <w:pStyle w:val="a"/>
            </w:pPr>
            <w:r>
              <w:t>建设地点</w:t>
            </w:r>
          </w:p>
        </w:tc>
        <w:tc>
          <w:tcPr>
            <w:tcW w:w="3296" w:type="pct"/>
            <w:gridSpan w:val="3"/>
            <w:vAlign w:val="center"/>
          </w:tcPr>
          <w:p>
            <w:pPr>
              <w:pStyle w:val="a0"/>
              <w:spacing w:line="276" w:lineRule="auto"/>
              <w:ind w:firstLine="388"/>
            </w:pPr>
            <w:r>
              <w:t>本项目拟迁建于绍兴滨海新城沥海工业区（绍兴奇晖织造服饰有限公司</w:t>
            </w:r>
            <w:r>
              <w:rPr>
                <w:rFonts w:hint="eastAsia"/>
              </w:rPr>
              <w:t>内</w:t>
            </w:r>
            <w:r>
              <w:t>）。项目</w:t>
            </w:r>
            <w:r>
              <w:rPr>
                <w:rFonts w:hint="eastAsia"/>
              </w:rPr>
              <w:t>所在厂区东面为上虞市创世纪照明电器有限公司；南面为沥海东塘以及农田；西面为农田，隔农田为海涂加油站；北面为百红公路</w:t>
            </w:r>
            <w:r>
              <w:t>。</w:t>
            </w:r>
            <w:r>
              <w:rPr>
                <w:rFonts w:hint="eastAsia"/>
              </w:rPr>
              <w:t>项目租用</w:t>
            </w:r>
            <w:r>
              <w:t>绍兴奇晖织造服饰有限公司</w:t>
            </w:r>
            <w:r>
              <w:rPr>
                <w:rFonts w:hint="eastAsia"/>
              </w:rPr>
              <w:t>南部土地，项目北面为</w:t>
            </w:r>
            <w:r>
              <w:t>奇晖织造</w:t>
            </w:r>
            <w:r>
              <w:rPr>
                <w:rFonts w:hint="eastAsia"/>
              </w:rPr>
              <w:t>现有项目。</w:t>
            </w:r>
          </w:p>
        </w:tc>
      </w:tr>
      <w:tr>
        <w:tblPrEx>
          <w:tblW w:w="5000" w:type="pct"/>
          <w:tblCellMar>
            <w:top w:w="0" w:type="dxa"/>
            <w:left w:w="108" w:type="dxa"/>
            <w:bottom w:w="0" w:type="dxa"/>
            <w:right w:w="108" w:type="dxa"/>
          </w:tblCellMar>
          <w:tblLook w:val="0000"/>
        </w:tblPrEx>
        <w:trPr>
          <w:cantSplit/>
          <w:trHeight w:val="369"/>
        </w:trPr>
        <w:tc>
          <w:tcPr>
            <w:tcW w:w="1704" w:type="pct"/>
            <w:gridSpan w:val="4"/>
            <w:vAlign w:val="center"/>
          </w:tcPr>
          <w:p>
            <w:pPr>
              <w:pStyle w:val="a"/>
            </w:pPr>
            <w:r>
              <w:t>总投资及投产时间</w:t>
            </w:r>
          </w:p>
        </w:tc>
        <w:tc>
          <w:tcPr>
            <w:tcW w:w="3296" w:type="pct"/>
            <w:gridSpan w:val="3"/>
            <w:vAlign w:val="center"/>
          </w:tcPr>
          <w:p>
            <w:pPr>
              <w:pStyle w:val="a0"/>
              <w:ind w:firstLine="388"/>
            </w:pPr>
            <w:r>
              <w:t>总投资</w:t>
            </w:r>
            <w:bookmarkStart w:id="25" w:name="OLE_LINK1"/>
            <w:bookmarkStart w:id="26" w:name="OLE_LINK2"/>
            <w:r>
              <w:rPr>
                <w:rFonts w:hint="eastAsia"/>
              </w:rPr>
              <w:t>5</w:t>
            </w:r>
            <w:r>
              <w:t>000万元</w:t>
            </w:r>
            <w:bookmarkEnd w:id="25"/>
            <w:bookmarkEnd w:id="26"/>
            <w:r>
              <w:t>，预计竣工时间：201</w:t>
            </w:r>
            <w:r>
              <w:rPr>
                <w:rFonts w:hint="eastAsia"/>
              </w:rPr>
              <w:t>4</w:t>
            </w:r>
            <w:r>
              <w:t>年</w:t>
            </w:r>
            <w:r>
              <w:rPr>
                <w:rFonts w:hint="eastAsia"/>
              </w:rPr>
              <w:t>6</w:t>
            </w:r>
            <w:r>
              <w:t>月。</w:t>
            </w:r>
          </w:p>
        </w:tc>
      </w:tr>
      <w:tr>
        <w:tblPrEx>
          <w:tblW w:w="5000" w:type="pct"/>
          <w:tblCellMar>
            <w:top w:w="0" w:type="dxa"/>
            <w:left w:w="108" w:type="dxa"/>
            <w:bottom w:w="0" w:type="dxa"/>
            <w:right w:w="108" w:type="dxa"/>
          </w:tblCellMar>
          <w:tblLook w:val="0000"/>
        </w:tblPrEx>
        <w:trPr>
          <w:cantSplit/>
          <w:trHeight w:val="369"/>
        </w:trPr>
        <w:tc>
          <w:tcPr>
            <w:tcW w:w="257" w:type="pct"/>
            <w:vMerge w:val="restart"/>
            <w:vAlign w:val="center"/>
          </w:tcPr>
          <w:p>
            <w:pPr>
              <w:pStyle w:val="a"/>
            </w:pPr>
            <w:r>
              <w:t>主体工程</w:t>
            </w:r>
          </w:p>
        </w:tc>
        <w:tc>
          <w:tcPr>
            <w:tcW w:w="1447" w:type="pct"/>
            <w:gridSpan w:val="3"/>
            <w:vAlign w:val="center"/>
          </w:tcPr>
          <w:p>
            <w:pPr>
              <w:pStyle w:val="a"/>
            </w:pPr>
            <w:r>
              <w:t>工程内容及生产规模</w:t>
            </w:r>
          </w:p>
        </w:tc>
        <w:tc>
          <w:tcPr>
            <w:tcW w:w="3296" w:type="pct"/>
            <w:gridSpan w:val="3"/>
            <w:vAlign w:val="center"/>
          </w:tcPr>
          <w:p>
            <w:pPr>
              <w:pStyle w:val="a0"/>
              <w:spacing w:line="276" w:lineRule="auto"/>
              <w:ind w:firstLine="388"/>
            </w:pPr>
            <w:r>
              <w:rPr>
                <w:rFonts w:hint="eastAsia"/>
              </w:rPr>
              <w:t>租用土</w:t>
            </w:r>
            <w:r>
              <w:t>地面积：</w:t>
            </w:r>
            <w:r>
              <w:rPr>
                <w:rFonts w:hint="eastAsia"/>
              </w:rPr>
              <w:t>22644</w:t>
            </w:r>
            <w:r>
              <w:t>m</w:t>
            </w:r>
            <w:r>
              <w:rPr>
                <w:vertAlign w:val="superscript"/>
              </w:rPr>
              <w:t>2</w:t>
            </w:r>
          </w:p>
          <w:p>
            <w:pPr>
              <w:pStyle w:val="a0"/>
              <w:spacing w:line="276" w:lineRule="auto"/>
              <w:ind w:firstLine="388"/>
            </w:pPr>
            <w:r>
              <w:rPr>
                <w:rFonts w:hint="eastAsia"/>
              </w:rPr>
              <w:t>其中，生产厂房</w:t>
            </w:r>
            <w:r>
              <w:t>面积：</w:t>
            </w:r>
            <w:r>
              <w:rPr>
                <w:rFonts w:hint="eastAsia"/>
              </w:rPr>
              <w:t>11600</w:t>
            </w:r>
            <w:r>
              <w:t xml:space="preserve"> m</w:t>
            </w:r>
            <w:r>
              <w:rPr>
                <w:vertAlign w:val="superscript"/>
              </w:rPr>
              <w:t>2</w:t>
            </w:r>
          </w:p>
          <w:p>
            <w:pPr>
              <w:pStyle w:val="a0"/>
              <w:spacing w:line="276" w:lineRule="auto"/>
              <w:ind w:firstLine="388"/>
            </w:pPr>
            <w:r>
              <w:rPr>
                <w:rFonts w:hint="eastAsia"/>
              </w:rPr>
              <w:t>生产场地</w:t>
            </w:r>
            <w:r>
              <w:t>面积</w:t>
            </w:r>
            <w:r>
              <w:rPr>
                <w:rFonts w:hint="eastAsia"/>
              </w:rPr>
              <w:t>11044</w:t>
            </w:r>
            <w:r>
              <w:t xml:space="preserve"> m</w:t>
            </w:r>
            <w:r>
              <w:rPr>
                <w:vertAlign w:val="superscript"/>
              </w:rPr>
              <w:t>2</w:t>
            </w:r>
          </w:p>
          <w:p>
            <w:pPr>
              <w:pStyle w:val="a0"/>
              <w:spacing w:line="276" w:lineRule="auto"/>
              <w:ind w:firstLine="388"/>
              <w:rPr>
                <w:spacing w:val="-10"/>
              </w:rPr>
            </w:pPr>
            <w:r>
              <w:rPr>
                <w:rFonts w:hint="eastAsia"/>
              </w:rPr>
              <w:t>项目</w:t>
            </w:r>
            <w:r>
              <w:t>实施整体搬迁异地改造建设，向位于绍兴滨海新城沥海工业区的绍兴奇晖织造服饰有限公司租用土地34亩（含带征土地9亩），</w:t>
            </w:r>
            <w:r>
              <w:rPr>
                <w:rFonts w:hint="eastAsia"/>
              </w:rPr>
              <w:t>新建</w:t>
            </w:r>
            <w:r>
              <w:t>生产车间11600平方米</w:t>
            </w:r>
            <w:r>
              <w:rPr>
                <w:rFonts w:hint="eastAsia"/>
              </w:rPr>
              <w:t>，租用</w:t>
            </w:r>
            <w:r>
              <w:t>生产场地11044平方米。将重点对浆染生产线升级改造，新增6</w:t>
            </w:r>
            <w:r>
              <w:rPr>
                <w:rFonts w:hint="eastAsia"/>
              </w:rPr>
              <w:t>t/h</w:t>
            </w:r>
            <w:r>
              <w:t>和2</w:t>
            </w:r>
            <w:r>
              <w:rPr>
                <w:rFonts w:hint="eastAsia"/>
              </w:rPr>
              <w:t>t/h</w:t>
            </w:r>
            <w:r>
              <w:t>天然气锅炉各一台（套），新建印染废水处理</w:t>
            </w:r>
            <w:r>
              <w:rPr>
                <w:rFonts w:hint="eastAsia"/>
              </w:rPr>
              <w:t>及中水回用</w:t>
            </w:r>
            <w:r>
              <w:t>装置一套及配套公用设施。搬迁建成投产后，将形成年产1800万米高档牛仔布的生产能力</w:t>
            </w:r>
          </w:p>
        </w:tc>
      </w:tr>
      <w:tr>
        <w:tblPrEx>
          <w:tblW w:w="5000" w:type="pct"/>
          <w:tblCellMar>
            <w:top w:w="0" w:type="dxa"/>
            <w:left w:w="108" w:type="dxa"/>
            <w:bottom w:w="0" w:type="dxa"/>
            <w:right w:w="108" w:type="dxa"/>
          </w:tblCellMar>
          <w:tblLook w:val="0000"/>
        </w:tblPrEx>
        <w:trPr>
          <w:cantSplit/>
          <w:trHeight w:val="369"/>
        </w:trPr>
        <w:tc>
          <w:tcPr>
            <w:tcW w:w="257" w:type="pct"/>
            <w:vMerge/>
            <w:vAlign w:val="center"/>
          </w:tcPr>
          <w:p>
            <w:pPr>
              <w:pStyle w:val="a"/>
            </w:pPr>
          </w:p>
        </w:tc>
        <w:tc>
          <w:tcPr>
            <w:tcW w:w="1447" w:type="pct"/>
            <w:gridSpan w:val="3"/>
            <w:vAlign w:val="center"/>
          </w:tcPr>
          <w:p>
            <w:pPr>
              <w:pStyle w:val="a"/>
            </w:pPr>
            <w:r>
              <w:t>主要建筑及布局</w:t>
            </w:r>
          </w:p>
        </w:tc>
        <w:tc>
          <w:tcPr>
            <w:tcW w:w="3296" w:type="pct"/>
            <w:gridSpan w:val="3"/>
            <w:vAlign w:val="center"/>
          </w:tcPr>
          <w:p>
            <w:pPr>
              <w:pStyle w:val="a0"/>
              <w:spacing w:before="43" w:beforeLines="10" w:after="43" w:afterLines="10" w:line="276" w:lineRule="auto"/>
              <w:ind w:firstLine="388" w:firstLineChars="0"/>
            </w:pPr>
            <w:r>
              <w:t>项目新建生产厂房</w:t>
            </w:r>
            <w:r>
              <w:rPr>
                <w:rFonts w:hint="eastAsia"/>
              </w:rPr>
              <w:t>2</w:t>
            </w:r>
            <w:r>
              <w:t>幢</w:t>
            </w:r>
            <w:r>
              <w:rPr>
                <w:rFonts w:hint="eastAsia"/>
              </w:rPr>
              <w:t>（6#、7#厂房）</w:t>
            </w:r>
            <w:r>
              <w:t>，</w:t>
            </w:r>
            <w:r>
              <w:rPr>
                <w:rFonts w:hint="eastAsia"/>
              </w:rPr>
              <w:t>锅炉房</w:t>
            </w:r>
            <w:r>
              <w:t>1幢</w:t>
            </w:r>
            <w:r>
              <w:rPr>
                <w:rFonts w:hint="eastAsia"/>
              </w:rPr>
              <w:t>、</w:t>
            </w:r>
            <w:r>
              <w:t>废水处理</w:t>
            </w:r>
            <w:r>
              <w:rPr>
                <w:rFonts w:hint="eastAsia"/>
              </w:rPr>
              <w:t>及中水回用</w:t>
            </w:r>
            <w:r>
              <w:t>装置一套</w:t>
            </w:r>
            <w:r>
              <w:rPr>
                <w:rFonts w:hint="eastAsia"/>
              </w:rPr>
              <w:t>，租用生活用房5#楼</w:t>
            </w:r>
            <w:r>
              <w:t>。</w:t>
            </w:r>
          </w:p>
          <w:p>
            <w:pPr>
              <w:pStyle w:val="a0"/>
              <w:spacing w:before="43" w:beforeLines="10" w:after="43" w:afterLines="10" w:line="276" w:lineRule="auto"/>
              <w:ind w:firstLine="388" w:firstLineChars="0"/>
            </w:pPr>
            <w:r>
              <w:t>具体建筑功能布置见</w:t>
            </w:r>
            <w:r>
              <w:fldChar w:fldCharType="begin"/>
            </w:r>
            <w:r>
              <w:instrText xml:space="preserve"> REF _Ref290904276 \h  \* MERGEFORMAT </w:instrText>
            </w:r>
            <w:r>
              <w:fldChar w:fldCharType="separate"/>
            </w:r>
            <w:r>
              <w:rPr>
                <w:rFonts w:hint="eastAsia"/>
              </w:rPr>
              <w:t>表</w:t>
            </w:r>
            <w:r>
              <w:t xml:space="preserve"> </w:t>
            </w:r>
            <w:r>
              <w:t>4.6</w:t>
            </w:r>
            <w:r>
              <w:noBreakHyphen/>
              <w:t>1</w:t>
            </w:r>
            <w:r>
              <w:fldChar w:fldCharType="end"/>
            </w:r>
            <w:r>
              <w:t>和项目平面布置图。</w:t>
            </w:r>
          </w:p>
        </w:tc>
      </w:tr>
      <w:tr>
        <w:tblPrEx>
          <w:tblW w:w="5000" w:type="pct"/>
          <w:tblCellMar>
            <w:top w:w="0" w:type="dxa"/>
            <w:left w:w="108" w:type="dxa"/>
            <w:bottom w:w="0" w:type="dxa"/>
            <w:right w:w="108" w:type="dxa"/>
          </w:tblCellMar>
          <w:tblLook w:val="0000"/>
        </w:tblPrEx>
        <w:trPr>
          <w:cantSplit/>
          <w:trHeight w:val="369"/>
        </w:trPr>
        <w:tc>
          <w:tcPr>
            <w:tcW w:w="257" w:type="pct"/>
            <w:vMerge/>
            <w:vAlign w:val="center"/>
          </w:tcPr>
          <w:p>
            <w:pPr>
              <w:pStyle w:val="a"/>
            </w:pPr>
          </w:p>
        </w:tc>
        <w:tc>
          <w:tcPr>
            <w:tcW w:w="1447" w:type="pct"/>
            <w:gridSpan w:val="3"/>
            <w:vAlign w:val="center"/>
          </w:tcPr>
          <w:p>
            <w:pPr>
              <w:pStyle w:val="a"/>
            </w:pPr>
            <w:r>
              <w:t>生产组织及食宿</w:t>
            </w:r>
          </w:p>
        </w:tc>
        <w:tc>
          <w:tcPr>
            <w:tcW w:w="3296" w:type="pct"/>
            <w:gridSpan w:val="3"/>
            <w:vAlign w:val="center"/>
          </w:tcPr>
          <w:p>
            <w:pPr>
              <w:pStyle w:val="a0"/>
              <w:spacing w:before="43" w:beforeLines="10" w:after="43" w:afterLines="10" w:line="276" w:lineRule="auto"/>
              <w:ind w:firstLine="388" w:firstLineChars="0"/>
            </w:pPr>
            <w:r>
              <w:t>新增劳动定员</w:t>
            </w:r>
            <w:r>
              <w:rPr>
                <w:rFonts w:hint="eastAsia"/>
              </w:rPr>
              <w:t>280</w:t>
            </w:r>
            <w:r>
              <w:t>人，采用</w:t>
            </w:r>
            <w:r>
              <w:rPr>
                <w:rFonts w:hint="eastAsia"/>
              </w:rPr>
              <w:t>三</w:t>
            </w:r>
            <w:r>
              <w:t>班制，每班生产时间为</w:t>
            </w:r>
            <w:r>
              <w:rPr>
                <w:rFonts w:hint="eastAsia"/>
              </w:rPr>
              <w:t>8</w:t>
            </w:r>
            <w:r>
              <w:t>小时，年工作300天。企业提供部分职工食宿。</w:t>
            </w:r>
          </w:p>
        </w:tc>
      </w:tr>
      <w:tr>
        <w:tblPrEx>
          <w:tblW w:w="5000" w:type="pct"/>
          <w:tblCellMar>
            <w:top w:w="0" w:type="dxa"/>
            <w:left w:w="108" w:type="dxa"/>
            <w:bottom w:w="0" w:type="dxa"/>
            <w:right w:w="108" w:type="dxa"/>
          </w:tblCellMar>
          <w:tblLook w:val="0000"/>
        </w:tblPrEx>
        <w:trPr>
          <w:cantSplit/>
          <w:trHeight w:val="69"/>
        </w:trPr>
        <w:tc>
          <w:tcPr>
            <w:tcW w:w="257" w:type="pct"/>
            <w:vMerge w:val="restart"/>
            <w:vAlign w:val="center"/>
          </w:tcPr>
          <w:p>
            <w:pPr>
              <w:pStyle w:val="a"/>
              <w:rPr>
                <w:szCs w:val="21"/>
              </w:rPr>
            </w:pPr>
            <w:r>
              <w:rPr>
                <w:szCs w:val="21"/>
              </w:rPr>
              <w:t>辅助</w:t>
            </w:r>
          </w:p>
          <w:p>
            <w:pPr>
              <w:pStyle w:val="a"/>
              <w:rPr>
                <w:szCs w:val="21"/>
              </w:rPr>
            </w:pPr>
            <w:r>
              <w:rPr>
                <w:szCs w:val="21"/>
              </w:rPr>
              <w:t>工程</w:t>
            </w:r>
          </w:p>
        </w:tc>
        <w:tc>
          <w:tcPr>
            <w:tcW w:w="356" w:type="pct"/>
            <w:vMerge w:val="restart"/>
            <w:vAlign w:val="center"/>
          </w:tcPr>
          <w:p>
            <w:pPr>
              <w:pStyle w:val="a"/>
              <w:rPr>
                <w:szCs w:val="21"/>
              </w:rPr>
            </w:pPr>
            <w:r>
              <w:rPr>
                <w:szCs w:val="21"/>
              </w:rPr>
              <w:t>公用工程</w:t>
            </w:r>
          </w:p>
        </w:tc>
        <w:tc>
          <w:tcPr>
            <w:tcW w:w="371" w:type="pct"/>
            <w:vAlign w:val="center"/>
          </w:tcPr>
          <w:p>
            <w:pPr>
              <w:pStyle w:val="a"/>
              <w:rPr>
                <w:szCs w:val="21"/>
              </w:rPr>
            </w:pPr>
            <w:r>
              <w:rPr>
                <w:szCs w:val="21"/>
              </w:rPr>
              <w:t>给水</w:t>
            </w:r>
          </w:p>
        </w:tc>
        <w:tc>
          <w:tcPr>
            <w:tcW w:w="720" w:type="pct"/>
            <w:vAlign w:val="center"/>
          </w:tcPr>
          <w:p>
            <w:pPr>
              <w:pStyle w:val="a"/>
              <w:rPr>
                <w:szCs w:val="21"/>
              </w:rPr>
            </w:pPr>
            <w:r>
              <w:rPr>
                <w:szCs w:val="21"/>
              </w:rPr>
              <w:t>生产、生活供水系统</w:t>
            </w:r>
          </w:p>
        </w:tc>
        <w:tc>
          <w:tcPr>
            <w:tcW w:w="3296" w:type="pct"/>
            <w:gridSpan w:val="3"/>
            <w:vAlign w:val="center"/>
          </w:tcPr>
          <w:p>
            <w:pPr>
              <w:pStyle w:val="a"/>
              <w:ind w:firstLine="420" w:firstLineChars="200"/>
              <w:jc w:val="both"/>
              <w:rPr>
                <w:szCs w:val="21"/>
              </w:rPr>
            </w:pPr>
            <w:r>
              <w:rPr>
                <w:szCs w:val="21"/>
              </w:rPr>
              <w:t>项目生产用水采用工业自来水，生活用水采用</w:t>
            </w:r>
            <w:r>
              <w:rPr>
                <w:rFonts w:hint="eastAsia"/>
                <w:szCs w:val="21"/>
              </w:rPr>
              <w:t>生活</w:t>
            </w:r>
            <w:r>
              <w:rPr>
                <w:szCs w:val="21"/>
              </w:rPr>
              <w:t>自来水。</w:t>
            </w:r>
          </w:p>
        </w:tc>
      </w:tr>
      <w:tr>
        <w:tblPrEx>
          <w:tblW w:w="5000" w:type="pct"/>
          <w:tblCellMar>
            <w:top w:w="0" w:type="dxa"/>
            <w:left w:w="108" w:type="dxa"/>
            <w:bottom w:w="0" w:type="dxa"/>
            <w:right w:w="108" w:type="dxa"/>
          </w:tblCellMar>
          <w:tblLook w:val="0000"/>
        </w:tblPrEx>
        <w:trPr>
          <w:cantSplit/>
          <w:trHeight w:val="592"/>
        </w:trPr>
        <w:tc>
          <w:tcPr>
            <w:tcW w:w="257" w:type="pct"/>
            <w:vMerge/>
            <w:vAlign w:val="center"/>
          </w:tcPr>
          <w:p>
            <w:pPr>
              <w:pStyle w:val="a"/>
              <w:rPr>
                <w:szCs w:val="21"/>
              </w:rPr>
            </w:pPr>
          </w:p>
        </w:tc>
        <w:tc>
          <w:tcPr>
            <w:tcW w:w="356" w:type="pct"/>
            <w:vMerge/>
            <w:vAlign w:val="center"/>
          </w:tcPr>
          <w:p>
            <w:pPr>
              <w:pStyle w:val="a"/>
              <w:rPr>
                <w:szCs w:val="21"/>
              </w:rPr>
            </w:pPr>
          </w:p>
        </w:tc>
        <w:tc>
          <w:tcPr>
            <w:tcW w:w="1091" w:type="pct"/>
            <w:gridSpan w:val="2"/>
            <w:vAlign w:val="center"/>
          </w:tcPr>
          <w:p>
            <w:pPr>
              <w:pStyle w:val="a"/>
              <w:rPr>
                <w:szCs w:val="21"/>
              </w:rPr>
            </w:pPr>
            <w:r>
              <w:rPr>
                <w:szCs w:val="21"/>
              </w:rPr>
              <w:t>排水</w:t>
            </w:r>
          </w:p>
        </w:tc>
        <w:tc>
          <w:tcPr>
            <w:tcW w:w="3296" w:type="pct"/>
            <w:gridSpan w:val="3"/>
            <w:vAlign w:val="center"/>
          </w:tcPr>
          <w:p>
            <w:pPr>
              <w:pStyle w:val="a"/>
              <w:ind w:firstLine="420" w:firstLineChars="200"/>
              <w:jc w:val="both"/>
              <w:rPr>
                <w:szCs w:val="21"/>
              </w:rPr>
            </w:pPr>
            <w:r>
              <w:rPr>
                <w:szCs w:val="21"/>
              </w:rPr>
              <w:t>清污分流、雨污分流。生活污水经化粪池、隔油池初步处理后与生产废水一起经厂区污水处理装置处理达标后排入</w:t>
            </w:r>
            <w:r>
              <w:t>城市排污管网</w:t>
            </w:r>
            <w:r>
              <w:rPr>
                <w:szCs w:val="21"/>
              </w:rPr>
              <w:t>，最终纳入</w:t>
            </w:r>
            <w:r>
              <w:rPr>
                <w:rFonts w:hint="eastAsia"/>
                <w:szCs w:val="21"/>
              </w:rPr>
              <w:t>上虞</w:t>
            </w:r>
            <w:r>
              <w:rPr>
                <w:szCs w:val="21"/>
              </w:rPr>
              <w:t>污水处理厂。</w:t>
            </w:r>
          </w:p>
        </w:tc>
      </w:tr>
      <w:tr>
        <w:tblPrEx>
          <w:tblW w:w="5000" w:type="pct"/>
          <w:tblCellMar>
            <w:top w:w="0" w:type="dxa"/>
            <w:left w:w="108" w:type="dxa"/>
            <w:bottom w:w="0" w:type="dxa"/>
            <w:right w:w="108" w:type="dxa"/>
          </w:tblCellMar>
          <w:tblLook w:val="0000"/>
        </w:tblPrEx>
        <w:trPr>
          <w:cantSplit/>
          <w:trHeight w:val="862"/>
        </w:trPr>
        <w:tc>
          <w:tcPr>
            <w:tcW w:w="257" w:type="pct"/>
            <w:vMerge/>
            <w:vAlign w:val="center"/>
          </w:tcPr>
          <w:p>
            <w:pPr>
              <w:pStyle w:val="a"/>
              <w:rPr>
                <w:szCs w:val="21"/>
              </w:rPr>
            </w:pPr>
          </w:p>
        </w:tc>
        <w:tc>
          <w:tcPr>
            <w:tcW w:w="356" w:type="pct"/>
            <w:vMerge/>
            <w:vAlign w:val="center"/>
          </w:tcPr>
          <w:p>
            <w:pPr>
              <w:pStyle w:val="a"/>
              <w:rPr>
                <w:szCs w:val="21"/>
              </w:rPr>
            </w:pPr>
          </w:p>
        </w:tc>
        <w:tc>
          <w:tcPr>
            <w:tcW w:w="1091" w:type="pct"/>
            <w:gridSpan w:val="2"/>
            <w:vAlign w:val="center"/>
          </w:tcPr>
          <w:p>
            <w:pPr>
              <w:pStyle w:val="a"/>
              <w:rPr>
                <w:szCs w:val="21"/>
              </w:rPr>
            </w:pPr>
            <w:r>
              <w:rPr>
                <w:szCs w:val="21"/>
              </w:rPr>
              <w:t>供电</w:t>
            </w:r>
          </w:p>
        </w:tc>
        <w:tc>
          <w:tcPr>
            <w:tcW w:w="3296" w:type="pct"/>
            <w:gridSpan w:val="3"/>
            <w:vAlign w:val="center"/>
          </w:tcPr>
          <w:p>
            <w:pPr>
              <w:pStyle w:val="a0"/>
              <w:ind w:firstLine="388"/>
              <w:rPr>
                <w:szCs w:val="21"/>
              </w:rPr>
            </w:pPr>
            <w:r>
              <w:t>用电由绍兴滨海新城沥海工业区</w:t>
            </w:r>
            <w:r>
              <w:rPr>
                <w:rFonts w:hint="eastAsia"/>
              </w:rPr>
              <w:t>统一</w:t>
            </w:r>
            <w:r>
              <w:t>供应。</w:t>
            </w:r>
          </w:p>
        </w:tc>
      </w:tr>
      <w:tr>
        <w:tblPrEx>
          <w:tblW w:w="5000" w:type="pct"/>
          <w:tblCellMar>
            <w:top w:w="0" w:type="dxa"/>
            <w:left w:w="108" w:type="dxa"/>
            <w:bottom w:w="0" w:type="dxa"/>
            <w:right w:w="108" w:type="dxa"/>
          </w:tblCellMar>
          <w:tblLook w:val="0000"/>
        </w:tblPrEx>
        <w:trPr>
          <w:cantSplit/>
          <w:trHeight w:val="862"/>
        </w:trPr>
        <w:tc>
          <w:tcPr>
            <w:tcW w:w="257" w:type="pct"/>
            <w:vMerge/>
            <w:vAlign w:val="center"/>
          </w:tcPr>
          <w:p>
            <w:pPr>
              <w:pStyle w:val="a"/>
              <w:rPr>
                <w:szCs w:val="21"/>
              </w:rPr>
            </w:pPr>
          </w:p>
        </w:tc>
        <w:tc>
          <w:tcPr>
            <w:tcW w:w="356" w:type="pct"/>
            <w:vMerge/>
            <w:vAlign w:val="center"/>
          </w:tcPr>
          <w:p>
            <w:pPr>
              <w:pStyle w:val="a"/>
              <w:rPr>
                <w:szCs w:val="21"/>
              </w:rPr>
            </w:pPr>
          </w:p>
        </w:tc>
        <w:tc>
          <w:tcPr>
            <w:tcW w:w="1091" w:type="pct"/>
            <w:gridSpan w:val="2"/>
            <w:vAlign w:val="center"/>
          </w:tcPr>
          <w:p>
            <w:pPr>
              <w:pStyle w:val="a"/>
              <w:rPr>
                <w:szCs w:val="21"/>
              </w:rPr>
            </w:pPr>
            <w:r>
              <w:rPr>
                <w:szCs w:val="21"/>
              </w:rPr>
              <w:t>供气</w:t>
            </w:r>
          </w:p>
        </w:tc>
        <w:tc>
          <w:tcPr>
            <w:tcW w:w="3296" w:type="pct"/>
            <w:gridSpan w:val="3"/>
            <w:vAlign w:val="center"/>
          </w:tcPr>
          <w:p>
            <w:pPr>
              <w:pStyle w:val="a0"/>
              <w:ind w:firstLine="388"/>
              <w:rPr>
                <w:szCs w:val="21"/>
              </w:rPr>
            </w:pPr>
            <w:r>
              <w:rPr>
                <w:rFonts w:hint="eastAsia"/>
              </w:rPr>
              <w:t>项目</w:t>
            </w:r>
            <w:r>
              <w:rPr>
                <w:szCs w:val="21"/>
              </w:rPr>
              <w:t>天然气</w:t>
            </w:r>
            <w:r>
              <w:rPr>
                <w:rFonts w:hint="eastAsia"/>
                <w:szCs w:val="21"/>
              </w:rPr>
              <w:t>由绍兴市江滨天然气有限公司提供。</w:t>
            </w:r>
          </w:p>
        </w:tc>
      </w:tr>
    </w:tbl>
    <w:p>
      <w:r>
        <w:br/>
      </w:r>
      <w:r>
        <w:br/>
      </w:r>
    </w:p>
    <w:p>
      <w:pPr>
        <w:contextualSpacing w:val="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https://d.book118.com/237041105064006054</w:t>
        </w:r>
      </w:hyperlink>
    </w:p>
    <w:p/>
    <w:sectPr>
      <w:headerReference w:type="default" r:id="rId23"/>
      <w:footerReference w:type="default" r:id="rId24"/>
      <w:pgSz w:w="11907" w:h="16840"/>
      <w:pgMar w:top="1418" w:right="1701" w:bottom="1559" w:left="1701" w:header="902" w:footer="907" w:gutter="0"/>
      <w:pgNumType w:start="7"/>
      <w:cols w:space="708"/>
      <w:docGrid w:type="linesAndChars" w:linePitch="433" w:charSpace="-3315"/>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3">
      <wne:acd wne:acdName="acd1"/>
    </wne:keymap>
    <wne:keymap wne:kcmPrimary="0441" wne:kcmSecondary="0031">
      <wne:acd wne:acdName="acd2"/>
    </wne:keymap>
    <wne:keymap wne:kcmPrimary="0441" wne:kcmSecondary="0032">
      <wne:acd wne:acdName="acd3"/>
    </wne:keymap>
    <wne:keymap wne:kcmPrimary="0631">
      <wne:acd wne:acdName="acd4"/>
    </wne:keymap>
  </wne:keymaps>
  <wne:toolbars>
    <wne:acdManifest>
      <wne:acdEntry wne:acdName="acd0"/>
      <wne:acdEntry wne:acdName="acd1"/>
      <wne:acdEntry wne:acdName="acd2"/>
      <wne:acdEntry wne:acdName="acd3"/>
      <wne:acdEntry wne:acdName="acd4"/>
    </wne:acdManifest>
  </wne:toolbars>
  <wne:acds>
    <wne:acd wne:argValue="AQAAABwA&#10;" wne:acdName="acd0" wne:fciIndexBasedOn="0065"/>
    <wne:acd wne:argValue="AQAAAAMA&#10;" wne:acdName="acd1" wne:fciIndexBasedOn="0065"/>
    <wne:acd wne:argValue="AgBja4dlFn/3UygAMQApAA==&#10;" wne:acdName="acd2" wne:fciIndexBasedOn="0065"/>
    <wne:acd wne:argValue="AgBoiDxoY2uHZRZ/91MI/zEACf8=&#10;" wne:acdName="acd3" wne:fciIndexBasedOn="0065"/>
    <wne:acd wne:argValue="AQAAAAEA&#10;" wne:acdName="acd4" wne:fciIndexBasedOn="0065"/>
  </wne:acds>
</wne:tcg>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华文新魏">
    <w:panose1 w:val="02010800040101010101"/>
    <w:charset w:val="86"/>
    <w:family w:val="auto"/>
    <w:pitch w:val="default"/>
    <w:sig w:usb0="00000001" w:usb1="080F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Arial Unicode MS">
    <w:panose1 w:val="020B0604020202020204"/>
    <w:charset w:val="86"/>
    <w:family w:val="swiss"/>
    <w:pitch w:val="default"/>
    <w:sig w:usb0="F7FFAEFF" w:usb1="F9DFFFFF" w:usb2="0000007F" w:usb3="00000000" w:csb0="203F01FF" w:csb1="DFFF0000"/>
  </w:font>
  <w:font w:name="仿宋_GB2312">
    <w:altName w:val="仿宋"/>
    <w:panose1 w:val="02010609030101010101"/>
    <w:charset w:val="86"/>
    <w:family w:val="modern"/>
    <w:pitch w:val="default"/>
    <w:sig w:usb0="00000001" w:usb1="080E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I</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3</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3</w:t>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4</w:t>
    </w:r>
    <w: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5</w:t>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6</w:t>
    </w:r>
    <w: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2907"/>
      <w:gridCol w:w="2908"/>
      <w:gridCol w:w="2906"/>
    </w:tblGrid>
    <w:tr>
      <w:tblPrEx>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c>
        <w:tcPr>
          <w:tcW w:w="1667" w:type="pct"/>
        </w:tcPr>
        <w:p>
          <w:pPr>
            <w:pStyle w:val="Footer"/>
            <w:tabs>
              <w:tab w:val="center" w:pos="4153"/>
              <w:tab w:val="right" w:pos="8306"/>
            </w:tabs>
          </w:pPr>
        </w:p>
      </w:tc>
      <w:tc>
        <w:tcPr>
          <w:tcW w:w="1667" w:type="pct"/>
          <w:vAlign w:val="center"/>
        </w:tcPr>
        <w:p>
          <w:pPr>
            <w:pStyle w:val="Footer"/>
            <w:tabs>
              <w:tab w:val="center" w:pos="4153"/>
              <w:tab w:val="right" w:pos="8306"/>
            </w:tabs>
            <w:jc w:val="center"/>
          </w:pPr>
          <w:r>
            <w:rPr>
              <w:rFonts w:hint="eastAsia"/>
            </w:rPr>
            <w:t>-</w:t>
          </w:r>
          <w:r>
            <w:fldChar w:fldCharType="begin"/>
          </w:r>
          <w:r>
            <w:instrText xml:space="preserve"> PAGE   \* MERGEFORMAT </w:instrText>
          </w:r>
          <w:r>
            <w:fldChar w:fldCharType="separate"/>
          </w:r>
          <w:r>
            <w:rPr>
              <w:rFonts w:ascii="Times New Roman" w:eastAsia="宋体" w:hAnsi="Times New Roman"/>
              <w:sz w:val="18"/>
              <w:szCs w:val="18"/>
              <w:lang w:val="zh-CN" w:bidi="ar-SA"/>
            </w:rPr>
            <w:t>8</w:t>
          </w:r>
          <w:r>
            <w:fldChar w:fldCharType="end"/>
          </w:r>
          <w:r>
            <w:rPr>
              <w:rFonts w:hint="eastAsia"/>
            </w:rPr>
            <w:t>-</w:t>
          </w:r>
        </w:p>
      </w:tc>
      <w:tc>
        <w:tcPr>
          <w:tcW w:w="1667" w:type="pct"/>
          <w:vAlign w:val="center"/>
        </w:tcPr>
        <w:p>
          <w:pPr>
            <w:pStyle w:val="Footer"/>
            <w:tabs>
              <w:tab w:val="center" w:pos="4153"/>
              <w:tab w:val="right" w:pos="8306"/>
            </w:tabs>
            <w:jc w:val="right"/>
          </w:pPr>
        </w:p>
      </w:tc>
    </w:tr>
  </w:tb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A672A"/>
    <w:multiLevelType w:val="multilevel"/>
    <w:tmpl w:val="03EA672A"/>
    <w:lvl w:ilvl="0">
      <w:start w:val="1"/>
      <w:numFmt w:val="decimal"/>
      <w:lvlText w:val="(%1)"/>
      <w:lvlJc w:val="center"/>
      <w:pPr>
        <w:ind w:left="0" w:firstLine="34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4CC3E0C"/>
    <w:multiLevelType w:val="multilevel"/>
    <w:tmpl w:val="04CC3E0C"/>
    <w:lvl w:ilvl="0">
      <w:start w:val="1"/>
      <w:numFmt w:val="decimal"/>
      <w:lvlText w:val="%1"/>
      <w:lvlJc w:val="center"/>
      <w:pPr>
        <w:ind w:left="420" w:hanging="25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F4A3B2F"/>
    <w:multiLevelType w:val="multilevel"/>
    <w:tmpl w:val="0F4A3B2F"/>
    <w:lvl w:ilvl="0">
      <w:start w:val="1"/>
      <w:numFmt w:val="decimal"/>
      <w:lvlText w:val="%1、"/>
      <w:lvlJc w:val="left"/>
      <w:pPr>
        <w:ind w:left="0" w:firstLine="397"/>
      </w:pPr>
      <w:rPr>
        <w:rFonts w:ascii="Times New Roman" w:eastAsia="宋体" w:hAnsi="Times New Roman" w:hint="default"/>
        <w:b/>
        <w:i w:val="0"/>
        <w:sz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
    <w:nsid w:val="16502676"/>
    <w:multiLevelType w:val="multilevel"/>
    <w:tmpl w:val="16502676"/>
    <w:lvl w:ilvl="0">
      <w:start w:val="1"/>
      <w:numFmt w:val="decimal"/>
      <w:suff w:val="space"/>
      <w:lvlText w:val="第%1章"/>
      <w:lvlJc w:val="left"/>
      <w:pPr>
        <w:ind w:left="3381"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1">
      <w:start w:val="1"/>
      <w:numFmt w:val="decimal"/>
      <w:suff w:val="space"/>
      <w:lvlText w:val="%1.%2    "/>
      <w:lvlJc w:val="left"/>
      <w:pPr>
        <w:ind w:left="0" w:firstLine="0"/>
      </w:pPr>
      <w:rPr>
        <w:rFonts w:ascii="Times New Roman" w:eastAsia="宋体" w:hAnsi="Times New Roman" w:hint="default"/>
        <w:b/>
        <w:i w:val="0"/>
        <w:sz w:val="28"/>
      </w:rPr>
    </w:lvl>
    <w:lvl w:ilvl="2">
      <w:start w:val="1"/>
      <w:numFmt w:val="decimal"/>
      <w:lvlRestart w:val="1"/>
      <w:suff w:val="space"/>
      <w:lvlText w:val="%1.%2.%3       "/>
      <w:lvlJc w:val="left"/>
      <w:pPr>
        <w:ind w:left="6096" w:firstLine="0"/>
      </w:pPr>
      <w:rPr>
        <w:rFonts w:ascii="Times New Roman" w:eastAsia="宋体" w:hAnsi="Times New Roman" w:hint="default"/>
        <w:b/>
        <w:i w:val="0"/>
        <w:sz w:val="24"/>
      </w:rPr>
    </w:lvl>
    <w:lvl w:ilvl="3">
      <w:start w:val="1"/>
      <w:numFmt w:val="decimal"/>
      <w:lvlRestart w:val="1"/>
      <w:suff w:val="space"/>
      <w:lvlText w:val="%1.%2.%3.%4       "/>
      <w:lvlJc w:val="left"/>
      <w:pPr>
        <w:ind w:left="-164" w:firstLine="0"/>
      </w:pPr>
      <w:rPr>
        <w:rFonts w:ascii="Times New Roman" w:eastAsia="宋体" w:hAnsi="Times New Roman" w:cs="Arial" w:hint="default"/>
        <w:b/>
        <w:i w:val="0"/>
        <w:sz w:val="24"/>
        <w:szCs w:val="24"/>
      </w:rPr>
    </w:lvl>
    <w:lvl w:ilvl="4">
      <w:start w:val="1"/>
      <w:numFmt w:val="decimal"/>
      <w:lvlRestart w:val="1"/>
      <w:suff w:val="space"/>
      <w:lvlText w:val="%5、"/>
      <w:lvlJc w:val="left"/>
      <w:pPr>
        <w:ind w:left="240" w:firstLine="0"/>
      </w:pPr>
      <w:rPr>
        <w:rFonts w:ascii="Times New Roman" w:eastAsia="宋体" w:hAnsi="Times New Roman" w:hint="default"/>
        <w:sz w:val="24"/>
      </w:rPr>
    </w:lvl>
    <w:lvl w:ilvl="5">
      <w:start w:val="1"/>
      <w:numFmt w:val="none"/>
      <w:suff w:val="space"/>
      <w:lvlJc w:val="left"/>
      <w:pPr>
        <w:ind w:left="240" w:firstLine="0"/>
      </w:pPr>
      <w:rPr>
        <w:rFonts w:hint="eastAsia"/>
      </w:rPr>
    </w:lvl>
    <w:lvl w:ilvl="6">
      <w:start w:val="1"/>
      <w:numFmt w:val="decimal"/>
      <w:lvlText w:val="%1.%2.%3.%4.%5.%6.%7."/>
      <w:lvlJc w:val="left"/>
      <w:pPr>
        <w:tabs>
          <w:tab w:val="num" w:pos="3896"/>
        </w:tabs>
        <w:ind w:left="240" w:firstLine="0"/>
      </w:pPr>
      <w:rPr>
        <w:rFonts w:hint="eastAsia"/>
      </w:rPr>
    </w:lvl>
    <w:lvl w:ilvl="7">
      <w:start w:val="1"/>
      <w:numFmt w:val="decimal"/>
      <w:lvlText w:val="%1.%2.%3.%4.%5.%6.%7.%8."/>
      <w:lvlJc w:val="left"/>
      <w:pPr>
        <w:tabs>
          <w:tab w:val="num" w:pos="3896"/>
        </w:tabs>
        <w:ind w:left="240" w:firstLine="0"/>
      </w:pPr>
      <w:rPr>
        <w:rFonts w:hint="eastAsia"/>
      </w:rPr>
    </w:lvl>
    <w:lvl w:ilvl="8">
      <w:start w:val="1"/>
      <w:numFmt w:val="decimal"/>
      <w:lvlText w:val="%1.%2.%3.%4.%5.%6.%7.%8.%9."/>
      <w:lvlJc w:val="left"/>
      <w:pPr>
        <w:tabs>
          <w:tab w:val="num" w:pos="3896"/>
        </w:tabs>
        <w:ind w:left="240" w:firstLine="0"/>
      </w:pPr>
      <w:rPr>
        <w:rFonts w:hint="eastAsia"/>
      </w:rPr>
    </w:lvl>
  </w:abstractNum>
  <w:abstractNum w:abstractNumId="4">
    <w:nsid w:val="20192776"/>
    <w:multiLevelType w:val="multilevel"/>
    <w:tmpl w:val="20192776"/>
    <w:lvl w:ilvl="0">
      <w:start w:val="1"/>
      <w:numFmt w:val="decimal"/>
      <w:lvlText w:val="&lt;%1&gt;"/>
      <w:lvlJc w:val="left"/>
      <w:pPr>
        <w:ind w:left="1441" w:hanging="420"/>
      </w:pPr>
      <w:rPr>
        <w:rFonts w:ascii="宋体" w:eastAsia="宋体" w:hAnsi="宋体" w:cs="宋体" w:hint="default"/>
      </w:rPr>
    </w:lvl>
    <w:lvl w:ilvl="1">
      <w:start w:val="1"/>
      <w:numFmt w:val="lowerLetter"/>
      <w:lvlText w:val="%2)"/>
      <w:lvlJc w:val="left"/>
      <w:pPr>
        <w:ind w:left="1861" w:hanging="420"/>
      </w:pPr>
    </w:lvl>
    <w:lvl w:ilvl="2">
      <w:start w:val="1"/>
      <w:numFmt w:val="lowerRoman"/>
      <w:lvlText w:val="%3."/>
      <w:lvlJc w:val="right"/>
      <w:pPr>
        <w:ind w:left="2281" w:hanging="420"/>
      </w:pPr>
    </w:lvl>
    <w:lvl w:ilvl="3">
      <w:start w:val="1"/>
      <w:numFmt w:val="decimal"/>
      <w:lvlText w:val="%4."/>
      <w:lvlJc w:val="left"/>
      <w:pPr>
        <w:ind w:left="2701" w:hanging="420"/>
      </w:pPr>
    </w:lvl>
    <w:lvl w:ilvl="4">
      <w:start w:val="1"/>
      <w:numFmt w:val="lowerLetter"/>
      <w:lvlText w:val="%5)"/>
      <w:lvlJc w:val="left"/>
      <w:pPr>
        <w:ind w:left="3121" w:hanging="420"/>
      </w:pPr>
    </w:lvl>
    <w:lvl w:ilvl="5">
      <w:start w:val="1"/>
      <w:numFmt w:val="lowerRoman"/>
      <w:lvlText w:val="%6."/>
      <w:lvlJc w:val="right"/>
      <w:pPr>
        <w:ind w:left="3541" w:hanging="420"/>
      </w:pPr>
    </w:lvl>
    <w:lvl w:ilvl="6">
      <w:start w:val="1"/>
      <w:numFmt w:val="decimal"/>
      <w:lvlText w:val="%7."/>
      <w:lvlJc w:val="left"/>
      <w:pPr>
        <w:ind w:left="3961" w:hanging="420"/>
      </w:pPr>
    </w:lvl>
    <w:lvl w:ilvl="7">
      <w:start w:val="1"/>
      <w:numFmt w:val="lowerLetter"/>
      <w:lvlText w:val="%8)"/>
      <w:lvlJc w:val="left"/>
      <w:pPr>
        <w:ind w:left="4381" w:hanging="420"/>
      </w:pPr>
    </w:lvl>
    <w:lvl w:ilvl="8">
      <w:start w:val="1"/>
      <w:numFmt w:val="lowerRoman"/>
      <w:lvlText w:val="%9."/>
      <w:lvlJc w:val="right"/>
      <w:pPr>
        <w:ind w:left="4801" w:hanging="420"/>
      </w:pPr>
    </w:lvl>
  </w:abstractNum>
  <w:abstractNum w:abstractNumId="5">
    <w:nsid w:val="24370EB5"/>
    <w:multiLevelType w:val="multilevel"/>
    <w:tmpl w:val="24370EB5"/>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14CEC91"/>
    <w:multiLevelType w:val="multilevel"/>
    <w:tmpl w:val="320F13A2"/>
    <w:lvl w:ilvl="0">
      <w:start w:val="1"/>
      <w:numFmt w:val="decimal"/>
      <w:lvlText w:val="(%1)"/>
      <w:lvlJc w:val="left"/>
      <w:pPr>
        <w:ind w:left="0" w:firstLine="426"/>
      </w:pPr>
      <w:rPr>
        <w:rFonts w:ascii="Times New Roman" w:eastAsia="宋体" w:hAnsi="Times New Roman" w:hint="default"/>
        <w:b/>
        <w:i w:val="0"/>
        <w:color w:val="auto"/>
        <w:sz w:val="24"/>
      </w:rPr>
    </w:lvl>
    <w:lvl w:ilvl="1">
      <w:start w:val="1"/>
      <w:numFmt w:val="lowerLetter"/>
      <w:lvlText w:val="%2)"/>
      <w:lvlJc w:val="left"/>
      <w:pPr>
        <w:ind w:left="1288" w:hanging="420"/>
      </w:pPr>
      <w:rPr>
        <w:rFonts w:hint="eastAsia"/>
      </w:rPr>
    </w:lvl>
    <w:lvl w:ilvl="2">
      <w:start w:val="1"/>
      <w:numFmt w:val="lowerRoman"/>
      <w:lvlText w:val="%3."/>
      <w:lvlJc w:val="right"/>
      <w:pPr>
        <w:ind w:left="1708" w:hanging="420"/>
      </w:pPr>
      <w:rPr>
        <w:rFonts w:hint="eastAsia"/>
      </w:rPr>
    </w:lvl>
    <w:lvl w:ilvl="3">
      <w:start w:val="1"/>
      <w:numFmt w:val="decimal"/>
      <w:lvlText w:val="%4."/>
      <w:lvlJc w:val="left"/>
      <w:pPr>
        <w:ind w:left="2128" w:hanging="420"/>
      </w:pPr>
      <w:rPr>
        <w:rFonts w:hint="eastAsia"/>
      </w:rPr>
    </w:lvl>
    <w:lvl w:ilvl="4">
      <w:start w:val="1"/>
      <w:numFmt w:val="lowerLetter"/>
      <w:lvlText w:val="%5)"/>
      <w:lvlJc w:val="left"/>
      <w:pPr>
        <w:ind w:left="2548" w:hanging="420"/>
      </w:pPr>
      <w:rPr>
        <w:rFonts w:hint="eastAsia"/>
      </w:rPr>
    </w:lvl>
    <w:lvl w:ilvl="5">
      <w:start w:val="1"/>
      <w:numFmt w:val="lowerRoman"/>
      <w:lvlText w:val="%6."/>
      <w:lvlJc w:val="right"/>
      <w:pPr>
        <w:ind w:left="2968" w:hanging="420"/>
      </w:pPr>
      <w:rPr>
        <w:rFonts w:hint="eastAsia"/>
      </w:rPr>
    </w:lvl>
    <w:lvl w:ilvl="6">
      <w:start w:val="1"/>
      <w:numFmt w:val="decimal"/>
      <w:lvlText w:val="%7."/>
      <w:lvlJc w:val="left"/>
      <w:pPr>
        <w:ind w:left="3388" w:hanging="420"/>
      </w:pPr>
      <w:rPr>
        <w:rFonts w:hint="eastAsia"/>
      </w:rPr>
    </w:lvl>
    <w:lvl w:ilvl="7">
      <w:start w:val="1"/>
      <w:numFmt w:val="lowerLetter"/>
      <w:lvlText w:val="%8)"/>
      <w:lvlJc w:val="left"/>
      <w:pPr>
        <w:ind w:left="3808" w:hanging="420"/>
      </w:pPr>
      <w:rPr>
        <w:rFonts w:hint="eastAsia"/>
      </w:rPr>
    </w:lvl>
    <w:lvl w:ilvl="8">
      <w:start w:val="1"/>
      <w:numFmt w:val="lowerRoman"/>
      <w:lvlText w:val="%9."/>
      <w:lvlJc w:val="right"/>
      <w:pPr>
        <w:ind w:left="4228" w:hanging="420"/>
      </w:pPr>
      <w:rPr>
        <w:rFonts w:hint="eastAsia"/>
      </w:rPr>
    </w:lvl>
  </w:abstractNum>
  <w:abstractNum w:abstractNumId="7">
    <w:nsid w:val="320F13A2"/>
    <w:multiLevelType w:val="multilevel"/>
    <w:tmpl w:val="320F13A2"/>
    <w:lvl w:ilvl="0">
      <w:start w:val="1"/>
      <w:numFmt w:val="decimal"/>
      <w:lvlText w:val="(%1)"/>
      <w:lvlJc w:val="left"/>
      <w:pPr>
        <w:ind w:left="0" w:firstLine="426"/>
      </w:pPr>
      <w:rPr>
        <w:rFonts w:ascii="Times New Roman" w:eastAsia="宋体" w:hAnsi="Times New Roman" w:hint="default"/>
        <w:b/>
        <w:i w:val="0"/>
        <w:color w:val="auto"/>
        <w:sz w:val="24"/>
      </w:rPr>
    </w:lvl>
    <w:lvl w:ilvl="1">
      <w:start w:val="1"/>
      <w:numFmt w:val="lowerLetter"/>
      <w:lvlText w:val="%2)"/>
      <w:lvlJc w:val="left"/>
      <w:pPr>
        <w:ind w:left="1288" w:hanging="420"/>
      </w:pPr>
      <w:rPr>
        <w:rFonts w:hint="eastAsia"/>
      </w:rPr>
    </w:lvl>
    <w:lvl w:ilvl="2">
      <w:start w:val="1"/>
      <w:numFmt w:val="lowerRoman"/>
      <w:lvlText w:val="%3."/>
      <w:lvlJc w:val="right"/>
      <w:pPr>
        <w:ind w:left="1708" w:hanging="420"/>
      </w:pPr>
      <w:rPr>
        <w:rFonts w:hint="eastAsia"/>
      </w:rPr>
    </w:lvl>
    <w:lvl w:ilvl="3">
      <w:start w:val="1"/>
      <w:numFmt w:val="decimal"/>
      <w:lvlText w:val="%4."/>
      <w:lvlJc w:val="left"/>
      <w:pPr>
        <w:ind w:left="2128" w:hanging="420"/>
      </w:pPr>
      <w:rPr>
        <w:rFonts w:hint="eastAsia"/>
      </w:rPr>
    </w:lvl>
    <w:lvl w:ilvl="4">
      <w:start w:val="1"/>
      <w:numFmt w:val="lowerLetter"/>
      <w:lvlText w:val="%5)"/>
      <w:lvlJc w:val="left"/>
      <w:pPr>
        <w:ind w:left="2548" w:hanging="420"/>
      </w:pPr>
      <w:rPr>
        <w:rFonts w:hint="eastAsia"/>
      </w:rPr>
    </w:lvl>
    <w:lvl w:ilvl="5">
      <w:start w:val="1"/>
      <w:numFmt w:val="lowerRoman"/>
      <w:lvlText w:val="%6."/>
      <w:lvlJc w:val="right"/>
      <w:pPr>
        <w:ind w:left="2968" w:hanging="420"/>
      </w:pPr>
      <w:rPr>
        <w:rFonts w:hint="eastAsia"/>
      </w:rPr>
    </w:lvl>
    <w:lvl w:ilvl="6">
      <w:start w:val="1"/>
      <w:numFmt w:val="decimal"/>
      <w:lvlText w:val="%7."/>
      <w:lvlJc w:val="left"/>
      <w:pPr>
        <w:ind w:left="3388" w:hanging="420"/>
      </w:pPr>
      <w:rPr>
        <w:rFonts w:hint="eastAsia"/>
      </w:rPr>
    </w:lvl>
    <w:lvl w:ilvl="7">
      <w:start w:val="1"/>
      <w:numFmt w:val="lowerLetter"/>
      <w:lvlText w:val="%8)"/>
      <w:lvlJc w:val="left"/>
      <w:pPr>
        <w:ind w:left="3808" w:hanging="420"/>
      </w:pPr>
      <w:rPr>
        <w:rFonts w:hint="eastAsia"/>
      </w:rPr>
    </w:lvl>
    <w:lvl w:ilvl="8">
      <w:start w:val="1"/>
      <w:numFmt w:val="lowerRoman"/>
      <w:lvlText w:val="%9."/>
      <w:lvlJc w:val="right"/>
      <w:pPr>
        <w:ind w:left="4228" w:hanging="420"/>
      </w:pPr>
      <w:rPr>
        <w:rFonts w:hint="eastAsia"/>
      </w:rPr>
    </w:lvl>
  </w:abstractNum>
  <w:abstractNum w:abstractNumId="8">
    <w:nsid w:val="484347B2"/>
    <w:multiLevelType w:val="multilevel"/>
    <w:tmpl w:val="320F13A2"/>
    <w:lvl w:ilvl="0">
      <w:start w:val="1"/>
      <w:numFmt w:val="decimal"/>
      <w:lvlText w:val="(%1)"/>
      <w:lvlJc w:val="left"/>
      <w:pPr>
        <w:ind w:left="0" w:firstLine="426"/>
      </w:pPr>
      <w:rPr>
        <w:rFonts w:ascii="Times New Roman" w:eastAsia="宋体" w:hAnsi="Times New Roman" w:hint="default"/>
        <w:b/>
        <w:i w:val="0"/>
        <w:color w:val="auto"/>
        <w:sz w:val="24"/>
      </w:rPr>
    </w:lvl>
    <w:lvl w:ilvl="1">
      <w:start w:val="1"/>
      <w:numFmt w:val="lowerLetter"/>
      <w:lvlText w:val="%2)"/>
      <w:lvlJc w:val="left"/>
      <w:pPr>
        <w:ind w:left="1288" w:hanging="420"/>
      </w:pPr>
      <w:rPr>
        <w:rFonts w:hint="eastAsia"/>
      </w:rPr>
    </w:lvl>
    <w:lvl w:ilvl="2">
      <w:start w:val="1"/>
      <w:numFmt w:val="lowerRoman"/>
      <w:lvlText w:val="%3."/>
      <w:lvlJc w:val="right"/>
      <w:pPr>
        <w:ind w:left="1708" w:hanging="420"/>
      </w:pPr>
      <w:rPr>
        <w:rFonts w:hint="eastAsia"/>
      </w:rPr>
    </w:lvl>
    <w:lvl w:ilvl="3">
      <w:start w:val="1"/>
      <w:numFmt w:val="decimal"/>
      <w:lvlText w:val="%4."/>
      <w:lvlJc w:val="left"/>
      <w:pPr>
        <w:ind w:left="2128" w:hanging="420"/>
      </w:pPr>
      <w:rPr>
        <w:rFonts w:hint="eastAsia"/>
      </w:rPr>
    </w:lvl>
    <w:lvl w:ilvl="4">
      <w:start w:val="1"/>
      <w:numFmt w:val="lowerLetter"/>
      <w:lvlText w:val="%5)"/>
      <w:lvlJc w:val="left"/>
      <w:pPr>
        <w:ind w:left="2548" w:hanging="420"/>
      </w:pPr>
      <w:rPr>
        <w:rFonts w:hint="eastAsia"/>
      </w:rPr>
    </w:lvl>
    <w:lvl w:ilvl="5">
      <w:start w:val="1"/>
      <w:numFmt w:val="lowerRoman"/>
      <w:lvlText w:val="%6."/>
      <w:lvlJc w:val="right"/>
      <w:pPr>
        <w:ind w:left="2968" w:hanging="420"/>
      </w:pPr>
      <w:rPr>
        <w:rFonts w:hint="eastAsia"/>
      </w:rPr>
    </w:lvl>
    <w:lvl w:ilvl="6">
      <w:start w:val="1"/>
      <w:numFmt w:val="decimal"/>
      <w:lvlText w:val="%7."/>
      <w:lvlJc w:val="left"/>
      <w:pPr>
        <w:ind w:left="3388" w:hanging="420"/>
      </w:pPr>
      <w:rPr>
        <w:rFonts w:hint="eastAsia"/>
      </w:rPr>
    </w:lvl>
    <w:lvl w:ilvl="7">
      <w:start w:val="1"/>
      <w:numFmt w:val="lowerLetter"/>
      <w:lvlText w:val="%8)"/>
      <w:lvlJc w:val="left"/>
      <w:pPr>
        <w:ind w:left="3808" w:hanging="420"/>
      </w:pPr>
      <w:rPr>
        <w:rFonts w:hint="eastAsia"/>
      </w:rPr>
    </w:lvl>
    <w:lvl w:ilvl="8">
      <w:start w:val="1"/>
      <w:numFmt w:val="lowerRoman"/>
      <w:lvlText w:val="%9."/>
      <w:lvlJc w:val="right"/>
      <w:pPr>
        <w:ind w:left="4228" w:hanging="420"/>
      </w:pPr>
      <w:rPr>
        <w:rFonts w:hint="eastAsia"/>
      </w:rPr>
    </w:lvl>
  </w:abstractNum>
  <w:abstractNum w:abstractNumId="9">
    <w:nsid w:val="51352EAF"/>
    <w:multiLevelType w:val="multilevel"/>
    <w:tmpl w:val="51352EAF"/>
    <w:lvl w:ilvl="0">
      <w:start w:val="1"/>
      <w:numFmt w:val="decimal"/>
      <w:lvlText w:val="%1"/>
      <w:lvlJc w:val="center"/>
      <w:pPr>
        <w:ind w:left="420" w:hanging="25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85DCE10"/>
    <w:multiLevelType w:val="multilevel"/>
    <w:tmpl w:val="320F13A2"/>
    <w:lvl w:ilvl="0">
      <w:start w:val="1"/>
      <w:numFmt w:val="decimal"/>
      <w:lvlText w:val="(%1)"/>
      <w:lvlJc w:val="left"/>
      <w:pPr>
        <w:ind w:left="0" w:firstLine="426"/>
      </w:pPr>
      <w:rPr>
        <w:rFonts w:ascii="Times New Roman" w:eastAsia="宋体" w:hAnsi="Times New Roman" w:hint="default"/>
        <w:b/>
        <w:i w:val="0"/>
        <w:color w:val="auto"/>
        <w:sz w:val="24"/>
      </w:rPr>
    </w:lvl>
    <w:lvl w:ilvl="1">
      <w:start w:val="1"/>
      <w:numFmt w:val="lowerLetter"/>
      <w:lvlText w:val="%2)"/>
      <w:lvlJc w:val="left"/>
      <w:pPr>
        <w:ind w:left="1288" w:hanging="420"/>
      </w:pPr>
      <w:rPr>
        <w:rFonts w:hint="eastAsia"/>
      </w:rPr>
    </w:lvl>
    <w:lvl w:ilvl="2">
      <w:start w:val="1"/>
      <w:numFmt w:val="lowerRoman"/>
      <w:lvlText w:val="%3."/>
      <w:lvlJc w:val="right"/>
      <w:pPr>
        <w:ind w:left="1708" w:hanging="420"/>
      </w:pPr>
      <w:rPr>
        <w:rFonts w:hint="eastAsia"/>
      </w:rPr>
    </w:lvl>
    <w:lvl w:ilvl="3">
      <w:start w:val="1"/>
      <w:numFmt w:val="decimal"/>
      <w:lvlText w:val="%4."/>
      <w:lvlJc w:val="left"/>
      <w:pPr>
        <w:ind w:left="2128" w:hanging="420"/>
      </w:pPr>
      <w:rPr>
        <w:rFonts w:hint="eastAsia"/>
      </w:rPr>
    </w:lvl>
    <w:lvl w:ilvl="4">
      <w:start w:val="1"/>
      <w:numFmt w:val="lowerLetter"/>
      <w:lvlText w:val="%5)"/>
      <w:lvlJc w:val="left"/>
      <w:pPr>
        <w:ind w:left="2548" w:hanging="420"/>
      </w:pPr>
      <w:rPr>
        <w:rFonts w:hint="eastAsia"/>
      </w:rPr>
    </w:lvl>
    <w:lvl w:ilvl="5">
      <w:start w:val="1"/>
      <w:numFmt w:val="lowerRoman"/>
      <w:lvlText w:val="%6."/>
      <w:lvlJc w:val="right"/>
      <w:pPr>
        <w:ind w:left="2968" w:hanging="420"/>
      </w:pPr>
      <w:rPr>
        <w:rFonts w:hint="eastAsia"/>
      </w:rPr>
    </w:lvl>
    <w:lvl w:ilvl="6">
      <w:start w:val="1"/>
      <w:numFmt w:val="decimal"/>
      <w:lvlText w:val="%7."/>
      <w:lvlJc w:val="left"/>
      <w:pPr>
        <w:ind w:left="3388" w:hanging="420"/>
      </w:pPr>
      <w:rPr>
        <w:rFonts w:hint="eastAsia"/>
      </w:rPr>
    </w:lvl>
    <w:lvl w:ilvl="7">
      <w:start w:val="1"/>
      <w:numFmt w:val="lowerLetter"/>
      <w:lvlText w:val="%8)"/>
      <w:lvlJc w:val="left"/>
      <w:pPr>
        <w:ind w:left="3808" w:hanging="420"/>
      </w:pPr>
      <w:rPr>
        <w:rFonts w:hint="eastAsia"/>
      </w:rPr>
    </w:lvl>
    <w:lvl w:ilvl="8">
      <w:start w:val="1"/>
      <w:numFmt w:val="lowerRoman"/>
      <w:lvlText w:val="%9."/>
      <w:lvlJc w:val="right"/>
      <w:pPr>
        <w:ind w:left="4228" w:hanging="420"/>
      </w:pPr>
      <w:rPr>
        <w:rFonts w:hint="eastAsia"/>
      </w:rPr>
    </w:lvl>
  </w:abstractNum>
  <w:num w:numId="1">
    <w:abstractNumId w:val="3"/>
  </w:num>
  <w:num w:numId="2">
    <w:abstractNumId w:val="2"/>
  </w:num>
  <w:num w:numId="3">
    <w:abstractNumId w:val="4"/>
    <w:lvlOverride w:ilvl="0">
      <w:startOverride w:val="1"/>
    </w:lvlOverride>
  </w:num>
  <w:num w:numId="4">
    <w:abstractNumId w:val="5"/>
  </w:num>
  <w:num w:numId="5">
    <w:abstractNumId w:val="7"/>
  </w:num>
  <w:num w:numId="6">
    <w:abstractNumId w:val="0"/>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bordersDoNotSurroundHeader/>
  <w:bordersDoNotSurroundFooter/>
  <w:attachedTemplate r:id="rId1"/>
  <w:defaultTabStop w:val="720"/>
  <w:drawingGridHorizontalSpacing w:val="112"/>
  <w:drawingGridVerticalSpacing w:val="433"/>
  <w:displayHorizontalDrawingGridEvery w:val="2"/>
  <w:characterSpacingControl w:val="doNotCompress"/>
  <w:noLineBreaksAfter w:lang="en-US" w:val="$([{£¥·‘“〈《「『【〔〖〝﹙﹛﹝＄（．［｛￡￥"/>
  <w:noLineBreaksBefore w:lang="en-US" w:val="!%),.:;&gt;?]}¢¨°·ˇˉ―‖’”…‰′″›℃∶、。〃〉》」』】〕〗〞︶︺︾﹀﹄﹚﹜﹞！＂％＇），．：；？］｀｜｝～￠"/>
  <w:endnotePr>
    <w:numFmt w:val="decimal"/>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55A4"/>
    <w:rsid w:val="00001717"/>
    <w:rsid w:val="0000193B"/>
    <w:rsid w:val="00002A69"/>
    <w:rsid w:val="000034E4"/>
    <w:rsid w:val="00004DF9"/>
    <w:rsid w:val="00004E7F"/>
    <w:rsid w:val="00005882"/>
    <w:rsid w:val="00006910"/>
    <w:rsid w:val="00006944"/>
    <w:rsid w:val="00006A53"/>
    <w:rsid w:val="000073AB"/>
    <w:rsid w:val="00007B27"/>
    <w:rsid w:val="00011A33"/>
    <w:rsid w:val="00011A3B"/>
    <w:rsid w:val="00012892"/>
    <w:rsid w:val="00012F67"/>
    <w:rsid w:val="0001332C"/>
    <w:rsid w:val="0002047D"/>
    <w:rsid w:val="000207DC"/>
    <w:rsid w:val="00021AD1"/>
    <w:rsid w:val="000223A3"/>
    <w:rsid w:val="00022E82"/>
    <w:rsid w:val="0002300B"/>
    <w:rsid w:val="00024989"/>
    <w:rsid w:val="00026200"/>
    <w:rsid w:val="0002736D"/>
    <w:rsid w:val="000273BA"/>
    <w:rsid w:val="000273C2"/>
    <w:rsid w:val="000303B5"/>
    <w:rsid w:val="0003186B"/>
    <w:rsid w:val="00031BD9"/>
    <w:rsid w:val="00031FE0"/>
    <w:rsid w:val="000323CF"/>
    <w:rsid w:val="00032555"/>
    <w:rsid w:val="00033BE3"/>
    <w:rsid w:val="0003754C"/>
    <w:rsid w:val="00040110"/>
    <w:rsid w:val="00040DE4"/>
    <w:rsid w:val="000422F8"/>
    <w:rsid w:val="00042845"/>
    <w:rsid w:val="00045887"/>
    <w:rsid w:val="00046423"/>
    <w:rsid w:val="000479FC"/>
    <w:rsid w:val="00050FA7"/>
    <w:rsid w:val="00051904"/>
    <w:rsid w:val="00053082"/>
    <w:rsid w:val="00053D7B"/>
    <w:rsid w:val="0005518E"/>
    <w:rsid w:val="000560EC"/>
    <w:rsid w:val="000609C7"/>
    <w:rsid w:val="00060B2E"/>
    <w:rsid w:val="00061A02"/>
    <w:rsid w:val="00061A9F"/>
    <w:rsid w:val="00061C9E"/>
    <w:rsid w:val="000628BE"/>
    <w:rsid w:val="00062B7A"/>
    <w:rsid w:val="00062D3E"/>
    <w:rsid w:val="0006302A"/>
    <w:rsid w:val="00063D1D"/>
    <w:rsid w:val="00064BE8"/>
    <w:rsid w:val="00064EC7"/>
    <w:rsid w:val="00065A72"/>
    <w:rsid w:val="00065AF8"/>
    <w:rsid w:val="00065F20"/>
    <w:rsid w:val="00066AA8"/>
    <w:rsid w:val="00067896"/>
    <w:rsid w:val="00067CC5"/>
    <w:rsid w:val="0007094C"/>
    <w:rsid w:val="00071437"/>
    <w:rsid w:val="000717B3"/>
    <w:rsid w:val="00071B37"/>
    <w:rsid w:val="00071E5A"/>
    <w:rsid w:val="00072C44"/>
    <w:rsid w:val="00073DA0"/>
    <w:rsid w:val="00074040"/>
    <w:rsid w:val="00074CD5"/>
    <w:rsid w:val="000769D6"/>
    <w:rsid w:val="00080D02"/>
    <w:rsid w:val="0008209D"/>
    <w:rsid w:val="000862F3"/>
    <w:rsid w:val="000870AF"/>
    <w:rsid w:val="00091402"/>
    <w:rsid w:val="00091822"/>
    <w:rsid w:val="00092547"/>
    <w:rsid w:val="00093103"/>
    <w:rsid w:val="00093114"/>
    <w:rsid w:val="000933BF"/>
    <w:rsid w:val="00094209"/>
    <w:rsid w:val="000950B0"/>
    <w:rsid w:val="0009539E"/>
    <w:rsid w:val="00095496"/>
    <w:rsid w:val="000954C8"/>
    <w:rsid w:val="000957A2"/>
    <w:rsid w:val="00096987"/>
    <w:rsid w:val="0009793C"/>
    <w:rsid w:val="00097A59"/>
    <w:rsid w:val="000A2942"/>
    <w:rsid w:val="000A2F46"/>
    <w:rsid w:val="000A49D6"/>
    <w:rsid w:val="000A6B51"/>
    <w:rsid w:val="000B0FD3"/>
    <w:rsid w:val="000B4A08"/>
    <w:rsid w:val="000B614A"/>
    <w:rsid w:val="000B68AD"/>
    <w:rsid w:val="000C1B6D"/>
    <w:rsid w:val="000C2790"/>
    <w:rsid w:val="000C2E23"/>
    <w:rsid w:val="000C3FAD"/>
    <w:rsid w:val="000C4F5F"/>
    <w:rsid w:val="000C5993"/>
    <w:rsid w:val="000C5F2C"/>
    <w:rsid w:val="000C73BF"/>
    <w:rsid w:val="000C7B57"/>
    <w:rsid w:val="000C7B85"/>
    <w:rsid w:val="000C7F52"/>
    <w:rsid w:val="000D0414"/>
    <w:rsid w:val="000D17FF"/>
    <w:rsid w:val="000D2620"/>
    <w:rsid w:val="000D270E"/>
    <w:rsid w:val="000D27DE"/>
    <w:rsid w:val="000D28A3"/>
    <w:rsid w:val="000D3307"/>
    <w:rsid w:val="000D3F21"/>
    <w:rsid w:val="000D45FD"/>
    <w:rsid w:val="000D6083"/>
    <w:rsid w:val="000D7B60"/>
    <w:rsid w:val="000E086E"/>
    <w:rsid w:val="000E0E93"/>
    <w:rsid w:val="000E1794"/>
    <w:rsid w:val="000E18F2"/>
    <w:rsid w:val="000E2AE0"/>
    <w:rsid w:val="000E2CD1"/>
    <w:rsid w:val="000E3126"/>
    <w:rsid w:val="000E3A73"/>
    <w:rsid w:val="000E4FF0"/>
    <w:rsid w:val="000E51F4"/>
    <w:rsid w:val="000E5829"/>
    <w:rsid w:val="000E5883"/>
    <w:rsid w:val="000E7D6E"/>
    <w:rsid w:val="000F1BDA"/>
    <w:rsid w:val="000F1CE2"/>
    <w:rsid w:val="000F4187"/>
    <w:rsid w:val="000F56EB"/>
    <w:rsid w:val="000F5D9C"/>
    <w:rsid w:val="000F5E32"/>
    <w:rsid w:val="000F75CB"/>
    <w:rsid w:val="000F76B3"/>
    <w:rsid w:val="00100FF0"/>
    <w:rsid w:val="001069D9"/>
    <w:rsid w:val="001071A4"/>
    <w:rsid w:val="001078F0"/>
    <w:rsid w:val="00107F7C"/>
    <w:rsid w:val="00110062"/>
    <w:rsid w:val="0011033F"/>
    <w:rsid w:val="00110A3F"/>
    <w:rsid w:val="00113565"/>
    <w:rsid w:val="001135B9"/>
    <w:rsid w:val="00114802"/>
    <w:rsid w:val="00115682"/>
    <w:rsid w:val="00115D0B"/>
    <w:rsid w:val="00115FCD"/>
    <w:rsid w:val="001165A4"/>
    <w:rsid w:val="00117006"/>
    <w:rsid w:val="00117496"/>
    <w:rsid w:val="00117E13"/>
    <w:rsid w:val="0012003C"/>
    <w:rsid w:val="0012188F"/>
    <w:rsid w:val="00123247"/>
    <w:rsid w:val="00123B88"/>
    <w:rsid w:val="0012488F"/>
    <w:rsid w:val="00125F96"/>
    <w:rsid w:val="0012664A"/>
    <w:rsid w:val="0012799C"/>
    <w:rsid w:val="00127B61"/>
    <w:rsid w:val="00127EFD"/>
    <w:rsid w:val="001308E1"/>
    <w:rsid w:val="001315DE"/>
    <w:rsid w:val="00131872"/>
    <w:rsid w:val="00131C86"/>
    <w:rsid w:val="00133380"/>
    <w:rsid w:val="00133C36"/>
    <w:rsid w:val="00133F6A"/>
    <w:rsid w:val="001345D8"/>
    <w:rsid w:val="001348F0"/>
    <w:rsid w:val="00134AB5"/>
    <w:rsid w:val="00137A2E"/>
    <w:rsid w:val="00137D70"/>
    <w:rsid w:val="001422E8"/>
    <w:rsid w:val="00142DB6"/>
    <w:rsid w:val="00144E87"/>
    <w:rsid w:val="0014604A"/>
    <w:rsid w:val="0014684E"/>
    <w:rsid w:val="001510C6"/>
    <w:rsid w:val="0015195E"/>
    <w:rsid w:val="00153B51"/>
    <w:rsid w:val="00154EC0"/>
    <w:rsid w:val="00155369"/>
    <w:rsid w:val="00156432"/>
    <w:rsid w:val="00156E12"/>
    <w:rsid w:val="00157E6F"/>
    <w:rsid w:val="001616ED"/>
    <w:rsid w:val="00163AF3"/>
    <w:rsid w:val="00165002"/>
    <w:rsid w:val="001650DC"/>
    <w:rsid w:val="00166A93"/>
    <w:rsid w:val="00166E14"/>
    <w:rsid w:val="0016706D"/>
    <w:rsid w:val="00170726"/>
    <w:rsid w:val="001708A4"/>
    <w:rsid w:val="001718AB"/>
    <w:rsid w:val="001739DD"/>
    <w:rsid w:val="001746EE"/>
    <w:rsid w:val="0017479B"/>
    <w:rsid w:val="00175F63"/>
    <w:rsid w:val="0017649A"/>
    <w:rsid w:val="001764EC"/>
    <w:rsid w:val="0018290D"/>
    <w:rsid w:val="00182984"/>
    <w:rsid w:val="00182B18"/>
    <w:rsid w:val="001842C3"/>
    <w:rsid w:val="0018489B"/>
    <w:rsid w:val="00184ECE"/>
    <w:rsid w:val="001855CD"/>
    <w:rsid w:val="00185B26"/>
    <w:rsid w:val="00187729"/>
    <w:rsid w:val="0018797C"/>
    <w:rsid w:val="0019101C"/>
    <w:rsid w:val="00191F72"/>
    <w:rsid w:val="00192755"/>
    <w:rsid w:val="001927D1"/>
    <w:rsid w:val="00192BBC"/>
    <w:rsid w:val="00192C37"/>
    <w:rsid w:val="00194A66"/>
    <w:rsid w:val="001956D8"/>
    <w:rsid w:val="00195EA8"/>
    <w:rsid w:val="00195F0C"/>
    <w:rsid w:val="00196C75"/>
    <w:rsid w:val="00196F57"/>
    <w:rsid w:val="001A0193"/>
    <w:rsid w:val="001A01B9"/>
    <w:rsid w:val="001A045A"/>
    <w:rsid w:val="001A058B"/>
    <w:rsid w:val="001A08DF"/>
    <w:rsid w:val="001A0AEE"/>
    <w:rsid w:val="001A1B46"/>
    <w:rsid w:val="001A1D61"/>
    <w:rsid w:val="001A2808"/>
    <w:rsid w:val="001A2E06"/>
    <w:rsid w:val="001A4084"/>
    <w:rsid w:val="001A452D"/>
    <w:rsid w:val="001A49E4"/>
    <w:rsid w:val="001A62E8"/>
    <w:rsid w:val="001A7AFE"/>
    <w:rsid w:val="001B0043"/>
    <w:rsid w:val="001B183F"/>
    <w:rsid w:val="001B3262"/>
    <w:rsid w:val="001B3CAE"/>
    <w:rsid w:val="001B4EE1"/>
    <w:rsid w:val="001B5585"/>
    <w:rsid w:val="001B7060"/>
    <w:rsid w:val="001B71ED"/>
    <w:rsid w:val="001C358C"/>
    <w:rsid w:val="001C40B4"/>
    <w:rsid w:val="001C54C1"/>
    <w:rsid w:val="001C6ADC"/>
    <w:rsid w:val="001C6C89"/>
    <w:rsid w:val="001D1074"/>
    <w:rsid w:val="001D3CFA"/>
    <w:rsid w:val="001D5164"/>
    <w:rsid w:val="001D5433"/>
    <w:rsid w:val="001D569C"/>
    <w:rsid w:val="001D6228"/>
    <w:rsid w:val="001D6EAC"/>
    <w:rsid w:val="001D7D88"/>
    <w:rsid w:val="001E0265"/>
    <w:rsid w:val="001E1CFF"/>
    <w:rsid w:val="001E31E1"/>
    <w:rsid w:val="001E7CE0"/>
    <w:rsid w:val="001F0B94"/>
    <w:rsid w:val="001F2FE3"/>
    <w:rsid w:val="001F3318"/>
    <w:rsid w:val="001F49CF"/>
    <w:rsid w:val="001F4BBB"/>
    <w:rsid w:val="001F65F9"/>
    <w:rsid w:val="00200CD1"/>
    <w:rsid w:val="00200D2B"/>
    <w:rsid w:val="002036BF"/>
    <w:rsid w:val="00203B8C"/>
    <w:rsid w:val="002059B9"/>
    <w:rsid w:val="002060BF"/>
    <w:rsid w:val="0020728B"/>
    <w:rsid w:val="00207B1A"/>
    <w:rsid w:val="00207FE7"/>
    <w:rsid w:val="0021033A"/>
    <w:rsid w:val="00211AC3"/>
    <w:rsid w:val="00211D00"/>
    <w:rsid w:val="00211D08"/>
    <w:rsid w:val="002124A5"/>
    <w:rsid w:val="00212BF6"/>
    <w:rsid w:val="0021319F"/>
    <w:rsid w:val="00216D47"/>
    <w:rsid w:val="002200C5"/>
    <w:rsid w:val="00220B95"/>
    <w:rsid w:val="002212BF"/>
    <w:rsid w:val="00221D00"/>
    <w:rsid w:val="002223CE"/>
    <w:rsid w:val="00224D19"/>
    <w:rsid w:val="00226DA9"/>
    <w:rsid w:val="0022789C"/>
    <w:rsid w:val="00230F30"/>
    <w:rsid w:val="00232714"/>
    <w:rsid w:val="00233580"/>
    <w:rsid w:val="00233C5D"/>
    <w:rsid w:val="00234220"/>
    <w:rsid w:val="00235A3F"/>
    <w:rsid w:val="00235CE6"/>
    <w:rsid w:val="002365AD"/>
    <w:rsid w:val="00236AA8"/>
    <w:rsid w:val="002374FF"/>
    <w:rsid w:val="00237569"/>
    <w:rsid w:val="00237D0E"/>
    <w:rsid w:val="00240CF6"/>
    <w:rsid w:val="00240DB6"/>
    <w:rsid w:val="0024342F"/>
    <w:rsid w:val="00243B51"/>
    <w:rsid w:val="002444C3"/>
    <w:rsid w:val="00251AB2"/>
    <w:rsid w:val="0025359C"/>
    <w:rsid w:val="00253D67"/>
    <w:rsid w:val="00254B26"/>
    <w:rsid w:val="00255118"/>
    <w:rsid w:val="00255834"/>
    <w:rsid w:val="002572E8"/>
    <w:rsid w:val="00257BD6"/>
    <w:rsid w:val="00257FCE"/>
    <w:rsid w:val="0026458B"/>
    <w:rsid w:val="00264804"/>
    <w:rsid w:val="00265515"/>
    <w:rsid w:val="002662C5"/>
    <w:rsid w:val="00266904"/>
    <w:rsid w:val="002673FB"/>
    <w:rsid w:val="00267976"/>
    <w:rsid w:val="002703C1"/>
    <w:rsid w:val="002706B7"/>
    <w:rsid w:val="00270831"/>
    <w:rsid w:val="00271728"/>
    <w:rsid w:val="002721FA"/>
    <w:rsid w:val="002723F7"/>
    <w:rsid w:val="00273278"/>
    <w:rsid w:val="002765EE"/>
    <w:rsid w:val="00277F5F"/>
    <w:rsid w:val="002806A2"/>
    <w:rsid w:val="00280A6C"/>
    <w:rsid w:val="00283B96"/>
    <w:rsid w:val="00284360"/>
    <w:rsid w:val="002847BA"/>
    <w:rsid w:val="002849AC"/>
    <w:rsid w:val="002854BC"/>
    <w:rsid w:val="0028571A"/>
    <w:rsid w:val="00285840"/>
    <w:rsid w:val="002870DE"/>
    <w:rsid w:val="00287488"/>
    <w:rsid w:val="002874B7"/>
    <w:rsid w:val="002922D0"/>
    <w:rsid w:val="002925A6"/>
    <w:rsid w:val="00292853"/>
    <w:rsid w:val="00297C50"/>
    <w:rsid w:val="002A096E"/>
    <w:rsid w:val="002A1299"/>
    <w:rsid w:val="002A14A2"/>
    <w:rsid w:val="002A1935"/>
    <w:rsid w:val="002A1CD0"/>
    <w:rsid w:val="002A22B6"/>
    <w:rsid w:val="002A23D7"/>
    <w:rsid w:val="002A4757"/>
    <w:rsid w:val="002A493D"/>
    <w:rsid w:val="002A5307"/>
    <w:rsid w:val="002A73ED"/>
    <w:rsid w:val="002A790C"/>
    <w:rsid w:val="002A7F03"/>
    <w:rsid w:val="002A7FCD"/>
    <w:rsid w:val="002B0288"/>
    <w:rsid w:val="002B0BC5"/>
    <w:rsid w:val="002B28FD"/>
    <w:rsid w:val="002B4008"/>
    <w:rsid w:val="002B44E5"/>
    <w:rsid w:val="002B676D"/>
    <w:rsid w:val="002B706B"/>
    <w:rsid w:val="002B78C3"/>
    <w:rsid w:val="002C06EB"/>
    <w:rsid w:val="002C2E1E"/>
    <w:rsid w:val="002C30BA"/>
    <w:rsid w:val="002C35D9"/>
    <w:rsid w:val="002C4B07"/>
    <w:rsid w:val="002C65E0"/>
    <w:rsid w:val="002C67E1"/>
    <w:rsid w:val="002C6F20"/>
    <w:rsid w:val="002C7F85"/>
    <w:rsid w:val="002D0254"/>
    <w:rsid w:val="002D13BB"/>
    <w:rsid w:val="002D2E27"/>
    <w:rsid w:val="002D3084"/>
    <w:rsid w:val="002D358C"/>
    <w:rsid w:val="002D39F5"/>
    <w:rsid w:val="002D42F1"/>
    <w:rsid w:val="002D4A33"/>
    <w:rsid w:val="002D573F"/>
    <w:rsid w:val="002D5F4D"/>
    <w:rsid w:val="002D62E5"/>
    <w:rsid w:val="002D649E"/>
    <w:rsid w:val="002D7550"/>
    <w:rsid w:val="002E0C9B"/>
    <w:rsid w:val="002E3056"/>
    <w:rsid w:val="002E30CC"/>
    <w:rsid w:val="002E3978"/>
    <w:rsid w:val="002E5339"/>
    <w:rsid w:val="002E54BB"/>
    <w:rsid w:val="002E62E2"/>
    <w:rsid w:val="002E67A5"/>
    <w:rsid w:val="002F10BF"/>
    <w:rsid w:val="002F1227"/>
    <w:rsid w:val="002F28C2"/>
    <w:rsid w:val="002F44FB"/>
    <w:rsid w:val="002F518A"/>
    <w:rsid w:val="002F538C"/>
    <w:rsid w:val="002F53F7"/>
    <w:rsid w:val="002F55FA"/>
    <w:rsid w:val="002F5689"/>
    <w:rsid w:val="002F5837"/>
    <w:rsid w:val="00301480"/>
    <w:rsid w:val="00301AF5"/>
    <w:rsid w:val="003038D7"/>
    <w:rsid w:val="00303A56"/>
    <w:rsid w:val="0030561C"/>
    <w:rsid w:val="00307167"/>
    <w:rsid w:val="00312192"/>
    <w:rsid w:val="003137E3"/>
    <w:rsid w:val="00314099"/>
    <w:rsid w:val="0031444D"/>
    <w:rsid w:val="003146AA"/>
    <w:rsid w:val="0031522C"/>
    <w:rsid w:val="003160EB"/>
    <w:rsid w:val="003164AA"/>
    <w:rsid w:val="00316AC0"/>
    <w:rsid w:val="00316EF5"/>
    <w:rsid w:val="00317FDE"/>
    <w:rsid w:val="00321C0A"/>
    <w:rsid w:val="00321FBD"/>
    <w:rsid w:val="00322FA5"/>
    <w:rsid w:val="003230BE"/>
    <w:rsid w:val="003233E5"/>
    <w:rsid w:val="00323B43"/>
    <w:rsid w:val="00323CAC"/>
    <w:rsid w:val="003249D6"/>
    <w:rsid w:val="003257F3"/>
    <w:rsid w:val="00326FB6"/>
    <w:rsid w:val="003275BD"/>
    <w:rsid w:val="00332CB1"/>
    <w:rsid w:val="003330CF"/>
    <w:rsid w:val="00335093"/>
    <w:rsid w:val="0033596C"/>
    <w:rsid w:val="0033655F"/>
    <w:rsid w:val="003375EA"/>
    <w:rsid w:val="003400FF"/>
    <w:rsid w:val="00340984"/>
    <w:rsid w:val="00340B80"/>
    <w:rsid w:val="00342B39"/>
    <w:rsid w:val="00342D98"/>
    <w:rsid w:val="003462F5"/>
    <w:rsid w:val="00346B59"/>
    <w:rsid w:val="00346C2B"/>
    <w:rsid w:val="003470F3"/>
    <w:rsid w:val="003509A6"/>
    <w:rsid w:val="003512AD"/>
    <w:rsid w:val="0035255D"/>
    <w:rsid w:val="00353059"/>
    <w:rsid w:val="00353737"/>
    <w:rsid w:val="003537FD"/>
    <w:rsid w:val="00355236"/>
    <w:rsid w:val="00355F6E"/>
    <w:rsid w:val="00356898"/>
    <w:rsid w:val="00357A0F"/>
    <w:rsid w:val="00360657"/>
    <w:rsid w:val="0036074E"/>
    <w:rsid w:val="00360856"/>
    <w:rsid w:val="00360D24"/>
    <w:rsid w:val="00361934"/>
    <w:rsid w:val="00361CCD"/>
    <w:rsid w:val="003620DE"/>
    <w:rsid w:val="003633CE"/>
    <w:rsid w:val="00363915"/>
    <w:rsid w:val="00363AE7"/>
    <w:rsid w:val="003654CA"/>
    <w:rsid w:val="00365997"/>
    <w:rsid w:val="0037155C"/>
    <w:rsid w:val="00372050"/>
    <w:rsid w:val="0037277A"/>
    <w:rsid w:val="0037371E"/>
    <w:rsid w:val="00373FC4"/>
    <w:rsid w:val="00374EB1"/>
    <w:rsid w:val="003753E6"/>
    <w:rsid w:val="00376135"/>
    <w:rsid w:val="003767C3"/>
    <w:rsid w:val="0037775A"/>
    <w:rsid w:val="00380751"/>
    <w:rsid w:val="00380951"/>
    <w:rsid w:val="00381100"/>
    <w:rsid w:val="00382AA5"/>
    <w:rsid w:val="00382EEB"/>
    <w:rsid w:val="00383B7A"/>
    <w:rsid w:val="00384082"/>
    <w:rsid w:val="00384351"/>
    <w:rsid w:val="003843B6"/>
    <w:rsid w:val="00385581"/>
    <w:rsid w:val="003855DB"/>
    <w:rsid w:val="00385BAD"/>
    <w:rsid w:val="003869DD"/>
    <w:rsid w:val="00387686"/>
    <w:rsid w:val="00387899"/>
    <w:rsid w:val="00387AE2"/>
    <w:rsid w:val="00390143"/>
    <w:rsid w:val="00390CF1"/>
    <w:rsid w:val="00391635"/>
    <w:rsid w:val="00391914"/>
    <w:rsid w:val="0039216F"/>
    <w:rsid w:val="00392F09"/>
    <w:rsid w:val="00393687"/>
    <w:rsid w:val="003950E9"/>
    <w:rsid w:val="00395317"/>
    <w:rsid w:val="00396217"/>
    <w:rsid w:val="00397AA8"/>
    <w:rsid w:val="003A0840"/>
    <w:rsid w:val="003A0ED7"/>
    <w:rsid w:val="003A2727"/>
    <w:rsid w:val="003A275D"/>
    <w:rsid w:val="003A30DE"/>
    <w:rsid w:val="003A3160"/>
    <w:rsid w:val="003A3D0D"/>
    <w:rsid w:val="003A4A02"/>
    <w:rsid w:val="003A5E40"/>
    <w:rsid w:val="003A6A4C"/>
    <w:rsid w:val="003B0437"/>
    <w:rsid w:val="003B043A"/>
    <w:rsid w:val="003B0A75"/>
    <w:rsid w:val="003B136C"/>
    <w:rsid w:val="003B146A"/>
    <w:rsid w:val="003B1615"/>
    <w:rsid w:val="003B25A4"/>
    <w:rsid w:val="003B30D5"/>
    <w:rsid w:val="003B3E23"/>
    <w:rsid w:val="003B52F0"/>
    <w:rsid w:val="003B5D6B"/>
    <w:rsid w:val="003B6A05"/>
    <w:rsid w:val="003B7EEA"/>
    <w:rsid w:val="003C0314"/>
    <w:rsid w:val="003C04DB"/>
    <w:rsid w:val="003C0668"/>
    <w:rsid w:val="003C0FDC"/>
    <w:rsid w:val="003C117C"/>
    <w:rsid w:val="003C1287"/>
    <w:rsid w:val="003C43AB"/>
    <w:rsid w:val="003C56CD"/>
    <w:rsid w:val="003C6040"/>
    <w:rsid w:val="003D084A"/>
    <w:rsid w:val="003D2CB6"/>
    <w:rsid w:val="003D37D8"/>
    <w:rsid w:val="003D3921"/>
    <w:rsid w:val="003D6581"/>
    <w:rsid w:val="003D7994"/>
    <w:rsid w:val="003D7C23"/>
    <w:rsid w:val="003E02EC"/>
    <w:rsid w:val="003E0CD9"/>
    <w:rsid w:val="003E1118"/>
    <w:rsid w:val="003E3048"/>
    <w:rsid w:val="003E3B94"/>
    <w:rsid w:val="003E40AF"/>
    <w:rsid w:val="003E5B2F"/>
    <w:rsid w:val="003E5E4D"/>
    <w:rsid w:val="003E7100"/>
    <w:rsid w:val="003F05D6"/>
    <w:rsid w:val="003F10F8"/>
    <w:rsid w:val="003F5326"/>
    <w:rsid w:val="003F53CC"/>
    <w:rsid w:val="003F5C04"/>
    <w:rsid w:val="003F6AC2"/>
    <w:rsid w:val="003F6FD2"/>
    <w:rsid w:val="003F7739"/>
    <w:rsid w:val="00400C7C"/>
    <w:rsid w:val="00402255"/>
    <w:rsid w:val="00402C46"/>
    <w:rsid w:val="00402CBB"/>
    <w:rsid w:val="00402F1A"/>
    <w:rsid w:val="00403174"/>
    <w:rsid w:val="004032C0"/>
    <w:rsid w:val="00403429"/>
    <w:rsid w:val="00404ED6"/>
    <w:rsid w:val="00406BC6"/>
    <w:rsid w:val="00411913"/>
    <w:rsid w:val="004120F6"/>
    <w:rsid w:val="004125AB"/>
    <w:rsid w:val="00412884"/>
    <w:rsid w:val="004145BD"/>
    <w:rsid w:val="00414893"/>
    <w:rsid w:val="00415CBE"/>
    <w:rsid w:val="0041705F"/>
    <w:rsid w:val="00417186"/>
    <w:rsid w:val="0041735F"/>
    <w:rsid w:val="00420BF0"/>
    <w:rsid w:val="00421676"/>
    <w:rsid w:val="00422FCE"/>
    <w:rsid w:val="00423223"/>
    <w:rsid w:val="00424ED9"/>
    <w:rsid w:val="004254F8"/>
    <w:rsid w:val="00426133"/>
    <w:rsid w:val="00426BBE"/>
    <w:rsid w:val="00427D98"/>
    <w:rsid w:val="004300DE"/>
    <w:rsid w:val="004305B1"/>
    <w:rsid w:val="0043072A"/>
    <w:rsid w:val="0043077F"/>
    <w:rsid w:val="0043195F"/>
    <w:rsid w:val="004320BF"/>
    <w:rsid w:val="0043449A"/>
    <w:rsid w:val="004358AB"/>
    <w:rsid w:val="004360F2"/>
    <w:rsid w:val="0043617E"/>
    <w:rsid w:val="00436393"/>
    <w:rsid w:val="00440102"/>
    <w:rsid w:val="0044041C"/>
    <w:rsid w:val="004417FA"/>
    <w:rsid w:val="004435EA"/>
    <w:rsid w:val="00445F76"/>
    <w:rsid w:val="00446515"/>
    <w:rsid w:val="00447A6B"/>
    <w:rsid w:val="00451555"/>
    <w:rsid w:val="00452B71"/>
    <w:rsid w:val="00452C07"/>
    <w:rsid w:val="00454BA8"/>
    <w:rsid w:val="004551F6"/>
    <w:rsid w:val="0045545A"/>
    <w:rsid w:val="004554F9"/>
    <w:rsid w:val="004555C7"/>
    <w:rsid w:val="004557A2"/>
    <w:rsid w:val="00455839"/>
    <w:rsid w:val="00455B76"/>
    <w:rsid w:val="00460C9C"/>
    <w:rsid w:val="004628EB"/>
    <w:rsid w:val="00462976"/>
    <w:rsid w:val="0046334D"/>
    <w:rsid w:val="00463723"/>
    <w:rsid w:val="00464E1F"/>
    <w:rsid w:val="00464F67"/>
    <w:rsid w:val="00466D42"/>
    <w:rsid w:val="004706E3"/>
    <w:rsid w:val="00471410"/>
    <w:rsid w:val="00471630"/>
    <w:rsid w:val="0047165C"/>
    <w:rsid w:val="00471BAE"/>
    <w:rsid w:val="00471FBB"/>
    <w:rsid w:val="0047423A"/>
    <w:rsid w:val="00474698"/>
    <w:rsid w:val="00474B42"/>
    <w:rsid w:val="004751E6"/>
    <w:rsid w:val="00477C13"/>
    <w:rsid w:val="00477C52"/>
    <w:rsid w:val="00477E8A"/>
    <w:rsid w:val="00480129"/>
    <w:rsid w:val="004806B1"/>
    <w:rsid w:val="00481C34"/>
    <w:rsid w:val="004829CB"/>
    <w:rsid w:val="00482DF8"/>
    <w:rsid w:val="00486441"/>
    <w:rsid w:val="00487C91"/>
    <w:rsid w:val="00490856"/>
    <w:rsid w:val="004915FA"/>
    <w:rsid w:val="00491B38"/>
    <w:rsid w:val="004921F5"/>
    <w:rsid w:val="00492429"/>
    <w:rsid w:val="00494612"/>
    <w:rsid w:val="00495665"/>
    <w:rsid w:val="00495DA9"/>
    <w:rsid w:val="00496125"/>
    <w:rsid w:val="00496580"/>
    <w:rsid w:val="00497564"/>
    <w:rsid w:val="00497E35"/>
    <w:rsid w:val="004A0751"/>
    <w:rsid w:val="004A0A0B"/>
    <w:rsid w:val="004A28BB"/>
    <w:rsid w:val="004A2ADD"/>
    <w:rsid w:val="004A3DD9"/>
    <w:rsid w:val="004A53F1"/>
    <w:rsid w:val="004A54D3"/>
    <w:rsid w:val="004A5A2F"/>
    <w:rsid w:val="004A5ECB"/>
    <w:rsid w:val="004A6748"/>
    <w:rsid w:val="004A68E2"/>
    <w:rsid w:val="004A69D4"/>
    <w:rsid w:val="004B02CB"/>
    <w:rsid w:val="004B093F"/>
    <w:rsid w:val="004B2BFF"/>
    <w:rsid w:val="004B490C"/>
    <w:rsid w:val="004B4C46"/>
    <w:rsid w:val="004B4D5C"/>
    <w:rsid w:val="004B52C4"/>
    <w:rsid w:val="004B6DBC"/>
    <w:rsid w:val="004B7089"/>
    <w:rsid w:val="004B7142"/>
    <w:rsid w:val="004B724F"/>
    <w:rsid w:val="004B79AA"/>
    <w:rsid w:val="004B7A0E"/>
    <w:rsid w:val="004C0213"/>
    <w:rsid w:val="004C099A"/>
    <w:rsid w:val="004C1AE4"/>
    <w:rsid w:val="004C1DBD"/>
    <w:rsid w:val="004C3C60"/>
    <w:rsid w:val="004C3F81"/>
    <w:rsid w:val="004C51B3"/>
    <w:rsid w:val="004C56CF"/>
    <w:rsid w:val="004D28DE"/>
    <w:rsid w:val="004D5A63"/>
    <w:rsid w:val="004E0C8E"/>
    <w:rsid w:val="004E26A6"/>
    <w:rsid w:val="004E2D99"/>
    <w:rsid w:val="004E3238"/>
    <w:rsid w:val="004E6F2E"/>
    <w:rsid w:val="004F0001"/>
    <w:rsid w:val="004F0AF2"/>
    <w:rsid w:val="004F26C6"/>
    <w:rsid w:val="004F2D47"/>
    <w:rsid w:val="004F2F34"/>
    <w:rsid w:val="004F3709"/>
    <w:rsid w:val="004F4454"/>
    <w:rsid w:val="004F4E0A"/>
    <w:rsid w:val="004F529B"/>
    <w:rsid w:val="004F6C71"/>
    <w:rsid w:val="004F7D12"/>
    <w:rsid w:val="005003A0"/>
    <w:rsid w:val="00502BAB"/>
    <w:rsid w:val="00503C92"/>
    <w:rsid w:val="00503F04"/>
    <w:rsid w:val="005055EF"/>
    <w:rsid w:val="00506842"/>
    <w:rsid w:val="00510035"/>
    <w:rsid w:val="00510E76"/>
    <w:rsid w:val="00511208"/>
    <w:rsid w:val="00511B9F"/>
    <w:rsid w:val="00512EA3"/>
    <w:rsid w:val="00513595"/>
    <w:rsid w:val="0051363E"/>
    <w:rsid w:val="0051455A"/>
    <w:rsid w:val="005148B1"/>
    <w:rsid w:val="005148B8"/>
    <w:rsid w:val="00515524"/>
    <w:rsid w:val="005164F9"/>
    <w:rsid w:val="00516F89"/>
    <w:rsid w:val="005179CD"/>
    <w:rsid w:val="0052102A"/>
    <w:rsid w:val="00522C30"/>
    <w:rsid w:val="00522E6E"/>
    <w:rsid w:val="005242DA"/>
    <w:rsid w:val="005246C5"/>
    <w:rsid w:val="00524895"/>
    <w:rsid w:val="005254F2"/>
    <w:rsid w:val="00525B78"/>
    <w:rsid w:val="0052722D"/>
    <w:rsid w:val="00530E96"/>
    <w:rsid w:val="00531582"/>
    <w:rsid w:val="00531CB2"/>
    <w:rsid w:val="005333DB"/>
    <w:rsid w:val="00534BC3"/>
    <w:rsid w:val="0053550E"/>
    <w:rsid w:val="0053599D"/>
    <w:rsid w:val="005362F0"/>
    <w:rsid w:val="0053653A"/>
    <w:rsid w:val="005374A4"/>
    <w:rsid w:val="00541490"/>
    <w:rsid w:val="0054417E"/>
    <w:rsid w:val="005456E7"/>
    <w:rsid w:val="0054650A"/>
    <w:rsid w:val="00547111"/>
    <w:rsid w:val="00547FC3"/>
    <w:rsid w:val="00551088"/>
    <w:rsid w:val="00551B88"/>
    <w:rsid w:val="00551CA8"/>
    <w:rsid w:val="005528C6"/>
    <w:rsid w:val="00552B4B"/>
    <w:rsid w:val="0055318A"/>
    <w:rsid w:val="00553F6E"/>
    <w:rsid w:val="005542D2"/>
    <w:rsid w:val="005550A0"/>
    <w:rsid w:val="00556F67"/>
    <w:rsid w:val="00557188"/>
    <w:rsid w:val="005574DC"/>
    <w:rsid w:val="00561E6F"/>
    <w:rsid w:val="00563264"/>
    <w:rsid w:val="00563342"/>
    <w:rsid w:val="00563568"/>
    <w:rsid w:val="005639DA"/>
    <w:rsid w:val="00563EA0"/>
    <w:rsid w:val="00564754"/>
    <w:rsid w:val="005647B6"/>
    <w:rsid w:val="005654BE"/>
    <w:rsid w:val="00567494"/>
    <w:rsid w:val="00567DB1"/>
    <w:rsid w:val="0057089A"/>
    <w:rsid w:val="00570DB6"/>
    <w:rsid w:val="005722E8"/>
    <w:rsid w:val="00572941"/>
    <w:rsid w:val="00574A48"/>
    <w:rsid w:val="005755C5"/>
    <w:rsid w:val="00576DC5"/>
    <w:rsid w:val="00577882"/>
    <w:rsid w:val="00580009"/>
    <w:rsid w:val="005801E6"/>
    <w:rsid w:val="005815F9"/>
    <w:rsid w:val="00582E09"/>
    <w:rsid w:val="00584695"/>
    <w:rsid w:val="005847E8"/>
    <w:rsid w:val="00584B49"/>
    <w:rsid w:val="00586380"/>
    <w:rsid w:val="00587D7A"/>
    <w:rsid w:val="005909CB"/>
    <w:rsid w:val="00591204"/>
    <w:rsid w:val="005915AC"/>
    <w:rsid w:val="00592906"/>
    <w:rsid w:val="005930B7"/>
    <w:rsid w:val="00595DDD"/>
    <w:rsid w:val="00595ECD"/>
    <w:rsid w:val="00596A13"/>
    <w:rsid w:val="00597654"/>
    <w:rsid w:val="00597AB2"/>
    <w:rsid w:val="005A09AB"/>
    <w:rsid w:val="005A0A43"/>
    <w:rsid w:val="005A336F"/>
    <w:rsid w:val="005A3A8E"/>
    <w:rsid w:val="005A3CF9"/>
    <w:rsid w:val="005A51E0"/>
    <w:rsid w:val="005A576A"/>
    <w:rsid w:val="005A6035"/>
    <w:rsid w:val="005A72E7"/>
    <w:rsid w:val="005B1290"/>
    <w:rsid w:val="005B1F3B"/>
    <w:rsid w:val="005B3425"/>
    <w:rsid w:val="005B5D32"/>
    <w:rsid w:val="005B6608"/>
    <w:rsid w:val="005B7B9D"/>
    <w:rsid w:val="005B7BB8"/>
    <w:rsid w:val="005B7EED"/>
    <w:rsid w:val="005C042F"/>
    <w:rsid w:val="005C2CB6"/>
    <w:rsid w:val="005C4452"/>
    <w:rsid w:val="005C517A"/>
    <w:rsid w:val="005C5763"/>
    <w:rsid w:val="005C5D15"/>
    <w:rsid w:val="005C66EA"/>
    <w:rsid w:val="005C766B"/>
    <w:rsid w:val="005C7B51"/>
    <w:rsid w:val="005C7B60"/>
    <w:rsid w:val="005C7BB8"/>
    <w:rsid w:val="005D0070"/>
    <w:rsid w:val="005D07AF"/>
    <w:rsid w:val="005D22BE"/>
    <w:rsid w:val="005D249F"/>
    <w:rsid w:val="005D622C"/>
    <w:rsid w:val="005D6C4F"/>
    <w:rsid w:val="005D6DD3"/>
    <w:rsid w:val="005D6FA8"/>
    <w:rsid w:val="005D6FD7"/>
    <w:rsid w:val="005D73F6"/>
    <w:rsid w:val="005E0A24"/>
    <w:rsid w:val="005E2BB7"/>
    <w:rsid w:val="005E2CB7"/>
    <w:rsid w:val="005E2D10"/>
    <w:rsid w:val="005E4B94"/>
    <w:rsid w:val="005E596F"/>
    <w:rsid w:val="005E6D0C"/>
    <w:rsid w:val="005E7250"/>
    <w:rsid w:val="005E753B"/>
    <w:rsid w:val="005F12C9"/>
    <w:rsid w:val="005F16FD"/>
    <w:rsid w:val="005F18DB"/>
    <w:rsid w:val="005F2644"/>
    <w:rsid w:val="005F29A8"/>
    <w:rsid w:val="005F464F"/>
    <w:rsid w:val="005F67C5"/>
    <w:rsid w:val="005F6DAD"/>
    <w:rsid w:val="005F7853"/>
    <w:rsid w:val="00600256"/>
    <w:rsid w:val="0060088B"/>
    <w:rsid w:val="0060108C"/>
    <w:rsid w:val="00602FB8"/>
    <w:rsid w:val="0060377A"/>
    <w:rsid w:val="00603A53"/>
    <w:rsid w:val="00603B5E"/>
    <w:rsid w:val="00604137"/>
    <w:rsid w:val="00604532"/>
    <w:rsid w:val="00604DF4"/>
    <w:rsid w:val="0060727B"/>
    <w:rsid w:val="00610821"/>
    <w:rsid w:val="006108F7"/>
    <w:rsid w:val="0061143B"/>
    <w:rsid w:val="00613893"/>
    <w:rsid w:val="00615122"/>
    <w:rsid w:val="0061586F"/>
    <w:rsid w:val="00615CBB"/>
    <w:rsid w:val="00615F60"/>
    <w:rsid w:val="00616105"/>
    <w:rsid w:val="00616249"/>
    <w:rsid w:val="00617141"/>
    <w:rsid w:val="006171ED"/>
    <w:rsid w:val="00617817"/>
    <w:rsid w:val="00617C66"/>
    <w:rsid w:val="00617FF6"/>
    <w:rsid w:val="00622BFD"/>
    <w:rsid w:val="006235FD"/>
    <w:rsid w:val="00623866"/>
    <w:rsid w:val="0062495F"/>
    <w:rsid w:val="006254CB"/>
    <w:rsid w:val="00627371"/>
    <w:rsid w:val="0063017E"/>
    <w:rsid w:val="006305C4"/>
    <w:rsid w:val="0063080B"/>
    <w:rsid w:val="00630E73"/>
    <w:rsid w:val="00632046"/>
    <w:rsid w:val="006326C1"/>
    <w:rsid w:val="00632FAD"/>
    <w:rsid w:val="0063321C"/>
    <w:rsid w:val="00633666"/>
    <w:rsid w:val="006351D2"/>
    <w:rsid w:val="00636414"/>
    <w:rsid w:val="00636864"/>
    <w:rsid w:val="00637239"/>
    <w:rsid w:val="006372AC"/>
    <w:rsid w:val="006425BA"/>
    <w:rsid w:val="006445B3"/>
    <w:rsid w:val="00645B91"/>
    <w:rsid w:val="0064686F"/>
    <w:rsid w:val="00646A8C"/>
    <w:rsid w:val="00647160"/>
    <w:rsid w:val="006502E9"/>
    <w:rsid w:val="006508B2"/>
    <w:rsid w:val="00650BE4"/>
    <w:rsid w:val="00654842"/>
    <w:rsid w:val="006569C2"/>
    <w:rsid w:val="00657F16"/>
    <w:rsid w:val="0066067E"/>
    <w:rsid w:val="00660E04"/>
    <w:rsid w:val="006610EC"/>
    <w:rsid w:val="0066115B"/>
    <w:rsid w:val="00661DBA"/>
    <w:rsid w:val="006633C5"/>
    <w:rsid w:val="006639DD"/>
    <w:rsid w:val="00665784"/>
    <w:rsid w:val="00665AA3"/>
    <w:rsid w:val="00665F1B"/>
    <w:rsid w:val="00666DF5"/>
    <w:rsid w:val="00667917"/>
    <w:rsid w:val="00671D11"/>
    <w:rsid w:val="00672FF4"/>
    <w:rsid w:val="006735E8"/>
    <w:rsid w:val="0067493E"/>
    <w:rsid w:val="00674BA2"/>
    <w:rsid w:val="0067578B"/>
    <w:rsid w:val="00675952"/>
    <w:rsid w:val="00676024"/>
    <w:rsid w:val="006761C1"/>
    <w:rsid w:val="006772EF"/>
    <w:rsid w:val="006774CA"/>
    <w:rsid w:val="006801F7"/>
    <w:rsid w:val="00681869"/>
    <w:rsid w:val="006824D2"/>
    <w:rsid w:val="00682BC9"/>
    <w:rsid w:val="006835E9"/>
    <w:rsid w:val="00683F8B"/>
    <w:rsid w:val="00686A13"/>
    <w:rsid w:val="00686A5C"/>
    <w:rsid w:val="00691B35"/>
    <w:rsid w:val="00692720"/>
    <w:rsid w:val="00692F6F"/>
    <w:rsid w:val="00693C27"/>
    <w:rsid w:val="00694477"/>
    <w:rsid w:val="00694A05"/>
    <w:rsid w:val="00694E33"/>
    <w:rsid w:val="00696715"/>
    <w:rsid w:val="00697E13"/>
    <w:rsid w:val="006A1770"/>
    <w:rsid w:val="006A3467"/>
    <w:rsid w:val="006A369E"/>
    <w:rsid w:val="006A6F62"/>
    <w:rsid w:val="006B0B70"/>
    <w:rsid w:val="006B259E"/>
    <w:rsid w:val="006B28A6"/>
    <w:rsid w:val="006B394E"/>
    <w:rsid w:val="006B4841"/>
    <w:rsid w:val="006B5521"/>
    <w:rsid w:val="006B78E8"/>
    <w:rsid w:val="006B7AC9"/>
    <w:rsid w:val="006C2570"/>
    <w:rsid w:val="006C3197"/>
    <w:rsid w:val="006C33D6"/>
    <w:rsid w:val="006C5D5B"/>
    <w:rsid w:val="006C5EA2"/>
    <w:rsid w:val="006C7462"/>
    <w:rsid w:val="006D1BFD"/>
    <w:rsid w:val="006D36C4"/>
    <w:rsid w:val="006D5EF2"/>
    <w:rsid w:val="006D6401"/>
    <w:rsid w:val="006D75C7"/>
    <w:rsid w:val="006D7BB3"/>
    <w:rsid w:val="006E0F63"/>
    <w:rsid w:val="006E102E"/>
    <w:rsid w:val="006E176D"/>
    <w:rsid w:val="006E1DDA"/>
    <w:rsid w:val="006E2861"/>
    <w:rsid w:val="006E367D"/>
    <w:rsid w:val="006E41B2"/>
    <w:rsid w:val="006E71C6"/>
    <w:rsid w:val="006E7762"/>
    <w:rsid w:val="006E78FD"/>
    <w:rsid w:val="006F0737"/>
    <w:rsid w:val="006F09D8"/>
    <w:rsid w:val="006F0FD8"/>
    <w:rsid w:val="006F355C"/>
    <w:rsid w:val="006F3868"/>
    <w:rsid w:val="006F4966"/>
    <w:rsid w:val="006F50A1"/>
    <w:rsid w:val="006F5964"/>
    <w:rsid w:val="006F5E99"/>
    <w:rsid w:val="006F5FD2"/>
    <w:rsid w:val="006F6C02"/>
    <w:rsid w:val="006F7484"/>
    <w:rsid w:val="006F7797"/>
    <w:rsid w:val="006F7ABC"/>
    <w:rsid w:val="006F7CAA"/>
    <w:rsid w:val="006F7E11"/>
    <w:rsid w:val="007038A2"/>
    <w:rsid w:val="00703BC6"/>
    <w:rsid w:val="00705893"/>
    <w:rsid w:val="0070703A"/>
    <w:rsid w:val="0070775E"/>
    <w:rsid w:val="00707E1B"/>
    <w:rsid w:val="00712DB6"/>
    <w:rsid w:val="00712E66"/>
    <w:rsid w:val="007135DF"/>
    <w:rsid w:val="00713805"/>
    <w:rsid w:val="00716C5A"/>
    <w:rsid w:val="00716DC6"/>
    <w:rsid w:val="00717F5F"/>
    <w:rsid w:val="0072057E"/>
    <w:rsid w:val="00721187"/>
    <w:rsid w:val="0072131D"/>
    <w:rsid w:val="0072169C"/>
    <w:rsid w:val="0072195C"/>
    <w:rsid w:val="00721A48"/>
    <w:rsid w:val="0072391E"/>
    <w:rsid w:val="007239ED"/>
    <w:rsid w:val="00724330"/>
    <w:rsid w:val="00725872"/>
    <w:rsid w:val="007258A9"/>
    <w:rsid w:val="00725A8F"/>
    <w:rsid w:val="00727FC5"/>
    <w:rsid w:val="007301DF"/>
    <w:rsid w:val="00730549"/>
    <w:rsid w:val="00732120"/>
    <w:rsid w:val="00733816"/>
    <w:rsid w:val="00734A28"/>
    <w:rsid w:val="00735651"/>
    <w:rsid w:val="007361C9"/>
    <w:rsid w:val="00736391"/>
    <w:rsid w:val="007373A1"/>
    <w:rsid w:val="0073768F"/>
    <w:rsid w:val="00741133"/>
    <w:rsid w:val="007416A8"/>
    <w:rsid w:val="007418C2"/>
    <w:rsid w:val="007422C2"/>
    <w:rsid w:val="00742667"/>
    <w:rsid w:val="00742CC5"/>
    <w:rsid w:val="0074330A"/>
    <w:rsid w:val="007443D0"/>
    <w:rsid w:val="00745739"/>
    <w:rsid w:val="0074644E"/>
    <w:rsid w:val="00746713"/>
    <w:rsid w:val="00746F26"/>
    <w:rsid w:val="00747182"/>
    <w:rsid w:val="0074736F"/>
    <w:rsid w:val="007474D7"/>
    <w:rsid w:val="0074769A"/>
    <w:rsid w:val="00747D0A"/>
    <w:rsid w:val="0075082D"/>
    <w:rsid w:val="007513D8"/>
    <w:rsid w:val="0075161E"/>
    <w:rsid w:val="00752ADC"/>
    <w:rsid w:val="00754660"/>
    <w:rsid w:val="007554E2"/>
    <w:rsid w:val="00755679"/>
    <w:rsid w:val="00756437"/>
    <w:rsid w:val="00760535"/>
    <w:rsid w:val="00760A6E"/>
    <w:rsid w:val="00764C93"/>
    <w:rsid w:val="00765A4A"/>
    <w:rsid w:val="00765D36"/>
    <w:rsid w:val="007669E8"/>
    <w:rsid w:val="00771A0C"/>
    <w:rsid w:val="00772CD9"/>
    <w:rsid w:val="00772D65"/>
    <w:rsid w:val="00772E62"/>
    <w:rsid w:val="00773F9D"/>
    <w:rsid w:val="007746D4"/>
    <w:rsid w:val="007760AC"/>
    <w:rsid w:val="007770F1"/>
    <w:rsid w:val="007779C7"/>
    <w:rsid w:val="0078124C"/>
    <w:rsid w:val="00782439"/>
    <w:rsid w:val="00783831"/>
    <w:rsid w:val="00784722"/>
    <w:rsid w:val="00784CCF"/>
    <w:rsid w:val="00784D04"/>
    <w:rsid w:val="007857DD"/>
    <w:rsid w:val="00785D52"/>
    <w:rsid w:val="007862E0"/>
    <w:rsid w:val="0079197C"/>
    <w:rsid w:val="00791B8F"/>
    <w:rsid w:val="007923A5"/>
    <w:rsid w:val="00792B4F"/>
    <w:rsid w:val="007A10C3"/>
    <w:rsid w:val="007A300E"/>
    <w:rsid w:val="007A4145"/>
    <w:rsid w:val="007A5171"/>
    <w:rsid w:val="007A5C1C"/>
    <w:rsid w:val="007A68A3"/>
    <w:rsid w:val="007A6EAD"/>
    <w:rsid w:val="007A751B"/>
    <w:rsid w:val="007B0EC1"/>
    <w:rsid w:val="007B18E0"/>
    <w:rsid w:val="007B3EF9"/>
    <w:rsid w:val="007B5574"/>
    <w:rsid w:val="007B58A6"/>
    <w:rsid w:val="007B5998"/>
    <w:rsid w:val="007B599B"/>
    <w:rsid w:val="007B5FE5"/>
    <w:rsid w:val="007B7835"/>
    <w:rsid w:val="007C0A95"/>
    <w:rsid w:val="007C23A0"/>
    <w:rsid w:val="007C31BF"/>
    <w:rsid w:val="007C362C"/>
    <w:rsid w:val="007C3BC6"/>
    <w:rsid w:val="007C7AEA"/>
    <w:rsid w:val="007D017E"/>
    <w:rsid w:val="007D0D7C"/>
    <w:rsid w:val="007D145A"/>
    <w:rsid w:val="007D3017"/>
    <w:rsid w:val="007D337E"/>
    <w:rsid w:val="007D3ADC"/>
    <w:rsid w:val="007D3FCD"/>
    <w:rsid w:val="007D57EB"/>
    <w:rsid w:val="007D6364"/>
    <w:rsid w:val="007D6B24"/>
    <w:rsid w:val="007D703E"/>
    <w:rsid w:val="007E0A23"/>
    <w:rsid w:val="007E0DB7"/>
    <w:rsid w:val="007E1079"/>
    <w:rsid w:val="007E10EF"/>
    <w:rsid w:val="007E111D"/>
    <w:rsid w:val="007E1520"/>
    <w:rsid w:val="007E1679"/>
    <w:rsid w:val="007E167A"/>
    <w:rsid w:val="007E322B"/>
    <w:rsid w:val="007E473F"/>
    <w:rsid w:val="007E5021"/>
    <w:rsid w:val="007E581F"/>
    <w:rsid w:val="007E61C5"/>
    <w:rsid w:val="007E64D9"/>
    <w:rsid w:val="007E7C54"/>
    <w:rsid w:val="007F2DD3"/>
    <w:rsid w:val="007F3DFB"/>
    <w:rsid w:val="007F46D6"/>
    <w:rsid w:val="00800A01"/>
    <w:rsid w:val="008012C0"/>
    <w:rsid w:val="00802215"/>
    <w:rsid w:val="0080481B"/>
    <w:rsid w:val="00806471"/>
    <w:rsid w:val="008079E5"/>
    <w:rsid w:val="008103DD"/>
    <w:rsid w:val="008113EC"/>
    <w:rsid w:val="00812BE8"/>
    <w:rsid w:val="008133E3"/>
    <w:rsid w:val="00814F80"/>
    <w:rsid w:val="00815962"/>
    <w:rsid w:val="0081612E"/>
    <w:rsid w:val="008166EE"/>
    <w:rsid w:val="00817173"/>
    <w:rsid w:val="00817297"/>
    <w:rsid w:val="0081734B"/>
    <w:rsid w:val="00817CE3"/>
    <w:rsid w:val="00820EB7"/>
    <w:rsid w:val="00820FA7"/>
    <w:rsid w:val="00821074"/>
    <w:rsid w:val="008212AB"/>
    <w:rsid w:val="00822AA2"/>
    <w:rsid w:val="00823276"/>
    <w:rsid w:val="008238CC"/>
    <w:rsid w:val="00823CED"/>
    <w:rsid w:val="008249A8"/>
    <w:rsid w:val="00825BF9"/>
    <w:rsid w:val="00826305"/>
    <w:rsid w:val="008267EC"/>
    <w:rsid w:val="00826D8C"/>
    <w:rsid w:val="00826D93"/>
    <w:rsid w:val="00826F33"/>
    <w:rsid w:val="00827214"/>
    <w:rsid w:val="008278FE"/>
    <w:rsid w:val="00827EDF"/>
    <w:rsid w:val="008314DE"/>
    <w:rsid w:val="00831AC5"/>
    <w:rsid w:val="00831CC0"/>
    <w:rsid w:val="008321ED"/>
    <w:rsid w:val="00832F45"/>
    <w:rsid w:val="0083480A"/>
    <w:rsid w:val="00836BB4"/>
    <w:rsid w:val="00840561"/>
    <w:rsid w:val="00841363"/>
    <w:rsid w:val="00841C16"/>
    <w:rsid w:val="00842005"/>
    <w:rsid w:val="00842CEF"/>
    <w:rsid w:val="00843285"/>
    <w:rsid w:val="008443C2"/>
    <w:rsid w:val="00844666"/>
    <w:rsid w:val="00844668"/>
    <w:rsid w:val="008446D7"/>
    <w:rsid w:val="0084497E"/>
    <w:rsid w:val="008452D7"/>
    <w:rsid w:val="0084575E"/>
    <w:rsid w:val="008464DB"/>
    <w:rsid w:val="00846E50"/>
    <w:rsid w:val="008478A6"/>
    <w:rsid w:val="00847C0C"/>
    <w:rsid w:val="00850E48"/>
    <w:rsid w:val="0085153A"/>
    <w:rsid w:val="00852E6E"/>
    <w:rsid w:val="00854AFD"/>
    <w:rsid w:val="00857A4E"/>
    <w:rsid w:val="00862306"/>
    <w:rsid w:val="00862A02"/>
    <w:rsid w:val="00864293"/>
    <w:rsid w:val="008653C7"/>
    <w:rsid w:val="00866AE6"/>
    <w:rsid w:val="008707DB"/>
    <w:rsid w:val="00871BB4"/>
    <w:rsid w:val="0087280A"/>
    <w:rsid w:val="00875E8A"/>
    <w:rsid w:val="0088233B"/>
    <w:rsid w:val="00882FB5"/>
    <w:rsid w:val="0088353C"/>
    <w:rsid w:val="00883DAF"/>
    <w:rsid w:val="00884130"/>
    <w:rsid w:val="00884955"/>
    <w:rsid w:val="0088688C"/>
    <w:rsid w:val="0088797B"/>
    <w:rsid w:val="00890136"/>
    <w:rsid w:val="00890499"/>
    <w:rsid w:val="008907B2"/>
    <w:rsid w:val="00891CB1"/>
    <w:rsid w:val="00892FD7"/>
    <w:rsid w:val="00893CAB"/>
    <w:rsid w:val="00893D10"/>
    <w:rsid w:val="008951B6"/>
    <w:rsid w:val="00896A05"/>
    <w:rsid w:val="008A2C35"/>
    <w:rsid w:val="008A369A"/>
    <w:rsid w:val="008A5524"/>
    <w:rsid w:val="008A5B7D"/>
    <w:rsid w:val="008B022D"/>
    <w:rsid w:val="008B0CC6"/>
    <w:rsid w:val="008B1D40"/>
    <w:rsid w:val="008B2363"/>
    <w:rsid w:val="008B3904"/>
    <w:rsid w:val="008B43B5"/>
    <w:rsid w:val="008B5164"/>
    <w:rsid w:val="008B5748"/>
    <w:rsid w:val="008B5B93"/>
    <w:rsid w:val="008B7726"/>
    <w:rsid w:val="008B7F84"/>
    <w:rsid w:val="008C01E4"/>
    <w:rsid w:val="008C0B8F"/>
    <w:rsid w:val="008C1409"/>
    <w:rsid w:val="008C36C8"/>
    <w:rsid w:val="008C3DA3"/>
    <w:rsid w:val="008C3F08"/>
    <w:rsid w:val="008C566F"/>
    <w:rsid w:val="008C6CD7"/>
    <w:rsid w:val="008C6DE4"/>
    <w:rsid w:val="008D088E"/>
    <w:rsid w:val="008D08D0"/>
    <w:rsid w:val="008D0BD8"/>
    <w:rsid w:val="008D140B"/>
    <w:rsid w:val="008D19BC"/>
    <w:rsid w:val="008D2955"/>
    <w:rsid w:val="008D2AD0"/>
    <w:rsid w:val="008D3AB4"/>
    <w:rsid w:val="008D41CB"/>
    <w:rsid w:val="008D5C56"/>
    <w:rsid w:val="008E15B1"/>
    <w:rsid w:val="008E1F4A"/>
    <w:rsid w:val="008E2496"/>
    <w:rsid w:val="008E2A97"/>
    <w:rsid w:val="008E2FDF"/>
    <w:rsid w:val="008E3227"/>
    <w:rsid w:val="008E469F"/>
    <w:rsid w:val="008E4EAC"/>
    <w:rsid w:val="008E5399"/>
    <w:rsid w:val="008E5DA1"/>
    <w:rsid w:val="008E689A"/>
    <w:rsid w:val="008E75E0"/>
    <w:rsid w:val="008E7ADC"/>
    <w:rsid w:val="008F15C5"/>
    <w:rsid w:val="008F4ABC"/>
    <w:rsid w:val="008F694F"/>
    <w:rsid w:val="008F7253"/>
    <w:rsid w:val="00905633"/>
    <w:rsid w:val="009057CA"/>
    <w:rsid w:val="00905C1F"/>
    <w:rsid w:val="00906218"/>
    <w:rsid w:val="00906E30"/>
    <w:rsid w:val="0091012C"/>
    <w:rsid w:val="00912E49"/>
    <w:rsid w:val="0091619C"/>
    <w:rsid w:val="00916F0A"/>
    <w:rsid w:val="00917212"/>
    <w:rsid w:val="00920F50"/>
    <w:rsid w:val="009213BE"/>
    <w:rsid w:val="00921828"/>
    <w:rsid w:val="00921945"/>
    <w:rsid w:val="0092269F"/>
    <w:rsid w:val="00923351"/>
    <w:rsid w:val="00923363"/>
    <w:rsid w:val="00923C8D"/>
    <w:rsid w:val="0092408F"/>
    <w:rsid w:val="00925B0A"/>
    <w:rsid w:val="009269C8"/>
    <w:rsid w:val="00926DA6"/>
    <w:rsid w:val="00927C6B"/>
    <w:rsid w:val="0093067F"/>
    <w:rsid w:val="00930EA5"/>
    <w:rsid w:val="00931D69"/>
    <w:rsid w:val="00932FD6"/>
    <w:rsid w:val="00933959"/>
    <w:rsid w:val="009346F8"/>
    <w:rsid w:val="00934D01"/>
    <w:rsid w:val="00935C9A"/>
    <w:rsid w:val="00936549"/>
    <w:rsid w:val="009410BD"/>
    <w:rsid w:val="0094112F"/>
    <w:rsid w:val="00941869"/>
    <w:rsid w:val="00944541"/>
    <w:rsid w:val="00944577"/>
    <w:rsid w:val="00944945"/>
    <w:rsid w:val="00945A8A"/>
    <w:rsid w:val="0094716F"/>
    <w:rsid w:val="0094789B"/>
    <w:rsid w:val="0095026A"/>
    <w:rsid w:val="0095225B"/>
    <w:rsid w:val="0095255F"/>
    <w:rsid w:val="00953D9C"/>
    <w:rsid w:val="00954381"/>
    <w:rsid w:val="00955FF9"/>
    <w:rsid w:val="009569DC"/>
    <w:rsid w:val="0096072F"/>
    <w:rsid w:val="00961AF8"/>
    <w:rsid w:val="00963294"/>
    <w:rsid w:val="0096640A"/>
    <w:rsid w:val="00966D9B"/>
    <w:rsid w:val="00967CBB"/>
    <w:rsid w:val="00970710"/>
    <w:rsid w:val="00971D22"/>
    <w:rsid w:val="00974640"/>
    <w:rsid w:val="00974951"/>
    <w:rsid w:val="009771DF"/>
    <w:rsid w:val="0097739C"/>
    <w:rsid w:val="00982659"/>
    <w:rsid w:val="009835A6"/>
    <w:rsid w:val="009838DE"/>
    <w:rsid w:val="00983AF6"/>
    <w:rsid w:val="00985145"/>
    <w:rsid w:val="00985AA4"/>
    <w:rsid w:val="00986F75"/>
    <w:rsid w:val="00987588"/>
    <w:rsid w:val="009906C2"/>
    <w:rsid w:val="0099088B"/>
    <w:rsid w:val="00990DFF"/>
    <w:rsid w:val="00991453"/>
    <w:rsid w:val="009916D7"/>
    <w:rsid w:val="009917EC"/>
    <w:rsid w:val="009925AD"/>
    <w:rsid w:val="00993AE4"/>
    <w:rsid w:val="00996551"/>
    <w:rsid w:val="009970E7"/>
    <w:rsid w:val="00997B32"/>
    <w:rsid w:val="009A1A0D"/>
    <w:rsid w:val="009A37EB"/>
    <w:rsid w:val="009A3C23"/>
    <w:rsid w:val="009A5439"/>
    <w:rsid w:val="009A6404"/>
    <w:rsid w:val="009A6E19"/>
    <w:rsid w:val="009B0AF2"/>
    <w:rsid w:val="009B19DC"/>
    <w:rsid w:val="009B2BCB"/>
    <w:rsid w:val="009B2E3E"/>
    <w:rsid w:val="009B6235"/>
    <w:rsid w:val="009C07DA"/>
    <w:rsid w:val="009C0A77"/>
    <w:rsid w:val="009C1210"/>
    <w:rsid w:val="009C23FB"/>
    <w:rsid w:val="009C291C"/>
    <w:rsid w:val="009C2CA4"/>
    <w:rsid w:val="009C3F5C"/>
    <w:rsid w:val="009C5041"/>
    <w:rsid w:val="009C5167"/>
    <w:rsid w:val="009D06F5"/>
    <w:rsid w:val="009D0A74"/>
    <w:rsid w:val="009D1FBD"/>
    <w:rsid w:val="009D21B7"/>
    <w:rsid w:val="009D2364"/>
    <w:rsid w:val="009D4080"/>
    <w:rsid w:val="009D420C"/>
    <w:rsid w:val="009D5C8B"/>
    <w:rsid w:val="009E1235"/>
    <w:rsid w:val="009E1651"/>
    <w:rsid w:val="009E1BB3"/>
    <w:rsid w:val="009E2AB9"/>
    <w:rsid w:val="009E2C88"/>
    <w:rsid w:val="009E44E3"/>
    <w:rsid w:val="009E5348"/>
    <w:rsid w:val="009E5709"/>
    <w:rsid w:val="009E5998"/>
    <w:rsid w:val="009E621D"/>
    <w:rsid w:val="009E6C37"/>
    <w:rsid w:val="009E7E00"/>
    <w:rsid w:val="009F1363"/>
    <w:rsid w:val="009F166C"/>
    <w:rsid w:val="009F1C0C"/>
    <w:rsid w:val="009F269C"/>
    <w:rsid w:val="009F3BD9"/>
    <w:rsid w:val="009F4077"/>
    <w:rsid w:val="009F50E9"/>
    <w:rsid w:val="009F60D1"/>
    <w:rsid w:val="009F69C5"/>
    <w:rsid w:val="009F7E54"/>
    <w:rsid w:val="009F7F29"/>
    <w:rsid w:val="00A00EE0"/>
    <w:rsid w:val="00A00F3D"/>
    <w:rsid w:val="00A01753"/>
    <w:rsid w:val="00A01B2A"/>
    <w:rsid w:val="00A02EDC"/>
    <w:rsid w:val="00A041C8"/>
    <w:rsid w:val="00A04241"/>
    <w:rsid w:val="00A04599"/>
    <w:rsid w:val="00A0618E"/>
    <w:rsid w:val="00A064B9"/>
    <w:rsid w:val="00A067FC"/>
    <w:rsid w:val="00A10261"/>
    <w:rsid w:val="00A11C77"/>
    <w:rsid w:val="00A11F60"/>
    <w:rsid w:val="00A12ACF"/>
    <w:rsid w:val="00A12D53"/>
    <w:rsid w:val="00A12D79"/>
    <w:rsid w:val="00A12E0F"/>
    <w:rsid w:val="00A13289"/>
    <w:rsid w:val="00A134E1"/>
    <w:rsid w:val="00A1399F"/>
    <w:rsid w:val="00A13E93"/>
    <w:rsid w:val="00A141F0"/>
    <w:rsid w:val="00A159EF"/>
    <w:rsid w:val="00A17ACA"/>
    <w:rsid w:val="00A221B6"/>
    <w:rsid w:val="00A24115"/>
    <w:rsid w:val="00A24641"/>
    <w:rsid w:val="00A255B9"/>
    <w:rsid w:val="00A25B26"/>
    <w:rsid w:val="00A30F6E"/>
    <w:rsid w:val="00A31D19"/>
    <w:rsid w:val="00A32260"/>
    <w:rsid w:val="00A328F2"/>
    <w:rsid w:val="00A32D54"/>
    <w:rsid w:val="00A33A0A"/>
    <w:rsid w:val="00A33B59"/>
    <w:rsid w:val="00A33D60"/>
    <w:rsid w:val="00A34194"/>
    <w:rsid w:val="00A351A0"/>
    <w:rsid w:val="00A35F54"/>
    <w:rsid w:val="00A36D17"/>
    <w:rsid w:val="00A377D7"/>
    <w:rsid w:val="00A37D1E"/>
    <w:rsid w:val="00A40345"/>
    <w:rsid w:val="00A40D1C"/>
    <w:rsid w:val="00A40E7D"/>
    <w:rsid w:val="00A4108C"/>
    <w:rsid w:val="00A42B11"/>
    <w:rsid w:val="00A42C87"/>
    <w:rsid w:val="00A42E6A"/>
    <w:rsid w:val="00A44B91"/>
    <w:rsid w:val="00A45F1F"/>
    <w:rsid w:val="00A460AA"/>
    <w:rsid w:val="00A46E95"/>
    <w:rsid w:val="00A50C37"/>
    <w:rsid w:val="00A511BF"/>
    <w:rsid w:val="00A5148D"/>
    <w:rsid w:val="00A5519F"/>
    <w:rsid w:val="00A566CA"/>
    <w:rsid w:val="00A60303"/>
    <w:rsid w:val="00A6122D"/>
    <w:rsid w:val="00A61606"/>
    <w:rsid w:val="00A61623"/>
    <w:rsid w:val="00A6211A"/>
    <w:rsid w:val="00A62135"/>
    <w:rsid w:val="00A62291"/>
    <w:rsid w:val="00A62362"/>
    <w:rsid w:val="00A62420"/>
    <w:rsid w:val="00A65299"/>
    <w:rsid w:val="00A666E8"/>
    <w:rsid w:val="00A6711A"/>
    <w:rsid w:val="00A725EB"/>
    <w:rsid w:val="00A72AD5"/>
    <w:rsid w:val="00A72BA3"/>
    <w:rsid w:val="00A73527"/>
    <w:rsid w:val="00A746BA"/>
    <w:rsid w:val="00A751E0"/>
    <w:rsid w:val="00A75BBE"/>
    <w:rsid w:val="00A75CEE"/>
    <w:rsid w:val="00A76FC4"/>
    <w:rsid w:val="00A77A1E"/>
    <w:rsid w:val="00A815A1"/>
    <w:rsid w:val="00A8255A"/>
    <w:rsid w:val="00A833D1"/>
    <w:rsid w:val="00A84105"/>
    <w:rsid w:val="00A842EF"/>
    <w:rsid w:val="00A856CE"/>
    <w:rsid w:val="00A85F64"/>
    <w:rsid w:val="00A870E1"/>
    <w:rsid w:val="00A905BE"/>
    <w:rsid w:val="00A91681"/>
    <w:rsid w:val="00A91E9D"/>
    <w:rsid w:val="00A93A83"/>
    <w:rsid w:val="00A955A4"/>
    <w:rsid w:val="00A96534"/>
    <w:rsid w:val="00A96682"/>
    <w:rsid w:val="00A96DD5"/>
    <w:rsid w:val="00AA03D3"/>
    <w:rsid w:val="00AA1477"/>
    <w:rsid w:val="00AA234D"/>
    <w:rsid w:val="00AA2603"/>
    <w:rsid w:val="00AA29E1"/>
    <w:rsid w:val="00AA2EB6"/>
    <w:rsid w:val="00AA439E"/>
    <w:rsid w:val="00AA5024"/>
    <w:rsid w:val="00AA5279"/>
    <w:rsid w:val="00AA5D98"/>
    <w:rsid w:val="00AA7172"/>
    <w:rsid w:val="00AB3689"/>
    <w:rsid w:val="00AB3A37"/>
    <w:rsid w:val="00AB3EC0"/>
    <w:rsid w:val="00AB41D0"/>
    <w:rsid w:val="00AB4C18"/>
    <w:rsid w:val="00AB5168"/>
    <w:rsid w:val="00AB5C89"/>
    <w:rsid w:val="00AB6004"/>
    <w:rsid w:val="00AB6379"/>
    <w:rsid w:val="00AB6E91"/>
    <w:rsid w:val="00AB7868"/>
    <w:rsid w:val="00AC0165"/>
    <w:rsid w:val="00AC0895"/>
    <w:rsid w:val="00AC0AC7"/>
    <w:rsid w:val="00AC1846"/>
    <w:rsid w:val="00AC2C0F"/>
    <w:rsid w:val="00AC35FD"/>
    <w:rsid w:val="00AC49F9"/>
    <w:rsid w:val="00AC6645"/>
    <w:rsid w:val="00AC7F5E"/>
    <w:rsid w:val="00AD0103"/>
    <w:rsid w:val="00AD01D6"/>
    <w:rsid w:val="00AD0457"/>
    <w:rsid w:val="00AD0B05"/>
    <w:rsid w:val="00AD0BD0"/>
    <w:rsid w:val="00AD11FE"/>
    <w:rsid w:val="00AD14B6"/>
    <w:rsid w:val="00AD1E1D"/>
    <w:rsid w:val="00AD3492"/>
    <w:rsid w:val="00AD48F9"/>
    <w:rsid w:val="00AD62E5"/>
    <w:rsid w:val="00AD7DA4"/>
    <w:rsid w:val="00AE0A96"/>
    <w:rsid w:val="00AE22B7"/>
    <w:rsid w:val="00AE2748"/>
    <w:rsid w:val="00AE291A"/>
    <w:rsid w:val="00AE486C"/>
    <w:rsid w:val="00AE4999"/>
    <w:rsid w:val="00AE6287"/>
    <w:rsid w:val="00AE7A50"/>
    <w:rsid w:val="00AF0812"/>
    <w:rsid w:val="00AF1590"/>
    <w:rsid w:val="00AF380B"/>
    <w:rsid w:val="00AF4440"/>
    <w:rsid w:val="00AF4EAC"/>
    <w:rsid w:val="00AF519C"/>
    <w:rsid w:val="00AF563C"/>
    <w:rsid w:val="00AF5A38"/>
    <w:rsid w:val="00AF6E60"/>
    <w:rsid w:val="00AF7132"/>
    <w:rsid w:val="00AF72A3"/>
    <w:rsid w:val="00B01D32"/>
    <w:rsid w:val="00B01E98"/>
    <w:rsid w:val="00B03055"/>
    <w:rsid w:val="00B0539D"/>
    <w:rsid w:val="00B05FAE"/>
    <w:rsid w:val="00B062E0"/>
    <w:rsid w:val="00B06921"/>
    <w:rsid w:val="00B10E35"/>
    <w:rsid w:val="00B11861"/>
    <w:rsid w:val="00B11C30"/>
    <w:rsid w:val="00B12318"/>
    <w:rsid w:val="00B1235C"/>
    <w:rsid w:val="00B13446"/>
    <w:rsid w:val="00B13B58"/>
    <w:rsid w:val="00B140A1"/>
    <w:rsid w:val="00B154B7"/>
    <w:rsid w:val="00B158C3"/>
    <w:rsid w:val="00B15C9F"/>
    <w:rsid w:val="00B166D7"/>
    <w:rsid w:val="00B171AE"/>
    <w:rsid w:val="00B17CDD"/>
    <w:rsid w:val="00B20054"/>
    <w:rsid w:val="00B20357"/>
    <w:rsid w:val="00B22381"/>
    <w:rsid w:val="00B2297F"/>
    <w:rsid w:val="00B23628"/>
    <w:rsid w:val="00B23B4A"/>
    <w:rsid w:val="00B25130"/>
    <w:rsid w:val="00B25B9C"/>
    <w:rsid w:val="00B26D33"/>
    <w:rsid w:val="00B3188D"/>
    <w:rsid w:val="00B31E7E"/>
    <w:rsid w:val="00B3337B"/>
    <w:rsid w:val="00B33D57"/>
    <w:rsid w:val="00B34213"/>
    <w:rsid w:val="00B345C8"/>
    <w:rsid w:val="00B36BA3"/>
    <w:rsid w:val="00B37AA9"/>
    <w:rsid w:val="00B40396"/>
    <w:rsid w:val="00B44842"/>
    <w:rsid w:val="00B44E11"/>
    <w:rsid w:val="00B46382"/>
    <w:rsid w:val="00B47392"/>
    <w:rsid w:val="00B47B60"/>
    <w:rsid w:val="00B504FD"/>
    <w:rsid w:val="00B51EEE"/>
    <w:rsid w:val="00B526B2"/>
    <w:rsid w:val="00B52C07"/>
    <w:rsid w:val="00B553B5"/>
    <w:rsid w:val="00B5565A"/>
    <w:rsid w:val="00B57404"/>
    <w:rsid w:val="00B57C57"/>
    <w:rsid w:val="00B614F2"/>
    <w:rsid w:val="00B626A0"/>
    <w:rsid w:val="00B626E0"/>
    <w:rsid w:val="00B62C79"/>
    <w:rsid w:val="00B62E7D"/>
    <w:rsid w:val="00B62F5D"/>
    <w:rsid w:val="00B637C6"/>
    <w:rsid w:val="00B64C3C"/>
    <w:rsid w:val="00B6529F"/>
    <w:rsid w:val="00B65348"/>
    <w:rsid w:val="00B653B2"/>
    <w:rsid w:val="00B66A81"/>
    <w:rsid w:val="00B675D8"/>
    <w:rsid w:val="00B7273D"/>
    <w:rsid w:val="00B72AA6"/>
    <w:rsid w:val="00B72CEB"/>
    <w:rsid w:val="00B73B92"/>
    <w:rsid w:val="00B73CDE"/>
    <w:rsid w:val="00B74BF8"/>
    <w:rsid w:val="00B750D7"/>
    <w:rsid w:val="00B758EF"/>
    <w:rsid w:val="00B80046"/>
    <w:rsid w:val="00B80108"/>
    <w:rsid w:val="00B80294"/>
    <w:rsid w:val="00B80FC0"/>
    <w:rsid w:val="00B8162D"/>
    <w:rsid w:val="00B82715"/>
    <w:rsid w:val="00B83814"/>
    <w:rsid w:val="00B8517C"/>
    <w:rsid w:val="00B86C82"/>
    <w:rsid w:val="00B87EB1"/>
    <w:rsid w:val="00B90ABD"/>
    <w:rsid w:val="00B90C50"/>
    <w:rsid w:val="00B90D2A"/>
    <w:rsid w:val="00B910BF"/>
    <w:rsid w:val="00B9242F"/>
    <w:rsid w:val="00B93A3E"/>
    <w:rsid w:val="00B941CC"/>
    <w:rsid w:val="00B943E2"/>
    <w:rsid w:val="00B94EF9"/>
    <w:rsid w:val="00B957E6"/>
    <w:rsid w:val="00B966ED"/>
    <w:rsid w:val="00B96D35"/>
    <w:rsid w:val="00B9768F"/>
    <w:rsid w:val="00BA0A12"/>
    <w:rsid w:val="00BA0DA3"/>
    <w:rsid w:val="00BA177B"/>
    <w:rsid w:val="00BA293C"/>
    <w:rsid w:val="00BA296F"/>
    <w:rsid w:val="00BA36DD"/>
    <w:rsid w:val="00BA37A0"/>
    <w:rsid w:val="00BA487A"/>
    <w:rsid w:val="00BA54A3"/>
    <w:rsid w:val="00BA57B2"/>
    <w:rsid w:val="00BA597D"/>
    <w:rsid w:val="00BA5F68"/>
    <w:rsid w:val="00BA62E2"/>
    <w:rsid w:val="00BA65C6"/>
    <w:rsid w:val="00BA68EC"/>
    <w:rsid w:val="00BA7EA9"/>
    <w:rsid w:val="00BB010C"/>
    <w:rsid w:val="00BB13CC"/>
    <w:rsid w:val="00BB1F3E"/>
    <w:rsid w:val="00BB617A"/>
    <w:rsid w:val="00BB6258"/>
    <w:rsid w:val="00BB65CC"/>
    <w:rsid w:val="00BB6898"/>
    <w:rsid w:val="00BB6D71"/>
    <w:rsid w:val="00BB7E07"/>
    <w:rsid w:val="00BC0DAF"/>
    <w:rsid w:val="00BC1197"/>
    <w:rsid w:val="00BC1D05"/>
    <w:rsid w:val="00BC4BAC"/>
    <w:rsid w:val="00BC4D2B"/>
    <w:rsid w:val="00BC5E38"/>
    <w:rsid w:val="00BD0234"/>
    <w:rsid w:val="00BD06A9"/>
    <w:rsid w:val="00BD0873"/>
    <w:rsid w:val="00BD0A01"/>
    <w:rsid w:val="00BD1478"/>
    <w:rsid w:val="00BD1F32"/>
    <w:rsid w:val="00BD20FD"/>
    <w:rsid w:val="00BD28E3"/>
    <w:rsid w:val="00BD2F30"/>
    <w:rsid w:val="00BD335C"/>
    <w:rsid w:val="00BD39EF"/>
    <w:rsid w:val="00BD47A7"/>
    <w:rsid w:val="00BD4DB3"/>
    <w:rsid w:val="00BD4DFC"/>
    <w:rsid w:val="00BD4E44"/>
    <w:rsid w:val="00BD56C0"/>
    <w:rsid w:val="00BD5FD2"/>
    <w:rsid w:val="00BD7D47"/>
    <w:rsid w:val="00BE0457"/>
    <w:rsid w:val="00BE064B"/>
    <w:rsid w:val="00BE0CB2"/>
    <w:rsid w:val="00BE460E"/>
    <w:rsid w:val="00BE46D4"/>
    <w:rsid w:val="00BE4DF5"/>
    <w:rsid w:val="00BE5D65"/>
    <w:rsid w:val="00BF0D5C"/>
    <w:rsid w:val="00BF1951"/>
    <w:rsid w:val="00BF2A53"/>
    <w:rsid w:val="00BF31CE"/>
    <w:rsid w:val="00BF3845"/>
    <w:rsid w:val="00BF3BFF"/>
    <w:rsid w:val="00BF514F"/>
    <w:rsid w:val="00BF7109"/>
    <w:rsid w:val="00C0073E"/>
    <w:rsid w:val="00C0080A"/>
    <w:rsid w:val="00C01737"/>
    <w:rsid w:val="00C0176E"/>
    <w:rsid w:val="00C0184F"/>
    <w:rsid w:val="00C01989"/>
    <w:rsid w:val="00C01B34"/>
    <w:rsid w:val="00C03306"/>
    <w:rsid w:val="00C0466D"/>
    <w:rsid w:val="00C049B5"/>
    <w:rsid w:val="00C074EF"/>
    <w:rsid w:val="00C079E0"/>
    <w:rsid w:val="00C1071E"/>
    <w:rsid w:val="00C1125E"/>
    <w:rsid w:val="00C11DE1"/>
    <w:rsid w:val="00C12CE6"/>
    <w:rsid w:val="00C12EBE"/>
    <w:rsid w:val="00C16A81"/>
    <w:rsid w:val="00C17CBF"/>
    <w:rsid w:val="00C2061D"/>
    <w:rsid w:val="00C20F59"/>
    <w:rsid w:val="00C21A74"/>
    <w:rsid w:val="00C22453"/>
    <w:rsid w:val="00C22DB0"/>
    <w:rsid w:val="00C23CE7"/>
    <w:rsid w:val="00C24720"/>
    <w:rsid w:val="00C260D6"/>
    <w:rsid w:val="00C2788C"/>
    <w:rsid w:val="00C31ED0"/>
    <w:rsid w:val="00C32074"/>
    <w:rsid w:val="00C32219"/>
    <w:rsid w:val="00C341BC"/>
    <w:rsid w:val="00C42361"/>
    <w:rsid w:val="00C4274E"/>
    <w:rsid w:val="00C43EF5"/>
    <w:rsid w:val="00C43FC6"/>
    <w:rsid w:val="00C44154"/>
    <w:rsid w:val="00C450F5"/>
    <w:rsid w:val="00C4536B"/>
    <w:rsid w:val="00C46CC0"/>
    <w:rsid w:val="00C46F9A"/>
    <w:rsid w:val="00C470D4"/>
    <w:rsid w:val="00C47786"/>
    <w:rsid w:val="00C53C5E"/>
    <w:rsid w:val="00C54BBB"/>
    <w:rsid w:val="00C56E04"/>
    <w:rsid w:val="00C56FE2"/>
    <w:rsid w:val="00C577C8"/>
    <w:rsid w:val="00C57985"/>
    <w:rsid w:val="00C57B46"/>
    <w:rsid w:val="00C60725"/>
    <w:rsid w:val="00C60D57"/>
    <w:rsid w:val="00C62513"/>
    <w:rsid w:val="00C62BC5"/>
    <w:rsid w:val="00C62C44"/>
    <w:rsid w:val="00C635FF"/>
    <w:rsid w:val="00C6404D"/>
    <w:rsid w:val="00C659BC"/>
    <w:rsid w:val="00C6699C"/>
    <w:rsid w:val="00C67474"/>
    <w:rsid w:val="00C722A4"/>
    <w:rsid w:val="00C7258E"/>
    <w:rsid w:val="00C7392B"/>
    <w:rsid w:val="00C73D1C"/>
    <w:rsid w:val="00C7456F"/>
    <w:rsid w:val="00C746F2"/>
    <w:rsid w:val="00C76DF7"/>
    <w:rsid w:val="00C778CF"/>
    <w:rsid w:val="00C77CE4"/>
    <w:rsid w:val="00C77D12"/>
    <w:rsid w:val="00C80F16"/>
    <w:rsid w:val="00C813A7"/>
    <w:rsid w:val="00C81F1D"/>
    <w:rsid w:val="00C8293B"/>
    <w:rsid w:val="00C8384D"/>
    <w:rsid w:val="00C839C8"/>
    <w:rsid w:val="00C849AE"/>
    <w:rsid w:val="00C8546D"/>
    <w:rsid w:val="00C864C5"/>
    <w:rsid w:val="00C86A7A"/>
    <w:rsid w:val="00C8719C"/>
    <w:rsid w:val="00C87907"/>
    <w:rsid w:val="00C90186"/>
    <w:rsid w:val="00C9071C"/>
    <w:rsid w:val="00C909A3"/>
    <w:rsid w:val="00C92D65"/>
    <w:rsid w:val="00C93186"/>
    <w:rsid w:val="00C93EAC"/>
    <w:rsid w:val="00C94114"/>
    <w:rsid w:val="00C9548D"/>
    <w:rsid w:val="00C9554A"/>
    <w:rsid w:val="00C955DC"/>
    <w:rsid w:val="00C97092"/>
    <w:rsid w:val="00CA026E"/>
    <w:rsid w:val="00CA0426"/>
    <w:rsid w:val="00CA07D6"/>
    <w:rsid w:val="00CA09E0"/>
    <w:rsid w:val="00CA13F8"/>
    <w:rsid w:val="00CA1578"/>
    <w:rsid w:val="00CA1F4C"/>
    <w:rsid w:val="00CA20E1"/>
    <w:rsid w:val="00CA3637"/>
    <w:rsid w:val="00CA41BC"/>
    <w:rsid w:val="00CA47A6"/>
    <w:rsid w:val="00CA4E2C"/>
    <w:rsid w:val="00CA6FF3"/>
    <w:rsid w:val="00CB0A0B"/>
    <w:rsid w:val="00CB159F"/>
    <w:rsid w:val="00CB18A0"/>
    <w:rsid w:val="00CB29B0"/>
    <w:rsid w:val="00CB340C"/>
    <w:rsid w:val="00CB5D91"/>
    <w:rsid w:val="00CB7483"/>
    <w:rsid w:val="00CC07A1"/>
    <w:rsid w:val="00CC0A1C"/>
    <w:rsid w:val="00CC2FB1"/>
    <w:rsid w:val="00CC4A83"/>
    <w:rsid w:val="00CC5606"/>
    <w:rsid w:val="00CC72E4"/>
    <w:rsid w:val="00CC7968"/>
    <w:rsid w:val="00CD171D"/>
    <w:rsid w:val="00CD26BF"/>
    <w:rsid w:val="00CD2EA3"/>
    <w:rsid w:val="00CD3CA2"/>
    <w:rsid w:val="00CD505C"/>
    <w:rsid w:val="00CD5345"/>
    <w:rsid w:val="00CD6CC7"/>
    <w:rsid w:val="00CD78E2"/>
    <w:rsid w:val="00CD7A11"/>
    <w:rsid w:val="00CE1598"/>
    <w:rsid w:val="00CE218A"/>
    <w:rsid w:val="00CE2CA8"/>
    <w:rsid w:val="00CE3273"/>
    <w:rsid w:val="00CE33EA"/>
    <w:rsid w:val="00CE3AE7"/>
    <w:rsid w:val="00CE3CD7"/>
    <w:rsid w:val="00CE3EF1"/>
    <w:rsid w:val="00CE52C9"/>
    <w:rsid w:val="00CE58AF"/>
    <w:rsid w:val="00CE6624"/>
    <w:rsid w:val="00CF009A"/>
    <w:rsid w:val="00CF017E"/>
    <w:rsid w:val="00CF142C"/>
    <w:rsid w:val="00CF163F"/>
    <w:rsid w:val="00CF2688"/>
    <w:rsid w:val="00CF37A2"/>
    <w:rsid w:val="00CF5019"/>
    <w:rsid w:val="00CF5721"/>
    <w:rsid w:val="00CF59F4"/>
    <w:rsid w:val="00CF60A3"/>
    <w:rsid w:val="00CF6BEA"/>
    <w:rsid w:val="00CF7B1B"/>
    <w:rsid w:val="00D0074E"/>
    <w:rsid w:val="00D01217"/>
    <w:rsid w:val="00D02BBE"/>
    <w:rsid w:val="00D031C2"/>
    <w:rsid w:val="00D0411F"/>
    <w:rsid w:val="00D05935"/>
    <w:rsid w:val="00D05D45"/>
    <w:rsid w:val="00D10B6A"/>
    <w:rsid w:val="00D10BAD"/>
    <w:rsid w:val="00D10D15"/>
    <w:rsid w:val="00D137B7"/>
    <w:rsid w:val="00D13C9F"/>
    <w:rsid w:val="00D13DAD"/>
    <w:rsid w:val="00D15677"/>
    <w:rsid w:val="00D15E12"/>
    <w:rsid w:val="00D16DDF"/>
    <w:rsid w:val="00D20845"/>
    <w:rsid w:val="00D22ED1"/>
    <w:rsid w:val="00D2346B"/>
    <w:rsid w:val="00D24D6B"/>
    <w:rsid w:val="00D2557C"/>
    <w:rsid w:val="00D267B9"/>
    <w:rsid w:val="00D26FD3"/>
    <w:rsid w:val="00D304B1"/>
    <w:rsid w:val="00D307C6"/>
    <w:rsid w:val="00D31173"/>
    <w:rsid w:val="00D31D50"/>
    <w:rsid w:val="00D32863"/>
    <w:rsid w:val="00D34130"/>
    <w:rsid w:val="00D35472"/>
    <w:rsid w:val="00D35932"/>
    <w:rsid w:val="00D360DB"/>
    <w:rsid w:val="00D360EF"/>
    <w:rsid w:val="00D363FF"/>
    <w:rsid w:val="00D37C44"/>
    <w:rsid w:val="00D37E5F"/>
    <w:rsid w:val="00D40386"/>
    <w:rsid w:val="00D40B1B"/>
    <w:rsid w:val="00D41A5D"/>
    <w:rsid w:val="00D4399D"/>
    <w:rsid w:val="00D43AE4"/>
    <w:rsid w:val="00D43ED0"/>
    <w:rsid w:val="00D44AC9"/>
    <w:rsid w:val="00D44F05"/>
    <w:rsid w:val="00D45D7D"/>
    <w:rsid w:val="00D466BE"/>
    <w:rsid w:val="00D47658"/>
    <w:rsid w:val="00D50BB6"/>
    <w:rsid w:val="00D51383"/>
    <w:rsid w:val="00D52CA7"/>
    <w:rsid w:val="00D54382"/>
    <w:rsid w:val="00D546EB"/>
    <w:rsid w:val="00D5512F"/>
    <w:rsid w:val="00D552CF"/>
    <w:rsid w:val="00D5569F"/>
    <w:rsid w:val="00D55733"/>
    <w:rsid w:val="00D5656B"/>
    <w:rsid w:val="00D57652"/>
    <w:rsid w:val="00D57732"/>
    <w:rsid w:val="00D57753"/>
    <w:rsid w:val="00D607D2"/>
    <w:rsid w:val="00D609A1"/>
    <w:rsid w:val="00D60F49"/>
    <w:rsid w:val="00D610BA"/>
    <w:rsid w:val="00D6164C"/>
    <w:rsid w:val="00D6265A"/>
    <w:rsid w:val="00D64CE7"/>
    <w:rsid w:val="00D65561"/>
    <w:rsid w:val="00D675D8"/>
    <w:rsid w:val="00D67C03"/>
    <w:rsid w:val="00D70B37"/>
    <w:rsid w:val="00D7270E"/>
    <w:rsid w:val="00D72C9F"/>
    <w:rsid w:val="00D7326D"/>
    <w:rsid w:val="00D73433"/>
    <w:rsid w:val="00D7517C"/>
    <w:rsid w:val="00D7551D"/>
    <w:rsid w:val="00D7553B"/>
    <w:rsid w:val="00D75DB3"/>
    <w:rsid w:val="00D76373"/>
    <w:rsid w:val="00D7669E"/>
    <w:rsid w:val="00D7698F"/>
    <w:rsid w:val="00D807F7"/>
    <w:rsid w:val="00D80905"/>
    <w:rsid w:val="00D80C4A"/>
    <w:rsid w:val="00D82212"/>
    <w:rsid w:val="00D8237D"/>
    <w:rsid w:val="00D8401E"/>
    <w:rsid w:val="00D84726"/>
    <w:rsid w:val="00D848C1"/>
    <w:rsid w:val="00D852B3"/>
    <w:rsid w:val="00D8565C"/>
    <w:rsid w:val="00D85888"/>
    <w:rsid w:val="00D86031"/>
    <w:rsid w:val="00D87C6D"/>
    <w:rsid w:val="00D87D74"/>
    <w:rsid w:val="00D90862"/>
    <w:rsid w:val="00D9116F"/>
    <w:rsid w:val="00D92EEF"/>
    <w:rsid w:val="00D951EC"/>
    <w:rsid w:val="00D97BA8"/>
    <w:rsid w:val="00DA0C9E"/>
    <w:rsid w:val="00DA0F5B"/>
    <w:rsid w:val="00DA1507"/>
    <w:rsid w:val="00DA2068"/>
    <w:rsid w:val="00DA2AB4"/>
    <w:rsid w:val="00DA6534"/>
    <w:rsid w:val="00DA6605"/>
    <w:rsid w:val="00DA698F"/>
    <w:rsid w:val="00DB193B"/>
    <w:rsid w:val="00DB19DA"/>
    <w:rsid w:val="00DB2DDB"/>
    <w:rsid w:val="00DB554D"/>
    <w:rsid w:val="00DB5846"/>
    <w:rsid w:val="00DB5B2B"/>
    <w:rsid w:val="00DB68D3"/>
    <w:rsid w:val="00DB6D6F"/>
    <w:rsid w:val="00DB723E"/>
    <w:rsid w:val="00DB746C"/>
    <w:rsid w:val="00DC0F33"/>
    <w:rsid w:val="00DC1654"/>
    <w:rsid w:val="00DC2138"/>
    <w:rsid w:val="00DC2E57"/>
    <w:rsid w:val="00DC3514"/>
    <w:rsid w:val="00DC3FCC"/>
    <w:rsid w:val="00DC4ABD"/>
    <w:rsid w:val="00DC5C67"/>
    <w:rsid w:val="00DC65B7"/>
    <w:rsid w:val="00DC7CCD"/>
    <w:rsid w:val="00DD0007"/>
    <w:rsid w:val="00DD0984"/>
    <w:rsid w:val="00DD1CD8"/>
    <w:rsid w:val="00DD2308"/>
    <w:rsid w:val="00DD3059"/>
    <w:rsid w:val="00DD35ED"/>
    <w:rsid w:val="00DD5D76"/>
    <w:rsid w:val="00DD6708"/>
    <w:rsid w:val="00DD7D12"/>
    <w:rsid w:val="00DE1AEA"/>
    <w:rsid w:val="00DE1DCB"/>
    <w:rsid w:val="00DE3E8F"/>
    <w:rsid w:val="00DE40B7"/>
    <w:rsid w:val="00DE4D85"/>
    <w:rsid w:val="00DE4F54"/>
    <w:rsid w:val="00DE64AE"/>
    <w:rsid w:val="00DE66C1"/>
    <w:rsid w:val="00DE6AD1"/>
    <w:rsid w:val="00DE77C8"/>
    <w:rsid w:val="00DF00B0"/>
    <w:rsid w:val="00DF04AB"/>
    <w:rsid w:val="00DF0A91"/>
    <w:rsid w:val="00DF0F92"/>
    <w:rsid w:val="00DF147D"/>
    <w:rsid w:val="00DF2651"/>
    <w:rsid w:val="00DF3879"/>
    <w:rsid w:val="00DF3A24"/>
    <w:rsid w:val="00DF3E9D"/>
    <w:rsid w:val="00DF4121"/>
    <w:rsid w:val="00DF4848"/>
    <w:rsid w:val="00DF4DF1"/>
    <w:rsid w:val="00DF72A4"/>
    <w:rsid w:val="00E001E7"/>
    <w:rsid w:val="00E0038D"/>
    <w:rsid w:val="00E01324"/>
    <w:rsid w:val="00E02A37"/>
    <w:rsid w:val="00E02E5C"/>
    <w:rsid w:val="00E03687"/>
    <w:rsid w:val="00E03AE2"/>
    <w:rsid w:val="00E04684"/>
    <w:rsid w:val="00E0664A"/>
    <w:rsid w:val="00E06A5B"/>
    <w:rsid w:val="00E06C60"/>
    <w:rsid w:val="00E070D9"/>
    <w:rsid w:val="00E11FC9"/>
    <w:rsid w:val="00E12802"/>
    <w:rsid w:val="00E12BCB"/>
    <w:rsid w:val="00E1311D"/>
    <w:rsid w:val="00E13CF9"/>
    <w:rsid w:val="00E15373"/>
    <w:rsid w:val="00E15D92"/>
    <w:rsid w:val="00E16885"/>
    <w:rsid w:val="00E2145B"/>
    <w:rsid w:val="00E227F0"/>
    <w:rsid w:val="00E22F80"/>
    <w:rsid w:val="00E232EA"/>
    <w:rsid w:val="00E2418D"/>
    <w:rsid w:val="00E25AE7"/>
    <w:rsid w:val="00E25B0E"/>
    <w:rsid w:val="00E27F70"/>
    <w:rsid w:val="00E3244B"/>
    <w:rsid w:val="00E32A2B"/>
    <w:rsid w:val="00E33871"/>
    <w:rsid w:val="00E35201"/>
    <w:rsid w:val="00E36494"/>
    <w:rsid w:val="00E367F8"/>
    <w:rsid w:val="00E407FE"/>
    <w:rsid w:val="00E4152B"/>
    <w:rsid w:val="00E423C0"/>
    <w:rsid w:val="00E4294A"/>
    <w:rsid w:val="00E43252"/>
    <w:rsid w:val="00E43CC0"/>
    <w:rsid w:val="00E45695"/>
    <w:rsid w:val="00E5103E"/>
    <w:rsid w:val="00E511FD"/>
    <w:rsid w:val="00E5205E"/>
    <w:rsid w:val="00E52C01"/>
    <w:rsid w:val="00E53A59"/>
    <w:rsid w:val="00E53DA5"/>
    <w:rsid w:val="00E55D50"/>
    <w:rsid w:val="00E56029"/>
    <w:rsid w:val="00E5736E"/>
    <w:rsid w:val="00E5793B"/>
    <w:rsid w:val="00E614FA"/>
    <w:rsid w:val="00E6235A"/>
    <w:rsid w:val="00E627DA"/>
    <w:rsid w:val="00E628A2"/>
    <w:rsid w:val="00E66AC3"/>
    <w:rsid w:val="00E66B3C"/>
    <w:rsid w:val="00E729DA"/>
    <w:rsid w:val="00E7310B"/>
    <w:rsid w:val="00E7572A"/>
    <w:rsid w:val="00E75B7D"/>
    <w:rsid w:val="00E75C30"/>
    <w:rsid w:val="00E762B3"/>
    <w:rsid w:val="00E7741B"/>
    <w:rsid w:val="00E80617"/>
    <w:rsid w:val="00E814EE"/>
    <w:rsid w:val="00E8244B"/>
    <w:rsid w:val="00E838A8"/>
    <w:rsid w:val="00E83E5B"/>
    <w:rsid w:val="00E843E5"/>
    <w:rsid w:val="00E851E4"/>
    <w:rsid w:val="00E87142"/>
    <w:rsid w:val="00E871AE"/>
    <w:rsid w:val="00E87568"/>
    <w:rsid w:val="00E878F2"/>
    <w:rsid w:val="00E87EC8"/>
    <w:rsid w:val="00E906AB"/>
    <w:rsid w:val="00E90C49"/>
    <w:rsid w:val="00E910E3"/>
    <w:rsid w:val="00E910FE"/>
    <w:rsid w:val="00E929A0"/>
    <w:rsid w:val="00E92EE4"/>
    <w:rsid w:val="00E94971"/>
    <w:rsid w:val="00E951E0"/>
    <w:rsid w:val="00E96357"/>
    <w:rsid w:val="00E965C7"/>
    <w:rsid w:val="00E9682F"/>
    <w:rsid w:val="00E97AE3"/>
    <w:rsid w:val="00EA10A1"/>
    <w:rsid w:val="00EA1BFA"/>
    <w:rsid w:val="00EA1C5F"/>
    <w:rsid w:val="00EA1E4D"/>
    <w:rsid w:val="00EA2069"/>
    <w:rsid w:val="00EA236D"/>
    <w:rsid w:val="00EA5176"/>
    <w:rsid w:val="00EA51A8"/>
    <w:rsid w:val="00EA5364"/>
    <w:rsid w:val="00EA5B89"/>
    <w:rsid w:val="00EA6600"/>
    <w:rsid w:val="00EA7EAF"/>
    <w:rsid w:val="00EB44C2"/>
    <w:rsid w:val="00EB60F2"/>
    <w:rsid w:val="00EB6CFF"/>
    <w:rsid w:val="00EB784A"/>
    <w:rsid w:val="00EC01A7"/>
    <w:rsid w:val="00EC080E"/>
    <w:rsid w:val="00EC1DF9"/>
    <w:rsid w:val="00EC433C"/>
    <w:rsid w:val="00EC4AE0"/>
    <w:rsid w:val="00EC5728"/>
    <w:rsid w:val="00EC5A4A"/>
    <w:rsid w:val="00EC6CBC"/>
    <w:rsid w:val="00ED0EFC"/>
    <w:rsid w:val="00ED11FA"/>
    <w:rsid w:val="00ED202A"/>
    <w:rsid w:val="00ED2511"/>
    <w:rsid w:val="00ED25BB"/>
    <w:rsid w:val="00ED2EEB"/>
    <w:rsid w:val="00ED389E"/>
    <w:rsid w:val="00ED3A79"/>
    <w:rsid w:val="00ED5D13"/>
    <w:rsid w:val="00EE06C7"/>
    <w:rsid w:val="00EE1662"/>
    <w:rsid w:val="00EE19BB"/>
    <w:rsid w:val="00EE2C8A"/>
    <w:rsid w:val="00EE3938"/>
    <w:rsid w:val="00EE3EC2"/>
    <w:rsid w:val="00EE4BB2"/>
    <w:rsid w:val="00EE4E3D"/>
    <w:rsid w:val="00EF0632"/>
    <w:rsid w:val="00EF1301"/>
    <w:rsid w:val="00EF2723"/>
    <w:rsid w:val="00EF31A6"/>
    <w:rsid w:val="00EF3DDB"/>
    <w:rsid w:val="00EF4B48"/>
    <w:rsid w:val="00EF4D59"/>
    <w:rsid w:val="00EF59AC"/>
    <w:rsid w:val="00EF6212"/>
    <w:rsid w:val="00EF6250"/>
    <w:rsid w:val="00F00440"/>
    <w:rsid w:val="00F03143"/>
    <w:rsid w:val="00F03588"/>
    <w:rsid w:val="00F0712D"/>
    <w:rsid w:val="00F109E0"/>
    <w:rsid w:val="00F11013"/>
    <w:rsid w:val="00F111DE"/>
    <w:rsid w:val="00F1140F"/>
    <w:rsid w:val="00F11B1E"/>
    <w:rsid w:val="00F11F99"/>
    <w:rsid w:val="00F14133"/>
    <w:rsid w:val="00F14C6A"/>
    <w:rsid w:val="00F17EE4"/>
    <w:rsid w:val="00F21043"/>
    <w:rsid w:val="00F232E1"/>
    <w:rsid w:val="00F23A97"/>
    <w:rsid w:val="00F25434"/>
    <w:rsid w:val="00F25FC7"/>
    <w:rsid w:val="00F311B3"/>
    <w:rsid w:val="00F314E3"/>
    <w:rsid w:val="00F342EE"/>
    <w:rsid w:val="00F361C7"/>
    <w:rsid w:val="00F37317"/>
    <w:rsid w:val="00F375CA"/>
    <w:rsid w:val="00F37C3F"/>
    <w:rsid w:val="00F400BF"/>
    <w:rsid w:val="00F422DA"/>
    <w:rsid w:val="00F42636"/>
    <w:rsid w:val="00F438F1"/>
    <w:rsid w:val="00F43B34"/>
    <w:rsid w:val="00F442C1"/>
    <w:rsid w:val="00F44F40"/>
    <w:rsid w:val="00F50581"/>
    <w:rsid w:val="00F53AA9"/>
    <w:rsid w:val="00F543B5"/>
    <w:rsid w:val="00F57BAD"/>
    <w:rsid w:val="00F60259"/>
    <w:rsid w:val="00F609D2"/>
    <w:rsid w:val="00F628A7"/>
    <w:rsid w:val="00F64071"/>
    <w:rsid w:val="00F6443C"/>
    <w:rsid w:val="00F646CA"/>
    <w:rsid w:val="00F64793"/>
    <w:rsid w:val="00F64E23"/>
    <w:rsid w:val="00F64EA5"/>
    <w:rsid w:val="00F65192"/>
    <w:rsid w:val="00F65A15"/>
    <w:rsid w:val="00F65B16"/>
    <w:rsid w:val="00F66146"/>
    <w:rsid w:val="00F661F4"/>
    <w:rsid w:val="00F66AC1"/>
    <w:rsid w:val="00F66E8C"/>
    <w:rsid w:val="00F67474"/>
    <w:rsid w:val="00F67DF6"/>
    <w:rsid w:val="00F67E22"/>
    <w:rsid w:val="00F701B1"/>
    <w:rsid w:val="00F7054E"/>
    <w:rsid w:val="00F705E8"/>
    <w:rsid w:val="00F70791"/>
    <w:rsid w:val="00F70CDB"/>
    <w:rsid w:val="00F713FB"/>
    <w:rsid w:val="00F71532"/>
    <w:rsid w:val="00F71918"/>
    <w:rsid w:val="00F720DA"/>
    <w:rsid w:val="00F731CD"/>
    <w:rsid w:val="00F7327F"/>
    <w:rsid w:val="00F73A43"/>
    <w:rsid w:val="00F75BE0"/>
    <w:rsid w:val="00F76DFE"/>
    <w:rsid w:val="00F76F31"/>
    <w:rsid w:val="00F77B26"/>
    <w:rsid w:val="00F80598"/>
    <w:rsid w:val="00F80693"/>
    <w:rsid w:val="00F80ADA"/>
    <w:rsid w:val="00F81995"/>
    <w:rsid w:val="00F81A52"/>
    <w:rsid w:val="00F81F31"/>
    <w:rsid w:val="00F82701"/>
    <w:rsid w:val="00F8289D"/>
    <w:rsid w:val="00F83D38"/>
    <w:rsid w:val="00F84336"/>
    <w:rsid w:val="00F8451E"/>
    <w:rsid w:val="00F85B6C"/>
    <w:rsid w:val="00F87184"/>
    <w:rsid w:val="00F879C0"/>
    <w:rsid w:val="00F91086"/>
    <w:rsid w:val="00F93162"/>
    <w:rsid w:val="00F946E1"/>
    <w:rsid w:val="00F95222"/>
    <w:rsid w:val="00F9662E"/>
    <w:rsid w:val="00F96DC9"/>
    <w:rsid w:val="00F96E7B"/>
    <w:rsid w:val="00F97631"/>
    <w:rsid w:val="00F97C9C"/>
    <w:rsid w:val="00FA0117"/>
    <w:rsid w:val="00FA19AF"/>
    <w:rsid w:val="00FA1D5E"/>
    <w:rsid w:val="00FA2072"/>
    <w:rsid w:val="00FA3D39"/>
    <w:rsid w:val="00FA4D9C"/>
    <w:rsid w:val="00FA5675"/>
    <w:rsid w:val="00FA7F9E"/>
    <w:rsid w:val="00FB1857"/>
    <w:rsid w:val="00FB223A"/>
    <w:rsid w:val="00FB25ED"/>
    <w:rsid w:val="00FB2A42"/>
    <w:rsid w:val="00FB2BA0"/>
    <w:rsid w:val="00FB36A9"/>
    <w:rsid w:val="00FB4A46"/>
    <w:rsid w:val="00FB4ED3"/>
    <w:rsid w:val="00FB52E3"/>
    <w:rsid w:val="00FB6158"/>
    <w:rsid w:val="00FB71B6"/>
    <w:rsid w:val="00FB781A"/>
    <w:rsid w:val="00FC01F8"/>
    <w:rsid w:val="00FC2D1D"/>
    <w:rsid w:val="00FC6744"/>
    <w:rsid w:val="00FC701A"/>
    <w:rsid w:val="00FC7B07"/>
    <w:rsid w:val="00FD0258"/>
    <w:rsid w:val="00FD0F64"/>
    <w:rsid w:val="00FD133C"/>
    <w:rsid w:val="00FD16EE"/>
    <w:rsid w:val="00FD2032"/>
    <w:rsid w:val="00FD3E65"/>
    <w:rsid w:val="00FD593F"/>
    <w:rsid w:val="00FD65DF"/>
    <w:rsid w:val="00FD6907"/>
    <w:rsid w:val="00FD6944"/>
    <w:rsid w:val="00FD7449"/>
    <w:rsid w:val="00FD7EFC"/>
    <w:rsid w:val="00FE1A9D"/>
    <w:rsid w:val="00FE1C2A"/>
    <w:rsid w:val="00FE7843"/>
    <w:rsid w:val="00FF1BF7"/>
    <w:rsid w:val="00FF28E0"/>
    <w:rsid w:val="00FF3355"/>
    <w:rsid w:val="00FF396B"/>
    <w:rsid w:val="00FF3D9B"/>
    <w:rsid w:val="00FF3E6C"/>
    <w:rsid w:val="00FF499F"/>
    <w:rsid w:val="00FF5EBC"/>
    <w:rsid w:val="00FF6474"/>
    <w:rsid w:val="202A6B50"/>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index 1" w:uiPriority="0" w:unhideWhenUsed="0"/>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semiHidden="0" w:uiPriority="0" w:unhideWhenUsed="0" w:qFormat="1"/>
    <w:lsdException w:name="annotation text" w:semiHidden="0" w:uiPriority="0"/>
    <w:lsdException w:name="header" w:semiHidden="0" w:uiPriority="0"/>
    <w:lsdException w:name="footer" w:semiHidden="0"/>
    <w:lsdException w:name="caption" w:semiHidden="0" w:uiPriority="0" w:unhideWhenUsed="0" w:qFormat="1"/>
    <w:lsdException w:name="annotation reference" w:semiHidden="0"/>
    <w:lsdException w:name="page number" w:semiHidden="0" w:uiPriority="0" w:unhideWhenUsed="0"/>
    <w:lsdException w:name="List Number" w:semiHidden="0" w:uiPriority="0" w:unhideWhenUsed="0"/>
    <w:lsdException w:name="List Number 2" w:uiPriority="0"/>
    <w:lsdException w:name="Title" w:semiHidden="0" w:uiPriority="0" w:unhideWhenUsed="0" w:qFormat="1"/>
    <w:lsdException w:name="Default Paragraph Font" w:semiHidden="0" w:uiPriority="1"/>
    <w:lsdException w:name="Body Text Indent" w:semiHidden="0"/>
    <w:lsdException w:name="Subtitle" w:semiHidden="0" w:uiPriority="11" w:unhideWhenUsed="0" w:qFormat="1"/>
    <w:lsdException w:name="Date" w:semiHidden="0" w:uiPriority="0" w:unhideWhenUsed="0"/>
    <w:lsdException w:name="Body Text First Indent" w:semiHidden="0" w:uiPriority="0"/>
    <w:lsdException w:name="Body Text 2" w:uiPriority="0"/>
    <w:lsdException w:name="Hyperlink" w:semiHidden="0"/>
    <w:lsdException w:name="Strong" w:semiHidden="0" w:uiPriority="22" w:unhideWhenUsed="0" w:qFormat="1"/>
    <w:lsdException w:name="Emphasis" w:semiHidden="0" w:uiPriority="0" w:unhideWhenUsed="0" w:qFormat="1"/>
    <w:lsdException w:name="Plain Text" w:semiHidden="0" w:uiPriority="0" w:unhideWhenUsed="0"/>
    <w:lsdException w:name="Normal (Web)" w:semiHidden="0"/>
    <w:lsdException w:name="Normal Table" w:qFormat="1"/>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NormalIndent"/>
    <w:qFormat/>
    <w:pPr>
      <w:contextualSpacing/>
      <w:jc w:val="both"/>
    </w:pPr>
    <w:rPr>
      <w:rFonts w:ascii="Times New Roman" w:eastAsia="宋体" w:hAnsi="Times New Roman"/>
      <w:sz w:val="24"/>
      <w:szCs w:val="22"/>
      <w:lang w:val="en-US" w:eastAsia="zh-CN" w:bidi="ar-SA"/>
    </w:rPr>
  </w:style>
  <w:style w:type="paragraph" w:styleId="Heading1">
    <w:name w:val="heading 1"/>
    <w:basedOn w:val="Normal"/>
    <w:next w:val="NormalIndent"/>
    <w:link w:val="1Char1"/>
    <w:qFormat/>
    <w:pPr>
      <w:keepNext/>
      <w:keepLines/>
      <w:pageBreakBefore/>
      <w:widowControl w:val="0"/>
      <w:numPr>
        <w:ilvl w:val="0"/>
        <w:numId w:val="1"/>
      </w:numPr>
      <w:spacing w:before="360" w:after="240" w:line="578" w:lineRule="auto"/>
      <w:jc w:val="center"/>
      <w:outlineLvl w:val="0"/>
    </w:pPr>
    <w:rPr>
      <w:rFonts w:cs="Arial"/>
      <w:b/>
      <w:bCs/>
      <w:kern w:val="44"/>
      <w:sz w:val="36"/>
      <w:szCs w:val="44"/>
    </w:rPr>
  </w:style>
  <w:style w:type="paragraph" w:styleId="Heading2">
    <w:name w:val="heading 2"/>
    <w:basedOn w:val="Normal"/>
    <w:next w:val="NormalIndent"/>
    <w:link w:val="2Char"/>
    <w:qFormat/>
    <w:pPr>
      <w:keepNext/>
      <w:keepLines/>
      <w:numPr>
        <w:ilvl w:val="1"/>
        <w:numId w:val="1"/>
      </w:numPr>
      <w:spacing w:before="50" w:beforeLines="50" w:after="50" w:afterLines="50"/>
      <w:jc w:val="left"/>
      <w:outlineLvl w:val="1"/>
    </w:pPr>
    <w:rPr>
      <w:rFonts w:cs="Arial"/>
      <w:b/>
      <w:bCs/>
      <w:sz w:val="28"/>
      <w:szCs w:val="32"/>
    </w:rPr>
  </w:style>
  <w:style w:type="paragraph" w:styleId="Heading3">
    <w:name w:val="heading 3"/>
    <w:basedOn w:val="Normal"/>
    <w:next w:val="NormalIndent"/>
    <w:link w:val="3Char"/>
    <w:qFormat/>
    <w:pPr>
      <w:keepNext/>
      <w:keepLines/>
      <w:numPr>
        <w:ilvl w:val="2"/>
        <w:numId w:val="1"/>
      </w:numPr>
      <w:spacing w:before="216" w:beforeLines="50" w:after="108" w:afterLines="25"/>
      <w:jc w:val="left"/>
      <w:outlineLvl w:val="2"/>
    </w:pPr>
    <w:rPr>
      <w:b/>
      <w:bCs/>
      <w:szCs w:val="32"/>
    </w:rPr>
  </w:style>
  <w:style w:type="paragraph" w:styleId="Heading4">
    <w:name w:val="heading 4"/>
    <w:basedOn w:val="Normal"/>
    <w:next w:val="NormalIndent"/>
    <w:link w:val="4Char"/>
    <w:qFormat/>
    <w:pPr>
      <w:keepNext/>
      <w:keepLines/>
      <w:numPr>
        <w:ilvl w:val="3"/>
        <w:numId w:val="1"/>
      </w:numPr>
      <w:tabs>
        <w:tab w:val="left" w:pos="672"/>
      </w:tabs>
      <w:spacing w:before="25" w:beforeLines="25" w:after="25" w:afterLines="25" w:line="480" w:lineRule="exact"/>
      <w:jc w:val="left"/>
      <w:outlineLvl w:val="3"/>
    </w:pPr>
    <w:rPr>
      <w:bCs/>
      <w:szCs w:val="28"/>
    </w:rPr>
  </w:style>
  <w:style w:type="paragraph" w:styleId="Heading5">
    <w:name w:val="heading 5"/>
    <w:basedOn w:val="Normal"/>
    <w:next w:val="NormalIndent"/>
    <w:link w:val="5Char"/>
    <w:qFormat/>
    <w:pPr>
      <w:keepNext/>
      <w:keepLines/>
      <w:numPr>
        <w:ilvl w:val="0"/>
        <w:numId w:val="2"/>
      </w:numPr>
      <w:tabs>
        <w:tab w:val="left" w:pos="896"/>
      </w:tabs>
      <w:spacing w:beforeLines="25" w:afterLines="25" w:line="480" w:lineRule="exact"/>
      <w:jc w:val="left"/>
      <w:outlineLvl w:val="4"/>
    </w:pPr>
    <w:rPr>
      <w:bCs/>
      <w:szCs w:val="28"/>
    </w:rPr>
  </w:style>
  <w:style w:type="paragraph" w:styleId="Heading6">
    <w:name w:val="heading 6"/>
    <w:basedOn w:val="Normal"/>
    <w:link w:val="6Char"/>
    <w:uiPriority w:val="9"/>
    <w:qFormat/>
    <w:pPr>
      <w:keepNext/>
      <w:keepLines/>
      <w:numPr>
        <w:ilvl w:val="0"/>
        <w:numId w:val="3"/>
      </w:numPr>
      <w:tabs>
        <w:tab w:val="left" w:pos="672"/>
        <w:tab w:val="left" w:pos="1134"/>
      </w:tabs>
      <w:ind w:left="112" w:firstLine="448" w:leftChars="50" w:firstLineChars="200"/>
      <w:outlineLvl w:val="5"/>
    </w:pPr>
    <w:rPr>
      <w:bCs/>
      <w:szCs w:val="24"/>
    </w:rPr>
  </w:style>
  <w:style w:type="paragraph" w:styleId="Heading7">
    <w:name w:val="heading 7"/>
    <w:basedOn w:val="Normal"/>
    <w:link w:val="7Char"/>
    <w:uiPriority w:val="9"/>
    <w:qFormat/>
    <w:pPr>
      <w:keepNext/>
      <w:keepLines/>
      <w:numPr>
        <w:ilvl w:val="0"/>
        <w:numId w:val="4"/>
      </w:numPr>
      <w:tabs>
        <w:tab w:val="left" w:pos="1276"/>
      </w:tabs>
      <w:ind w:left="1214"/>
      <w:outlineLvl w:val="6"/>
    </w:pPr>
    <w:rPr>
      <w:bCs/>
      <w:szCs w:val="24"/>
    </w:rPr>
  </w:style>
  <w:style w:type="paragraph" w:styleId="Heading8">
    <w:name w:val="heading 8"/>
    <w:basedOn w:val="Normal"/>
    <w:next w:val="Normal"/>
    <w:link w:val="8Char"/>
    <w:uiPriority w:val="9"/>
    <w:qFormat/>
    <w:pPr>
      <w:keepNext/>
      <w:keepLines/>
      <w:spacing w:before="240" w:after="64" w:line="320" w:lineRule="auto"/>
      <w:jc w:val="center"/>
      <w:outlineLvl w:val="7"/>
    </w:pPr>
    <w:rPr>
      <w:rFonts w:eastAsia="华文新魏"/>
      <w:sz w:val="48"/>
      <w:szCs w:val="24"/>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NormalIndent">
    <w:name w:val="Normal Indent"/>
    <w:basedOn w:val="Normal"/>
    <w:link w:val="Char"/>
    <w:qFormat/>
    <w:pPr>
      <w:ind w:firstLine="448" w:firstLineChars="200"/>
    </w:pPr>
  </w:style>
  <w:style w:type="character" w:customStyle="1" w:styleId="Char">
    <w:name w:val="正文缩进 Char"/>
    <w:aliases w:val="Body text ident 1 Char,正文1 Char,正文缩进1 Char,正文（首行缩进两字） Char Char Char Char Char Char,正文（首行缩进两字） Char Char Char Char Char1,正文（首行缩进两字） Char Char Char Char1,正文（首行缩进两字） Char Char Char1,正文（首行缩进两字） Char Char1,特点 Char,首行缩进两字 Char,首行缩进两字 Char Char Char"/>
    <w:basedOn w:val="DefaultParagraphFont"/>
    <w:link w:val="NormalIndent"/>
    <w:rPr>
      <w:rFonts w:ascii="Times New Roman" w:eastAsia="宋体" w:hAnsi="Times New Roman"/>
      <w:sz w:val="24"/>
      <w:szCs w:val="22"/>
    </w:rPr>
  </w:style>
  <w:style w:type="character" w:customStyle="1" w:styleId="1Char1">
    <w:name w:val="标题 1 Char"/>
    <w:aliases w:val="-*+ Char Char1,-*+ Char1,1st level Char Char,H1 Char,Otsikko 1 Char,Section Head Char Char,h1 Char Char,l1 Char Char,报告书标题 1 Char,标题 1 Char Char Char1,标题章 Char,标题章 Char Char Char Char Char,章 Char,章标题 1 Char Char,章标题 1 Char1,章节 1 Char,章节 Char"/>
    <w:basedOn w:val="DefaultParagraphFont"/>
    <w:link w:val="Heading1"/>
    <w:rPr>
      <w:rFonts w:ascii="Times New Roman" w:eastAsia="宋体" w:hAnsi="Times New Roman" w:cs="Arial"/>
      <w:b/>
      <w:bCs/>
      <w:kern w:val="44"/>
      <w:sz w:val="36"/>
      <w:szCs w:val="44"/>
    </w:rPr>
  </w:style>
  <w:style w:type="character" w:customStyle="1" w:styleId="2Char">
    <w:name w:val="标题 2 Char"/>
    <w:aliases w:val="1.1标题 2 Char,1.1标题2 Char,2 Char,2nd level Char,Header 2 Char,Heading 2 Hidden Char,Titre3 Char,h2 Char,sect 1.2 Char,标题 2 Char Char Char Char,标题 2 Char Char Char1,标题节 Char,标题节 Char Char Char,章标题 Char1,章节2 Char,节 Char,节标题 1.1 Char,节标题 Char"/>
    <w:basedOn w:val="DefaultParagraphFont"/>
    <w:link w:val="Heading2"/>
    <w:rPr>
      <w:rFonts w:ascii="Times New Roman" w:eastAsia="宋体" w:hAnsi="Times New Roman" w:cs="Arial"/>
      <w:b/>
      <w:bCs/>
      <w:sz w:val="28"/>
      <w:szCs w:val="32"/>
    </w:rPr>
  </w:style>
  <w:style w:type="character" w:customStyle="1" w:styleId="3Char">
    <w:name w:val="标题 3 Char"/>
    <w:aliases w:val="3 Char1,31 Char,3rd level Char1,3rd level1 Char,CT Char Char Char1,CT Char Char1,CT Char1,H3 Char,H31 Char,Re Char,h3 Char1,h31 Char,l3 Char,l31 Char Char Char,头 Char,小标题 Char,小节标题 Char,条标题1.1.1 Char1,条标题1.1.11 Char,标题 31 Char,标题 一 Char,段 Char"/>
    <w:basedOn w:val="DefaultParagraphFont"/>
    <w:link w:val="Heading3"/>
    <w:rPr>
      <w:rFonts w:ascii="Times New Roman" w:eastAsia="宋体" w:hAnsi="Times New Roman"/>
      <w:b/>
      <w:bCs/>
      <w:sz w:val="24"/>
      <w:szCs w:val="32"/>
    </w:rPr>
  </w:style>
  <w:style w:type="character" w:customStyle="1" w:styleId="4Char">
    <w:name w:val="标题 4 Char"/>
    <w:aliases w:val="H4 Char,H41 Char,L4 Char,Minor Heading Char,PIM 4 Char,h4 Char,h4 sub sub heading Char,heading 4 + Indent: Left 0.5 in Char,mxHeading4 Char,rh1 Char,四 Char,标题 4 Char Char Char,标题 4 Char2 Char Char,款标题1.1.1.1 Char,目 Char,表格1 Char,（一） Char"/>
    <w:basedOn w:val="DefaultParagraphFont"/>
    <w:link w:val="Heading4"/>
    <w:rPr>
      <w:rFonts w:ascii="Times New Roman" w:eastAsia="宋体" w:hAnsi="Times New Roman"/>
      <w:bCs/>
      <w:sz w:val="24"/>
      <w:szCs w:val="28"/>
    </w:rPr>
  </w:style>
  <w:style w:type="character" w:customStyle="1" w:styleId="5Char">
    <w:name w:val="标题 5 Char"/>
    <w:aliases w:val="五 Char,五1 Char,五2 Char,标题1.1.1.1.1 Char,标题1.1.1.1.11 Char,标题1.1.1.1.12 Char,标题（一） Char,标题（一）1 Char,标题（一）2 Char"/>
    <w:basedOn w:val="DefaultParagraphFont"/>
    <w:link w:val="Heading5"/>
    <w:rPr>
      <w:rFonts w:ascii="Times New Roman" w:eastAsia="宋体" w:hAnsi="Times New Roman"/>
      <w:bCs/>
      <w:sz w:val="24"/>
      <w:szCs w:val="28"/>
    </w:rPr>
  </w:style>
  <w:style w:type="character" w:customStyle="1" w:styleId="6Char">
    <w:name w:val="标题 6 Char"/>
    <w:basedOn w:val="DefaultParagraphFont"/>
    <w:link w:val="Heading6"/>
    <w:uiPriority w:val="9"/>
    <w:rPr>
      <w:rFonts w:ascii="Times New Roman" w:eastAsia="宋体" w:hAnsi="Times New Roman"/>
      <w:bCs/>
      <w:sz w:val="24"/>
      <w:szCs w:val="24"/>
    </w:rPr>
  </w:style>
  <w:style w:type="character" w:customStyle="1" w:styleId="7Char">
    <w:name w:val="标题 7 Char"/>
    <w:basedOn w:val="DefaultParagraphFont"/>
    <w:link w:val="Heading7"/>
    <w:uiPriority w:val="9"/>
    <w:rPr>
      <w:rFonts w:ascii="Times New Roman" w:eastAsia="宋体" w:hAnsi="Times New Roman"/>
      <w:bCs/>
      <w:sz w:val="24"/>
      <w:szCs w:val="24"/>
    </w:rPr>
  </w:style>
  <w:style w:type="character" w:customStyle="1" w:styleId="8Char">
    <w:name w:val="标题 8 Char"/>
    <w:aliases w:val="报告书名称 Char"/>
    <w:basedOn w:val="DefaultParagraphFont"/>
    <w:link w:val="Heading8"/>
    <w:uiPriority w:val="9"/>
    <w:rPr>
      <w:rFonts w:ascii="Times New Roman" w:eastAsia="华文新魏" w:hAnsi="Times New Roman"/>
      <w:sz w:val="48"/>
      <w:szCs w:val="24"/>
    </w:rPr>
  </w:style>
  <w:style w:type="paragraph" w:styleId="TOC7">
    <w:name w:val="toc 7"/>
    <w:basedOn w:val="Normal"/>
    <w:next w:val="Normal"/>
    <w:uiPriority w:val="39"/>
    <w:unhideWhenUsed/>
    <w:pPr>
      <w:widowControl w:val="0"/>
      <w:ind w:left="2520" w:leftChars="1200"/>
    </w:pPr>
    <w:rPr>
      <w:rFonts w:ascii="Calibri" w:hAnsi="Calibri"/>
      <w:kern w:val="2"/>
      <w:sz w:val="21"/>
    </w:rPr>
  </w:style>
  <w:style w:type="paragraph" w:styleId="ListNumber">
    <w:name w:val="List Number"/>
    <w:basedOn w:val="Normal"/>
    <w:pPr>
      <w:widowControl w:val="0"/>
      <w:tabs>
        <w:tab w:val="left" w:pos="360"/>
      </w:tabs>
      <w:ind w:left="360" w:hanging="360" w:hangingChars="200"/>
    </w:pPr>
    <w:rPr>
      <w:rFonts w:ascii="Arial" w:hAnsi="Arial"/>
      <w:kern w:val="2"/>
      <w:sz w:val="21"/>
      <w:szCs w:val="24"/>
    </w:rPr>
  </w:style>
  <w:style w:type="paragraph" w:styleId="Caption">
    <w:name w:val="caption"/>
    <w:basedOn w:val="Normal"/>
    <w:next w:val="Normal"/>
    <w:link w:val="Char20"/>
    <w:qFormat/>
    <w:pPr>
      <w:jc w:val="center"/>
    </w:pPr>
    <w:rPr>
      <w:rFonts w:cs="Arial"/>
      <w:b/>
      <w:sz w:val="21"/>
      <w:szCs w:val="20"/>
    </w:rPr>
  </w:style>
  <w:style w:type="character" w:customStyle="1" w:styleId="Char20">
    <w:name w:val="题注 Char"/>
    <w:aliases w:val=" Char Char Char Char Char Char,Char2 Char,题注 Char Char Char Char Char,题注 Char Char Char Char Char Char Char Char,题注 Char Char Char Char Char Char Char Char Char Char Char,题注 Char Char Char Char Char Char Char1,题注 Char2 Char,默认段落字体1 Char1"/>
    <w:basedOn w:val="DefaultParagraphFont"/>
    <w:link w:val="Caption"/>
    <w:rPr>
      <w:rFonts w:ascii="Times New Roman" w:eastAsia="宋体" w:hAnsi="Times New Roman" w:cs="Arial"/>
      <w:b/>
      <w:sz w:val="21"/>
    </w:rPr>
  </w:style>
  <w:style w:type="paragraph" w:styleId="DocumentMap">
    <w:name w:val="Document Map"/>
    <w:basedOn w:val="Normal"/>
    <w:link w:val="Char21"/>
    <w:uiPriority w:val="99"/>
    <w:unhideWhenUsed/>
    <w:rPr>
      <w:rFonts w:ascii="宋体"/>
      <w:sz w:val="18"/>
      <w:szCs w:val="18"/>
    </w:rPr>
  </w:style>
  <w:style w:type="character" w:customStyle="1" w:styleId="Char21">
    <w:name w:val="文档结构图 Char"/>
    <w:basedOn w:val="DefaultParagraphFont"/>
    <w:link w:val="DocumentMap"/>
    <w:uiPriority w:val="99"/>
    <w:semiHidden/>
    <w:rPr>
      <w:rFonts w:ascii="宋体" w:eastAsia="宋体" w:hAnsi="Arial"/>
      <w:sz w:val="18"/>
      <w:szCs w:val="18"/>
    </w:rPr>
  </w:style>
  <w:style w:type="paragraph" w:styleId="CommentText">
    <w:name w:val="annotation text"/>
    <w:basedOn w:val="Normal"/>
    <w:link w:val="Char22"/>
    <w:unhideWhenUsed/>
    <w:pPr>
      <w:spacing w:line="240" w:lineRule="exact"/>
      <w:jc w:val="left"/>
    </w:pPr>
  </w:style>
  <w:style w:type="character" w:customStyle="1" w:styleId="Char22">
    <w:name w:val="批注文字 Char"/>
    <w:basedOn w:val="DefaultParagraphFont"/>
    <w:link w:val="CommentText"/>
    <w:rPr>
      <w:rFonts w:ascii="Times New Roman" w:eastAsia="宋体" w:hAnsi="Times New Roman"/>
      <w:sz w:val="24"/>
      <w:szCs w:val="22"/>
    </w:rPr>
  </w:style>
  <w:style w:type="paragraph" w:styleId="BodyText3">
    <w:name w:val="Body Text 3"/>
    <w:basedOn w:val="Normal"/>
    <w:link w:val="3Char0"/>
    <w:uiPriority w:val="99"/>
    <w:unhideWhenUsed/>
    <w:pPr>
      <w:spacing w:after="120"/>
    </w:pPr>
    <w:rPr>
      <w:sz w:val="16"/>
      <w:szCs w:val="16"/>
    </w:rPr>
  </w:style>
  <w:style w:type="character" w:customStyle="1" w:styleId="3Char0">
    <w:name w:val="正文文本 3 Char"/>
    <w:basedOn w:val="DefaultParagraphFont"/>
    <w:link w:val="BodyText3"/>
    <w:uiPriority w:val="99"/>
    <w:semiHidden/>
    <w:rPr>
      <w:rFonts w:ascii="Arial" w:eastAsia="宋体" w:hAnsi="Arial"/>
      <w:sz w:val="16"/>
      <w:szCs w:val="16"/>
    </w:rPr>
  </w:style>
  <w:style w:type="paragraph" w:styleId="BodyText">
    <w:name w:val="Body Text"/>
    <w:basedOn w:val="Normal"/>
    <w:link w:val="Char23"/>
    <w:uiPriority w:val="99"/>
    <w:unhideWhenUsed/>
    <w:pPr>
      <w:spacing w:after="120"/>
    </w:pPr>
  </w:style>
  <w:style w:type="character" w:customStyle="1" w:styleId="Char23">
    <w:name w:val="正文文本 Char"/>
    <w:basedOn w:val="DefaultParagraphFont"/>
    <w:link w:val="BodyText"/>
    <w:uiPriority w:val="99"/>
    <w:semiHidden/>
    <w:rPr>
      <w:rFonts w:ascii="Arial" w:eastAsia="宋体" w:hAnsi="Arial"/>
      <w:sz w:val="24"/>
      <w:szCs w:val="22"/>
    </w:rPr>
  </w:style>
  <w:style w:type="paragraph" w:styleId="BodyTextIndent">
    <w:name w:val="Body Text Indent"/>
    <w:basedOn w:val="Normal"/>
    <w:link w:val="Char24"/>
    <w:uiPriority w:val="99"/>
    <w:unhideWhenUsed/>
    <w:pPr>
      <w:spacing w:after="120"/>
      <w:ind w:left="420" w:leftChars="200"/>
    </w:pPr>
  </w:style>
  <w:style w:type="character" w:customStyle="1" w:styleId="Char24">
    <w:name w:val="正文文本缩进 Char"/>
    <w:basedOn w:val="DefaultParagraphFont"/>
    <w:link w:val="BodyTextIndent"/>
    <w:uiPriority w:val="99"/>
    <w:rPr>
      <w:rFonts w:ascii="Arial" w:eastAsia="宋体" w:hAnsi="Arial"/>
      <w:sz w:val="24"/>
      <w:szCs w:val="22"/>
    </w:rPr>
  </w:style>
  <w:style w:type="paragraph" w:styleId="TOC5">
    <w:name w:val="toc 5"/>
    <w:basedOn w:val="Normal"/>
    <w:next w:val="Normal"/>
    <w:uiPriority w:val="39"/>
    <w:unhideWhenUsed/>
    <w:pPr>
      <w:widowControl w:val="0"/>
      <w:ind w:left="1680" w:leftChars="800"/>
    </w:pPr>
    <w:rPr>
      <w:rFonts w:ascii="Calibri" w:hAnsi="Calibri"/>
      <w:kern w:val="2"/>
      <w:sz w:val="21"/>
    </w:rPr>
  </w:style>
  <w:style w:type="paragraph" w:styleId="TOC3">
    <w:name w:val="toc 3"/>
    <w:basedOn w:val="Normal"/>
    <w:next w:val="Normal"/>
    <w:uiPriority w:val="39"/>
    <w:unhideWhenUsed/>
    <w:pPr>
      <w:ind w:left="840" w:leftChars="400"/>
    </w:pPr>
  </w:style>
  <w:style w:type="paragraph" w:styleId="PlainText">
    <w:name w:val="Plain Text"/>
    <w:basedOn w:val="Normal"/>
    <w:link w:val="Char110"/>
    <w:pPr>
      <w:widowControl w:val="0"/>
      <w:spacing w:line="360" w:lineRule="auto"/>
    </w:pPr>
    <w:rPr>
      <w:rFonts w:ascii="宋体" w:hAnsi="Courier New"/>
      <w:kern w:val="2"/>
      <w:sz w:val="21"/>
      <w:szCs w:val="20"/>
    </w:rPr>
  </w:style>
  <w:style w:type="character" w:customStyle="1" w:styleId="Char110">
    <w:name w:val="纯文本 Char1"/>
    <w:aliases w:val=" Char1 Char,Char Char,Char Char Char Char,Char1 Char,普通文字 Char,普通文字 Char Char Char Char Char,普通文字 Char Char Char Char Char Char Char Char Char Char,普通文字 Char Char Char Char1,普通文字 Char Char Char1,普通文字1 Char,普通文字1 Char Char Char,纯文本1 Char"/>
    <w:basedOn w:val="DefaultParagraphFont"/>
    <w:link w:val="PlainText"/>
    <w:rPr>
      <w:rFonts w:ascii="宋体" w:eastAsia="宋体" w:hAnsi="Courier New"/>
      <w:kern w:val="2"/>
      <w:sz w:val="21"/>
    </w:rPr>
  </w:style>
  <w:style w:type="paragraph" w:styleId="TOC8">
    <w:name w:val="toc 8"/>
    <w:basedOn w:val="Normal"/>
    <w:next w:val="Normal"/>
    <w:uiPriority w:val="39"/>
    <w:unhideWhenUsed/>
    <w:pPr>
      <w:widowControl w:val="0"/>
      <w:ind w:left="2940" w:leftChars="1400"/>
    </w:pPr>
    <w:rPr>
      <w:rFonts w:ascii="Calibri" w:hAnsi="Calibri"/>
      <w:kern w:val="2"/>
      <w:sz w:val="21"/>
    </w:rPr>
  </w:style>
  <w:style w:type="paragraph" w:styleId="Date">
    <w:name w:val="Date"/>
    <w:basedOn w:val="Normal"/>
    <w:next w:val="Normal"/>
    <w:link w:val="Char26"/>
    <w:pPr>
      <w:widowControl w:val="0"/>
    </w:pPr>
    <w:rPr>
      <w:kern w:val="2"/>
      <w:szCs w:val="24"/>
    </w:rPr>
  </w:style>
  <w:style w:type="character" w:customStyle="1" w:styleId="Char26">
    <w:name w:val="日期 Char"/>
    <w:basedOn w:val="DefaultParagraphFont"/>
    <w:link w:val="Date"/>
    <w:rPr>
      <w:rFonts w:ascii="Times New Roman" w:eastAsia="宋体" w:hAnsi="Times New Roman"/>
      <w:kern w:val="2"/>
      <w:sz w:val="24"/>
      <w:szCs w:val="24"/>
    </w:rPr>
  </w:style>
  <w:style w:type="paragraph" w:styleId="BodyTextIndent2">
    <w:name w:val="Body Text Indent 2"/>
    <w:basedOn w:val="Normal"/>
    <w:link w:val="2Char4"/>
    <w:uiPriority w:val="99"/>
    <w:unhideWhenUsed/>
    <w:pPr>
      <w:spacing w:after="120" w:line="480" w:lineRule="auto"/>
      <w:ind w:left="420" w:leftChars="200"/>
    </w:pPr>
  </w:style>
  <w:style w:type="character" w:customStyle="1" w:styleId="2Char4">
    <w:name w:val="正文文本缩进 2 Char"/>
    <w:basedOn w:val="DefaultParagraphFont"/>
    <w:link w:val="BodyTextIndent2"/>
    <w:uiPriority w:val="99"/>
    <w:semiHidden/>
    <w:rPr>
      <w:rFonts w:ascii="Arial" w:eastAsia="宋体" w:hAnsi="Arial"/>
      <w:sz w:val="24"/>
      <w:szCs w:val="22"/>
    </w:rPr>
  </w:style>
  <w:style w:type="paragraph" w:styleId="BalloonText">
    <w:name w:val="Balloon Text"/>
    <w:basedOn w:val="Normal"/>
    <w:link w:val="Char27"/>
    <w:uiPriority w:val="99"/>
    <w:unhideWhenUsed/>
    <w:rPr>
      <w:sz w:val="18"/>
      <w:szCs w:val="18"/>
    </w:rPr>
  </w:style>
  <w:style w:type="character" w:customStyle="1" w:styleId="Char27">
    <w:name w:val="批注框文本 Char"/>
    <w:basedOn w:val="DefaultParagraphFont"/>
    <w:link w:val="BalloonText"/>
    <w:uiPriority w:val="99"/>
    <w:semiHidden/>
    <w:rPr>
      <w:rFonts w:ascii="Arial" w:eastAsia="宋体" w:hAnsi="Arial"/>
      <w:sz w:val="18"/>
      <w:szCs w:val="18"/>
    </w:rPr>
  </w:style>
  <w:style w:type="paragraph" w:styleId="Footer">
    <w:name w:val="footer"/>
    <w:basedOn w:val="Normal"/>
    <w:link w:val="Char28"/>
    <w:uiPriority w:val="99"/>
    <w:unhideWhenUsed/>
    <w:pPr>
      <w:tabs>
        <w:tab w:val="center" w:pos="4153"/>
        <w:tab w:val="right" w:pos="8306"/>
      </w:tabs>
    </w:pPr>
    <w:rPr>
      <w:sz w:val="18"/>
      <w:szCs w:val="18"/>
    </w:rPr>
  </w:style>
  <w:style w:type="character" w:customStyle="1" w:styleId="Char28">
    <w:name w:val="页脚 Char"/>
    <w:basedOn w:val="DefaultParagraphFont"/>
    <w:link w:val="Footer"/>
    <w:uiPriority w:val="99"/>
    <w:rPr>
      <w:rFonts w:ascii="Times New Roman" w:eastAsia="宋体" w:hAnsi="Times New Roman"/>
      <w:sz w:val="18"/>
      <w:szCs w:val="18"/>
    </w:rPr>
  </w:style>
  <w:style w:type="paragraph" w:styleId="Header">
    <w:name w:val="header"/>
    <w:basedOn w:val="Normal"/>
    <w:link w:val="Char29"/>
    <w:unhideWhenUsed/>
    <w:pPr>
      <w:pBdr>
        <w:bottom w:val="single" w:sz="6" w:space="1" w:color="auto"/>
      </w:pBdr>
      <w:tabs>
        <w:tab w:val="left" w:pos="0"/>
        <w:tab w:val="center" w:pos="4153"/>
        <w:tab w:val="right" w:pos="8505"/>
      </w:tabs>
    </w:pPr>
    <w:rPr>
      <w:rFonts w:ascii="宋体" w:hAnsi="宋体"/>
      <w:sz w:val="15"/>
      <w:szCs w:val="18"/>
    </w:rPr>
  </w:style>
  <w:style w:type="character" w:customStyle="1" w:styleId="Char29">
    <w:name w:val="页眉 Char"/>
    <w:aliases w:val="无页眉 Char,无页眉1 Char,无页眉2 Char,页眉1 Char,页眉11 Char,页眉12 Char,页眉2 Char,页眉21 Char,页眉22 Char"/>
    <w:basedOn w:val="DefaultParagraphFont"/>
    <w:link w:val="Header"/>
    <w:rPr>
      <w:rFonts w:ascii="宋体" w:eastAsia="宋体" w:hAnsi="宋体"/>
      <w:sz w:val="15"/>
      <w:szCs w:val="18"/>
    </w:rPr>
  </w:style>
  <w:style w:type="paragraph" w:styleId="TOC1">
    <w:name w:val="toc 1"/>
    <w:basedOn w:val="Normal"/>
    <w:next w:val="Normal"/>
    <w:uiPriority w:val="39"/>
    <w:unhideWhenUsed/>
    <w:pPr>
      <w:tabs>
        <w:tab w:val="right" w:leader="dot" w:pos="8495"/>
      </w:tabs>
    </w:pPr>
    <w:rPr>
      <w:rFonts w:cs="Arial"/>
      <w:b/>
    </w:rPr>
  </w:style>
  <w:style w:type="paragraph" w:styleId="TOC4">
    <w:name w:val="toc 4"/>
    <w:basedOn w:val="Normal"/>
    <w:next w:val="Normal"/>
    <w:uiPriority w:val="39"/>
    <w:unhideWhenUsed/>
    <w:pPr>
      <w:ind w:left="1260" w:leftChars="600"/>
    </w:pPr>
  </w:style>
  <w:style w:type="paragraph" w:styleId="TOC6">
    <w:name w:val="toc 6"/>
    <w:basedOn w:val="Normal"/>
    <w:next w:val="Normal"/>
    <w:uiPriority w:val="39"/>
    <w:unhideWhenUsed/>
    <w:pPr>
      <w:widowControl w:val="0"/>
      <w:ind w:left="2100" w:leftChars="1000"/>
    </w:pPr>
    <w:rPr>
      <w:rFonts w:ascii="Calibri" w:hAnsi="Calibri"/>
      <w:kern w:val="2"/>
      <w:sz w:val="21"/>
    </w:rPr>
  </w:style>
  <w:style w:type="paragraph" w:styleId="BodyTextIndent3">
    <w:name w:val="Body Text Indent 3"/>
    <w:basedOn w:val="Normal"/>
    <w:link w:val="3Char2"/>
    <w:uiPriority w:val="99"/>
    <w:unhideWhenUsed/>
    <w:pPr>
      <w:spacing w:after="120"/>
      <w:ind w:left="420" w:leftChars="200"/>
    </w:pPr>
    <w:rPr>
      <w:sz w:val="16"/>
      <w:szCs w:val="16"/>
    </w:rPr>
  </w:style>
  <w:style w:type="character" w:customStyle="1" w:styleId="3Char2">
    <w:name w:val="正文文本缩进 3 Char"/>
    <w:basedOn w:val="DefaultParagraphFont"/>
    <w:link w:val="BodyTextIndent3"/>
    <w:uiPriority w:val="99"/>
    <w:semiHidden/>
    <w:rPr>
      <w:rFonts w:ascii="Times New Roman" w:eastAsia="宋体" w:hAnsi="Times New Roman"/>
      <w:sz w:val="16"/>
      <w:szCs w:val="16"/>
    </w:rPr>
  </w:style>
  <w:style w:type="paragraph" w:styleId="TOC2">
    <w:name w:val="toc 2"/>
    <w:basedOn w:val="Normal"/>
    <w:next w:val="Normal"/>
    <w:uiPriority w:val="39"/>
    <w:unhideWhenUsed/>
    <w:pPr>
      <w:tabs>
        <w:tab w:val="left" w:pos="993"/>
        <w:tab w:val="left" w:pos="1276"/>
        <w:tab w:val="right" w:leader="dot" w:pos="8495"/>
      </w:tabs>
      <w:spacing w:line="360" w:lineRule="exact"/>
      <w:ind w:left="336" w:leftChars="150"/>
      <w:jc w:val="center"/>
    </w:pPr>
    <w:rPr>
      <w:sz w:val="21"/>
    </w:rPr>
  </w:style>
  <w:style w:type="paragraph" w:styleId="TOC9">
    <w:name w:val="toc 9"/>
    <w:basedOn w:val="Normal"/>
    <w:next w:val="Normal"/>
    <w:uiPriority w:val="39"/>
    <w:unhideWhenUsed/>
    <w:pPr>
      <w:widowControl w:val="0"/>
      <w:ind w:left="3360" w:leftChars="1600"/>
    </w:pPr>
    <w:rPr>
      <w:rFonts w:ascii="Calibri" w:hAnsi="Calibri"/>
      <w:kern w:val="2"/>
      <w:sz w:val="21"/>
    </w:rPr>
  </w:style>
  <w:style w:type="paragraph" w:styleId="BodyText2">
    <w:name w:val="Body Text 2"/>
    <w:basedOn w:val="Normal"/>
    <w:link w:val="2Char7"/>
    <w:unhideWhenUsed/>
    <w:pPr>
      <w:spacing w:after="120" w:line="480" w:lineRule="auto"/>
    </w:pPr>
  </w:style>
  <w:style w:type="character" w:customStyle="1" w:styleId="2Char7">
    <w:name w:val="正文文本 2 Char"/>
    <w:basedOn w:val="DefaultParagraphFont"/>
    <w:link w:val="BodyText2"/>
    <w:semiHidden/>
    <w:rPr>
      <w:rFonts w:ascii="Times New Roman" w:eastAsia="宋体" w:hAnsi="Times New Roman"/>
      <w:sz w:val="24"/>
      <w:szCs w:val="22"/>
    </w:rPr>
  </w:style>
  <w:style w:type="paragraph" w:styleId="NormalWeb">
    <w:name w:val="Normal (Web)"/>
    <w:basedOn w:val="Normal"/>
    <w:uiPriority w:val="99"/>
    <w:unhideWhenUsed/>
    <w:pPr>
      <w:spacing w:before="100" w:beforeAutospacing="1" w:after="100" w:afterAutospacing="1"/>
      <w:jc w:val="left"/>
    </w:pPr>
    <w:rPr>
      <w:rFonts w:ascii="宋体" w:hAnsi="宋体" w:cs="宋体"/>
      <w:szCs w:val="24"/>
    </w:rPr>
  </w:style>
  <w:style w:type="paragraph" w:styleId="Index1">
    <w:name w:val="index 1"/>
    <w:basedOn w:val="Normal"/>
    <w:next w:val="Normal"/>
    <w:semiHidden/>
    <w:pPr>
      <w:widowControl w:val="0"/>
      <w:adjustRightInd w:val="0"/>
      <w:snapToGrid w:val="0"/>
      <w:jc w:val="center"/>
    </w:pPr>
    <w:rPr>
      <w:kern w:val="2"/>
      <w:sz w:val="21"/>
      <w:szCs w:val="21"/>
    </w:rPr>
  </w:style>
  <w:style w:type="paragraph" w:styleId="Title">
    <w:name w:val="Title"/>
    <w:basedOn w:val="Normal"/>
    <w:next w:val="Normal"/>
    <w:link w:val="Char31"/>
    <w:qFormat/>
    <w:pPr>
      <w:spacing w:before="240" w:after="60"/>
      <w:jc w:val="center"/>
      <w:outlineLvl w:val="0"/>
    </w:pPr>
    <w:rPr>
      <w:rFonts w:ascii="Cambria" w:hAnsi="Cambria"/>
      <w:b/>
      <w:bCs/>
      <w:sz w:val="32"/>
      <w:szCs w:val="32"/>
    </w:rPr>
  </w:style>
  <w:style w:type="character" w:customStyle="1" w:styleId="Char31">
    <w:name w:val="标题 Char"/>
    <w:basedOn w:val="DefaultParagraphFont"/>
    <w:link w:val="Title"/>
    <w:rPr>
      <w:rFonts w:ascii="Cambria" w:eastAsia="宋体" w:hAnsi="Cambria" w:cs="Times New Roman"/>
      <w:b/>
      <w:bCs/>
      <w:sz w:val="32"/>
      <w:szCs w:val="32"/>
    </w:rPr>
  </w:style>
  <w:style w:type="paragraph" w:styleId="CommentSubject">
    <w:name w:val="annotation subject"/>
    <w:basedOn w:val="CommentText"/>
    <w:next w:val="CommentText"/>
    <w:link w:val="Char32"/>
    <w:uiPriority w:val="99"/>
    <w:unhideWhenUsed/>
    <w:rPr>
      <w:b/>
      <w:bCs/>
    </w:rPr>
  </w:style>
  <w:style w:type="character" w:customStyle="1" w:styleId="Char32">
    <w:name w:val="批注主题 Char"/>
    <w:basedOn w:val="Char22"/>
    <w:link w:val="CommentSubject"/>
    <w:uiPriority w:val="99"/>
    <w:semiHidden/>
    <w:rPr>
      <w:b/>
      <w:bCs/>
    </w:rPr>
  </w:style>
  <w:style w:type="paragraph" w:styleId="BodyTextFirstIndent">
    <w:name w:val="Body Text First Indent"/>
    <w:basedOn w:val="Normal"/>
    <w:link w:val="Char33"/>
    <w:unhideWhenUsed/>
    <w:pPr>
      <w:ind w:firstLine="420" w:firstLineChars="100"/>
    </w:pPr>
  </w:style>
  <w:style w:type="character" w:customStyle="1" w:styleId="Char33">
    <w:name w:val="正文首行缩进 Char"/>
    <w:basedOn w:val="DefaultParagraphFont"/>
    <w:link w:val="BodyTextFirstIndent"/>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Pr>
      <w:b/>
      <w:bCs/>
      <w:sz w:val="24"/>
    </w:rPr>
  </w:style>
  <w:style w:type="character" w:styleId="PageNumber">
    <w:name w:val="page number"/>
    <w:basedOn w:val="DefaultParagraphFont"/>
  </w:style>
  <w:style w:type="character" w:styleId="FollowedHyperlink">
    <w:name w:val="FollowedHyperlink"/>
    <w:basedOn w:val="DefaultParagraphFont"/>
    <w:uiPriority w:val="99"/>
    <w:unhideWhenUsed/>
    <w:rPr>
      <w:color w:val="800080"/>
      <w:u w:val="single"/>
    </w:rPr>
  </w:style>
  <w:style w:type="character" w:styleId="Emphasis">
    <w:name w:val="Emphasis"/>
    <w:basedOn w:val="DefaultParagraphFont"/>
    <w:qFormat/>
    <w:rPr>
      <w:i/>
      <w:iCs/>
    </w:rPr>
  </w:style>
  <w:style w:type="character" w:styleId="Hyperlink">
    <w:name w:val="Hyperlink"/>
    <w:basedOn w:val="DefaultParagraphFont"/>
    <w:uiPriority w:val="99"/>
    <w:unhideWhenUsed/>
    <w:rPr>
      <w:color w:val="0000FF"/>
      <w:u w:val="single"/>
    </w:rPr>
  </w:style>
  <w:style w:type="character" w:styleId="CommentReference">
    <w:name w:val="annotation reference"/>
    <w:basedOn w:val="DefaultParagraphFont"/>
    <w:uiPriority w:val="99"/>
    <w:unhideWhenUsed/>
    <w:rPr>
      <w:sz w:val="21"/>
      <w:szCs w:val="21"/>
    </w:rPr>
  </w:style>
  <w:style w:type="paragraph" w:styleId="Quote">
    <w:name w:val="Quote"/>
    <w:basedOn w:val="Normal"/>
    <w:next w:val="Normal"/>
    <w:link w:val="Char34"/>
    <w:uiPriority w:val="29"/>
    <w:qFormat/>
    <w:rPr>
      <w:i/>
      <w:iCs/>
      <w:color w:val="000000"/>
    </w:rPr>
  </w:style>
  <w:style w:type="character" w:customStyle="1" w:styleId="Char34">
    <w:name w:val="引用 Char"/>
    <w:basedOn w:val="DefaultParagraphFont"/>
    <w:link w:val="Quote"/>
    <w:uiPriority w:val="29"/>
    <w:rPr>
      <w:rFonts w:ascii="Arial" w:eastAsia="宋体" w:hAnsi="Arial"/>
      <w:i/>
      <w:iCs/>
      <w:color w:val="000000"/>
      <w:sz w:val="24"/>
      <w:szCs w:val="22"/>
    </w:rPr>
  </w:style>
  <w:style w:type="character" w:styleId="IntenseEmphasis">
    <w:name w:val="Intense Emphasis"/>
    <w:basedOn w:val="DefaultParagraphFont"/>
    <w:uiPriority w:val="21"/>
    <w:qFormat/>
    <w:rPr>
      <w:b/>
      <w:bCs/>
      <w:i/>
      <w:iCs/>
      <w:color w:val="4F81BD"/>
    </w:rPr>
  </w:style>
  <w:style w:type="character" w:styleId="SubtleEmphasis">
    <w:name w:val="Subtle Emphasis"/>
    <w:basedOn w:val="DefaultParagraphFont"/>
    <w:uiPriority w:val="19"/>
    <w:qFormat/>
    <w:rPr>
      <w:i/>
      <w:iCs/>
      <w:color w:val="808080"/>
    </w:rPr>
  </w:style>
  <w:style w:type="paragraph" w:styleId="ListParagraph">
    <w:name w:val="List Paragraph"/>
    <w:basedOn w:val="Normal"/>
    <w:uiPriority w:val="34"/>
    <w:qFormat/>
    <w:pPr>
      <w:ind w:firstLine="420" w:firstLineChars="200"/>
    </w:pPr>
  </w:style>
  <w:style w:type="paragraph" w:customStyle="1" w:styleId="a">
    <w:name w:val="表格居中"/>
    <w:next w:val="Normal"/>
    <w:link w:val="Char35"/>
    <w:qFormat/>
    <w:pPr>
      <w:spacing w:line="0" w:lineRule="atLeast"/>
      <w:jc w:val="center"/>
    </w:pPr>
    <w:rPr>
      <w:rFonts w:ascii="Times New Roman" w:eastAsia="宋体" w:hAnsi="Times New Roman"/>
      <w:kern w:val="2"/>
      <w:sz w:val="21"/>
      <w:szCs w:val="24"/>
      <w:lang w:val="en-US" w:eastAsia="zh-CN" w:bidi="ar-SA"/>
    </w:rPr>
  </w:style>
  <w:style w:type="character" w:customStyle="1" w:styleId="Char35">
    <w:name w:val="表格居中 Char"/>
    <w:basedOn w:val="DefaultParagraphFont"/>
    <w:link w:val="a"/>
    <w:rPr>
      <w:rFonts w:ascii="Times New Roman" w:eastAsia="宋体" w:hAnsi="Times New Roman"/>
      <w:kern w:val="2"/>
      <w:sz w:val="21"/>
      <w:szCs w:val="24"/>
      <w:lang w:val="en-US" w:eastAsia="zh-CN" w:bidi="ar-SA"/>
    </w:rPr>
  </w:style>
  <w:style w:type="paragraph" w:customStyle="1" w:styleId="a0">
    <w:name w:val="表格内段落"/>
    <w:basedOn w:val="a"/>
    <w:qFormat/>
    <w:pPr>
      <w:ind w:firstLine="200" w:firstLineChars="200"/>
      <w:jc w:val="left"/>
    </w:pPr>
  </w:style>
  <w:style w:type="paragraph" w:customStyle="1" w:styleId="1">
    <w:name w:val="表格正文编号（1）"/>
    <w:basedOn w:val="10"/>
    <w:link w:val="1Char14"/>
    <w:qFormat/>
    <w:pPr>
      <w:numPr>
        <w:ilvl w:val="0"/>
        <w:numId w:val="6"/>
      </w:numPr>
      <w:tabs>
        <w:tab w:val="left" w:pos="564"/>
        <w:tab w:val="clear" w:pos="896"/>
      </w:tabs>
    </w:pPr>
    <w:rPr>
      <w:sz w:val="21"/>
    </w:rPr>
  </w:style>
  <w:style w:type="paragraph" w:customStyle="1" w:styleId="10">
    <w:name w:val="正文编号(1)"/>
    <w:basedOn w:val="Normal"/>
    <w:next w:val="NormalIndent"/>
    <w:link w:val="1Char13"/>
    <w:qFormat/>
    <w:pPr>
      <w:numPr>
        <w:ilvl w:val="0"/>
        <w:numId w:val="5"/>
      </w:numPr>
      <w:tabs>
        <w:tab w:val="left" w:pos="896"/>
      </w:tabs>
    </w:pPr>
  </w:style>
  <w:style w:type="character" w:customStyle="1" w:styleId="1Char13">
    <w:name w:val="正文编号(1) Char"/>
    <w:basedOn w:val="DefaultParagraphFont"/>
    <w:link w:val="10"/>
    <w:rPr>
      <w:rFonts w:ascii="Times New Roman" w:eastAsia="宋体" w:hAnsi="Times New Roman"/>
      <w:sz w:val="24"/>
      <w:szCs w:val="22"/>
    </w:rPr>
  </w:style>
  <w:style w:type="character" w:customStyle="1" w:styleId="1Char14">
    <w:name w:val="表格正文编号（1） Char"/>
    <w:basedOn w:val="1Char13"/>
    <w:link w:val="1"/>
    <w:rPr>
      <w:sz w:val="21"/>
    </w:rPr>
  </w:style>
  <w:style w:type="paragraph" w:customStyle="1" w:styleId="28">
    <w:name w:val="样式28"/>
    <w:basedOn w:val="NormalIndent"/>
    <w:qFormat/>
    <w:pPr>
      <w:widowControl w:val="0"/>
      <w:spacing w:line="264" w:lineRule="auto"/>
      <w:ind w:firstLine="476" w:firstLineChars="0"/>
    </w:pPr>
    <w:rPr>
      <w:spacing w:val="10"/>
      <w:kern w:val="2"/>
      <w:szCs w:val="20"/>
    </w:rPr>
  </w:style>
  <w:style w:type="paragraph" w:customStyle="1" w:styleId="xl26">
    <w:name w:val="xl26"/>
    <w:basedOn w:val="Normal"/>
    <w:pPr>
      <w:pBdr>
        <w:left w:val="single" w:sz="4" w:space="0" w:color="auto"/>
        <w:bottom w:val="single" w:sz="4" w:space="0" w:color="auto"/>
        <w:right w:val="single" w:sz="4" w:space="0" w:color="auto"/>
      </w:pBdr>
      <w:spacing w:before="100" w:beforeAutospacing="1" w:after="100" w:afterAutospacing="1"/>
      <w:jc w:val="center"/>
    </w:pPr>
    <w:rPr>
      <w:rFonts w:ascii="宋体" w:hAnsi="宋体"/>
      <w:sz w:val="21"/>
      <w:szCs w:val="20"/>
    </w:rPr>
  </w:style>
  <w:style w:type="paragraph" w:customStyle="1" w:styleId="a1">
    <w:name w:val="样式 题注 + (中文) 宋体 小四 加粗"/>
    <w:basedOn w:val="Caption"/>
    <w:link w:val="Char36"/>
    <w:pPr>
      <w:keepNext/>
      <w:widowControl w:val="0"/>
      <w:spacing w:before="160" w:line="0" w:lineRule="atLeast"/>
    </w:pPr>
    <w:rPr>
      <w:bCs/>
      <w:sz w:val="24"/>
    </w:rPr>
  </w:style>
  <w:style w:type="character" w:customStyle="1" w:styleId="Char36">
    <w:name w:val="样式 题注 + (中文) 宋体 小四 加粗 Char"/>
    <w:basedOn w:val="Char20"/>
    <w:link w:val="a1"/>
    <w:rPr>
      <w:bCs/>
      <w:sz w:val="24"/>
    </w:rPr>
  </w:style>
  <w:style w:type="paragraph" w:customStyle="1" w:styleId="a2">
    <w:name w:val="居中正文"/>
    <w:basedOn w:val="Normal"/>
    <w:next w:val="Title"/>
  </w:style>
  <w:style w:type="paragraph" w:styleId="Revision">
    <w:name w:val="Revision"/>
    <w:uiPriority w:val="99"/>
    <w:semiHidden/>
    <w:rPr>
      <w:rFonts w:ascii="Arial" w:eastAsia="宋体" w:hAnsi="Arial"/>
      <w:sz w:val="24"/>
      <w:szCs w:val="22"/>
      <w:lang w:val="en-US" w:eastAsia="zh-CN" w:bidi="ar-SA"/>
    </w:rPr>
  </w:style>
  <w:style w:type="paragraph" w:customStyle="1" w:styleId="a3">
    <w:name w:val="表格正文正文"/>
    <w:basedOn w:val="Normal"/>
    <w:qFormat/>
    <w:pPr>
      <w:widowControl w:val="0"/>
      <w:spacing w:line="0" w:lineRule="atLeast"/>
      <w:jc w:val="center"/>
    </w:pPr>
    <w:rPr>
      <w:rFonts w:cs="Arial"/>
      <w:kern w:val="2"/>
      <w:sz w:val="21"/>
      <w:szCs w:val="20"/>
    </w:rPr>
  </w:style>
  <w:style w:type="paragraph" w:customStyle="1" w:styleId="085">
    <w:name w:val="样式 首行缩进:  0.85 厘米"/>
    <w:basedOn w:val="Normal"/>
    <w:pPr>
      <w:widowControl w:val="0"/>
      <w:ind w:firstLine="480"/>
    </w:pPr>
    <w:rPr>
      <w:rFonts w:cs="宋体"/>
      <w:kern w:val="2"/>
      <w:szCs w:val="20"/>
    </w:rPr>
  </w:style>
  <w:style w:type="table" w:customStyle="1" w:styleId="11">
    <w:name w:val="普通环评表格1"/>
    <w:basedOn w:val="TableGrid"/>
    <w:pPr>
      <w:widowControl w:val="0"/>
      <w:snapToGrid w:val="0"/>
      <w:spacing w:line="0" w:lineRule="atLeast"/>
      <w:jc w:val="both"/>
    </w:pPr>
    <w:rPr>
      <w:rFonts w:ascii="Arial" w:eastAsia="宋体" w:hAnsi="Arial"/>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12">
    <w:name w:val="浅色列表1"/>
    <w:basedOn w:val="TableNormal"/>
    <w:uiPriority w:val="61"/>
    <w:tblPr>
      <w:tblStyleRowBandSize w:val="1"/>
      <w:tblStyleColBandSize w:val="1"/>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
    <w:tblStylePr w:type="firstRow">
      <w:pPr>
        <w:spacing w:before="0" w:after="0" w:line="240" w:lineRule="auto"/>
      </w:pPr>
      <w:rPr>
        <w:b/>
        <w:bCs/>
        <w:color w:val="FFDECA"/>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tcPr>
    </w:tblStylePr>
    <w:tblStylePr w:type="band1Vert">
      <w:tblPr/>
      <w:tcPr>
        <w:tcBorders>
          <w:top w:val="single" w:sz="8"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tcPr>
    </w:tblStylePr>
    <w:tblStylePr w:type="band1Horz">
      <w:tblPr/>
      <w:tcPr>
        <w:tcBorders>
          <w:top w:val="single" w:sz="8"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style>
  <w:style w:type="table" w:customStyle="1" w:styleId="13">
    <w:name w:val="浅色网格1"/>
    <w:basedOn w:val="TableNormal"/>
    <w:uiPriority w:val="6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eastAsia="New York" w:cs="Courier New"/>
        <w:b/>
        <w:bCs/>
      </w:rPr>
      <w:tblPr/>
      <w:tcPr>
        <w:tcBorders>
          <w:top w:val="single" w:sz="8" w:space="0" w:color="000000"/>
          <w:left w:val="single" w:sz="8" w:space="0" w:color="000000"/>
          <w:bottom w:val="single" w:sz="18" w:space="0" w:color="000000"/>
          <w:right w:val="single" w:sz="8" w:space="0" w:color="000000"/>
          <w:insideH w:val="nil"/>
          <w:insideV w:val="single" w:sz="8" w:space="0" w:color="000000"/>
          <w:tl2br w:val="none" w:sz="0" w:space="0" w:color="auto"/>
          <w:tr2bl w:val="none" w:sz="0" w:space="0" w:color="auto"/>
        </w:tcBorders>
      </w:tcPr>
    </w:tblStylePr>
    <w:tblStylePr w:type="lastRow">
      <w:pPr>
        <w:spacing w:before="0" w:after="0" w:line="240" w:lineRule="auto"/>
      </w:pPr>
      <w:rPr>
        <w:rFonts w:eastAsia="New York" w:cs="Courier New"/>
        <w:b/>
        <w:bCs/>
      </w:rPr>
      <w:tblPr/>
      <w:tcPr>
        <w:tcBorders>
          <w:top w:val="double" w:sz="6" w:space="0" w:color="000000"/>
          <w:left w:val="single" w:sz="8" w:space="0" w:color="000000"/>
          <w:bottom w:val="single" w:sz="8" w:space="0" w:color="000000"/>
          <w:right w:val="single" w:sz="8" w:space="0" w:color="000000"/>
          <w:insideH w:val="nil"/>
          <w:insideV w:val="single" w:sz="8" w:space="0" w:color="000000"/>
          <w:tl2br w:val="none" w:sz="0" w:space="0" w:color="auto"/>
          <w:tr2bl w:val="none" w:sz="0" w:space="0" w:color="auto"/>
        </w:tcBorders>
      </w:tcPr>
    </w:tblStylePr>
    <w:tblStylePr w:type="lastCol">
      <w:rPr>
        <w:rFonts w:eastAsia="New York" w:cs="Courier New"/>
        <w:b/>
        <w:bCs/>
      </w:rPr>
      <w:tblPr/>
      <w:tcPr>
        <w:tcBorders>
          <w:top w:val="single" w:sz="8"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tcPr>
    </w:tblStylePr>
    <w:tblStylePr w:type="band1Vert">
      <w:tblPr/>
      <w:tcPr>
        <w:tcBorders>
          <w:top w:val="single" w:sz="8"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H w:val="none" w:sz="0" w:space="0" w:color="auto"/>
          <w:insideV w:val="single" w:sz="8" w:space="0" w:color="000000"/>
          <w:tl2br w:val="none" w:sz="0" w:space="0" w:color="auto"/>
          <w:tr2bl w:val="none" w:sz="0"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H w:val="none" w:sz="0" w:space="0" w:color="auto"/>
          <w:insideV w:val="single" w:sz="8" w:space="0" w:color="000000"/>
          <w:tl2br w:val="none" w:sz="0" w:space="0" w:color="auto"/>
          <w:tr2bl w:val="none" w:sz="0" w:space="0" w:color="auto"/>
        </w:tcBorders>
      </w:tcPr>
    </w:tblStylePr>
    <w:tblStylePr w:type="firstCol">
      <w:rPr>
        <w:rFonts w:eastAsia="New York" w:cs="Courier New"/>
        <w:b/>
        <w:bCs/>
      </w:rPr>
    </w:tblStylePr>
  </w:style>
  <w:style w:type="paragraph" w:customStyle="1" w:styleId="2">
    <w:name w:val="标头2"/>
    <w:basedOn w:val="Normal"/>
    <w:pPr>
      <w:widowControl w:val="0"/>
      <w:spacing w:line="360" w:lineRule="auto"/>
      <w:jc w:val="center"/>
    </w:pPr>
    <w:rPr>
      <w:rFonts w:eastAsia="黑体" w:cs="Arial"/>
      <w:kern w:val="2"/>
      <w:sz w:val="21"/>
      <w:szCs w:val="21"/>
    </w:rPr>
  </w:style>
  <w:style w:type="table" w:customStyle="1" w:styleId="14">
    <w:name w:val="普通表格环评表格1"/>
    <w:basedOn w:val="TableNormal"/>
    <w:pPr>
      <w:spacing w:line="0" w:lineRule="atLeast"/>
    </w:pPr>
    <w:rPr>
      <w:rFonts w:ascii="Arial Unicode MS" w:eastAsia="宋体" w:hAnsi="Arial Unicode MS"/>
      <w:sz w:val="21"/>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0">
    <w:name w:val="普通表格环评表格最小段落0"/>
    <w:basedOn w:val="TableNormal"/>
    <w:pPr>
      <w:jc w:val="center"/>
    </w:pPr>
    <w:rPr>
      <w:rFonts w:ascii="Arial Unicode MS" w:eastAsia="宋体" w:hAnsi="Arial Unicode MS"/>
      <w:sz w:val="21"/>
    </w:rPr>
    <w:tblPr>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57" w:type="dxa"/>
        <w:right w:w="57" w:type="dxa"/>
      </w:tblCellMar>
    </w:tblPr>
  </w:style>
  <w:style w:type="paragraph" w:customStyle="1" w:styleId="GB231212">
    <w:name w:val="样式 样式 (中文) 仿宋_GB2312 四号1 + 首行缩进:  2 字符"/>
    <w:basedOn w:val="Normal"/>
    <w:pPr>
      <w:widowControl w:val="0"/>
      <w:tabs>
        <w:tab w:val="left" w:pos="1800"/>
      </w:tabs>
      <w:spacing w:line="460" w:lineRule="exact"/>
      <w:ind w:firstLine="560" w:firstLineChars="200"/>
      <w:jc w:val="center"/>
    </w:pPr>
    <w:rPr>
      <w:rFonts w:eastAsia="仿宋_GB2312" w:cs="宋体"/>
      <w:kern w:val="2"/>
      <w:sz w:val="28"/>
      <w:szCs w:val="20"/>
    </w:rPr>
  </w:style>
  <w:style w:type="paragraph" w:customStyle="1" w:styleId="15">
    <w:name w:val="正文编号1."/>
    <w:basedOn w:val="NormalIndent"/>
    <w:next w:val="NormalIndent"/>
    <w:qFormat/>
    <w:pPr>
      <w:tabs>
        <w:tab w:val="left" w:pos="784"/>
      </w:tabs>
      <w:ind w:left="1074" w:hanging="420" w:firstLineChars="0"/>
    </w:pPr>
  </w:style>
  <w:style w:type="paragraph" w:customStyle="1" w:styleId="a4">
    <w:name w:val="表格编号"/>
    <w:basedOn w:val="a"/>
    <w:qFormat/>
    <w:pPr>
      <w:tabs>
        <w:tab w:val="left" w:pos="313"/>
        <w:tab w:val="left" w:pos="360"/>
      </w:tabs>
    </w:pPr>
  </w:style>
  <w:style w:type="character" w:customStyle="1" w:styleId="Char37">
    <w:name w:val="纯文本 Char"/>
    <w:aliases w:val="普通文字 Char Char1,普通文字 Char1,普通文字1 Char Cha Char,正文格式 Char,表内文字 Char"/>
    <w:basedOn w:val="DefaultParagraphFont"/>
    <w:link w:val="PlainText"/>
    <w:rPr>
      <w:rFonts w:ascii="宋体" w:eastAsia="宋体" w:hAnsi="Courier New" w:cs="Courier New"/>
      <w:sz w:val="21"/>
      <w:szCs w:val="21"/>
    </w:rPr>
  </w:style>
  <w:style w:type="paragraph" w:customStyle="1" w:styleId="a5">
    <w:name w:val="表格内序号"/>
    <w:basedOn w:val="a"/>
    <w:link w:val="Char40"/>
    <w:qFormat/>
    <w:pPr>
      <w:numPr>
        <w:ilvl w:val="0"/>
        <w:numId w:val="7"/>
      </w:numPr>
    </w:pPr>
  </w:style>
  <w:style w:type="character" w:customStyle="1" w:styleId="Char40">
    <w:name w:val="表格内序号 Char"/>
    <w:link w:val="a5"/>
    <w:rPr>
      <w:rFonts w:ascii="Times New Roman" w:eastAsia="宋体" w:hAnsi="Times New Roman"/>
      <w:kern w:val="2"/>
      <w:sz w:val="21"/>
      <w:szCs w:val="24"/>
    </w:rPr>
  </w:style>
  <w:style w:type="paragraph" w:customStyle="1" w:styleId="a6">
    <w:name w:val="表格正文"/>
    <w:next w:val="BodyText"/>
    <w:link w:val="Char41"/>
    <w:qFormat/>
    <w:pPr>
      <w:spacing w:line="0" w:lineRule="atLeast"/>
      <w:jc w:val="center"/>
    </w:pPr>
    <w:rPr>
      <w:rFonts w:ascii="Arial" w:eastAsia="宋体" w:hAnsi="Arial"/>
      <w:kern w:val="2"/>
      <w:sz w:val="21"/>
      <w:szCs w:val="24"/>
      <w:lang w:val="en-US" w:eastAsia="zh-CN" w:bidi="ar-SA"/>
    </w:rPr>
  </w:style>
  <w:style w:type="character" w:customStyle="1" w:styleId="Char41">
    <w:name w:val="表格正文 Char"/>
    <w:basedOn w:val="DefaultParagraphFont"/>
    <w:link w:val="a6"/>
    <w:rPr>
      <w:rFonts w:ascii="Arial" w:eastAsia="宋体" w:hAnsi="Arial"/>
      <w:kern w:val="2"/>
      <w:sz w:val="21"/>
      <w:szCs w:val="24"/>
      <w:lang w:val="en-US" w:eastAsia="zh-CN" w:bidi="ar-SA"/>
    </w:rPr>
  </w:style>
  <w:style w:type="paragraph" w:customStyle="1" w:styleId="Char42">
    <w:name w:val="Char"/>
    <w:basedOn w:val="Normal"/>
    <w:pPr>
      <w:widowControl w:val="0"/>
    </w:pPr>
    <w:rPr>
      <w:rFonts w:ascii="Tahoma" w:eastAsia="仿宋_GB2312" w:hAnsi="Tahoma"/>
      <w:kern w:val="2"/>
      <w:szCs w:val="20"/>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Normal"/>
    <w:pPr>
      <w:widowControl w:val="0"/>
      <w:spacing w:line="360" w:lineRule="auto"/>
      <w:ind w:firstLine="200" w:firstLineChars="200"/>
    </w:pPr>
    <w:rPr>
      <w:rFonts w:ascii="宋体" w:hAnsi="宋体" w:cs="宋体"/>
      <w:kern w:val="2"/>
      <w:szCs w:val="24"/>
    </w:rPr>
  </w:style>
  <w:style w:type="paragraph" w:customStyle="1" w:styleId="CharChar1CharCharCharCharCharCharCharCharCharCharCharCharCharCharCharCharCharCharCharChar1Char1">
    <w:name w:val="Char Char1 Char Char Char Char Char Char Char Char Char Char Char Char Char Char Char Char Char Char Char Char1 Char1"/>
    <w:basedOn w:val="Normal"/>
    <w:pPr>
      <w:widowControl w:val="0"/>
      <w:spacing w:line="360" w:lineRule="auto"/>
      <w:ind w:firstLine="200" w:firstLineChars="200"/>
    </w:pPr>
    <w:rPr>
      <w:rFonts w:ascii="宋体" w:hAnsi="宋体" w:cs="宋体"/>
      <w:kern w:val="2"/>
      <w:szCs w:val="24"/>
    </w:rPr>
  </w:style>
  <w:style w:type="paragraph" w:customStyle="1" w:styleId="Char112">
    <w:name w:val="Char1"/>
    <w:basedOn w:val="Normal"/>
    <w:pPr>
      <w:widowControl w:val="0"/>
      <w:spacing w:line="360" w:lineRule="auto"/>
      <w:ind w:firstLine="200" w:firstLineChars="200"/>
    </w:pPr>
    <w:rPr>
      <w:rFonts w:ascii="宋体" w:hAnsi="宋体" w:cs="宋体"/>
      <w:kern w:val="2"/>
      <w:szCs w:val="24"/>
    </w:rPr>
  </w:style>
  <w:style w:type="paragraph" w:customStyle="1" w:styleId="16">
    <w:name w:val="正文样式1"/>
    <w:basedOn w:val="BodyTextIndent2"/>
    <w:pPr>
      <w:widowControl w:val="0"/>
      <w:snapToGrid w:val="0"/>
      <w:spacing w:after="0" w:line="540" w:lineRule="exact"/>
      <w:ind w:left="0" w:firstLine="200" w:leftChars="0" w:firstLineChars="200"/>
    </w:pPr>
    <w:rPr>
      <w:kern w:val="2"/>
      <w:szCs w:val="20"/>
    </w:rPr>
  </w:style>
  <w:style w:type="paragraph" w:customStyle="1" w:styleId="CharCharChar2">
    <w:name w:val="Char Char Char"/>
    <w:basedOn w:val="Normal"/>
    <w:pPr>
      <w:widowControl w:val="0"/>
    </w:pPr>
    <w:rPr>
      <w:kern w:val="2"/>
      <w:szCs w:val="24"/>
    </w:rPr>
  </w:style>
  <w:style w:type="paragraph" w:customStyle="1" w:styleId="26">
    <w:name w:val="样式26"/>
    <w:basedOn w:val="Heading4"/>
    <w:qFormat/>
    <w:pPr>
      <w:widowControl w:val="0"/>
      <w:tabs>
        <w:tab w:val="clear" w:pos="672"/>
        <w:tab w:val="left" w:pos="851"/>
      </w:tabs>
      <w:spacing w:beforeLines="0" w:afterLines="0" w:line="240" w:lineRule="auto"/>
      <w:ind w:left="851" w:hanging="563"/>
      <w:jc w:val="center"/>
    </w:pPr>
    <w:rPr>
      <w:rFonts w:ascii="Arial" w:eastAsia="仿宋_GB2312" w:hAnsi="Arial"/>
      <w:b/>
      <w:bCs w:val="0"/>
      <w:kern w:val="2"/>
      <w:szCs w:val="20"/>
    </w:rPr>
  </w:style>
  <w:style w:type="paragraph" w:customStyle="1" w:styleId="ParaCharCharCharChar">
    <w:name w:val="默认段落字体 Para Char Char Char Char"/>
    <w:basedOn w:val="Normal"/>
    <w:pPr>
      <w:widowControl w:val="0"/>
    </w:pPr>
    <w:rPr>
      <w:kern w:val="2"/>
      <w:szCs w:val="24"/>
    </w:rPr>
  </w:style>
  <w:style w:type="paragraph" w:customStyle="1" w:styleId="xl37">
    <w:name w:val="xl37"/>
    <w:basedOn w:val="Normal"/>
    <w:pPr>
      <w:spacing w:before="100" w:beforeAutospacing="1" w:after="100" w:afterAutospacing="1"/>
      <w:jc w:val="center"/>
    </w:pPr>
    <w:rPr>
      <w:rFonts w:ascii="宋体" w:hAnsi="宋体"/>
      <w:szCs w:val="24"/>
    </w:rPr>
  </w:style>
  <w:style w:type="paragraph" w:customStyle="1" w:styleId="24">
    <w:name w:val="样式24"/>
    <w:basedOn w:val="Heading2"/>
    <w:qFormat/>
    <w:pPr>
      <w:widowControl w:val="0"/>
      <w:tabs>
        <w:tab w:val="left" w:pos="567"/>
      </w:tabs>
      <w:spacing w:beforeLines="0" w:afterLines="0"/>
      <w:ind w:left="567" w:hanging="567"/>
      <w:jc w:val="both"/>
    </w:pPr>
    <w:rPr>
      <w:rFonts w:ascii="黑体" w:eastAsia="黑体" w:hAnsi="Arial" w:cs="Times New Roman"/>
      <w:b w:val="0"/>
      <w:bCs w:val="0"/>
      <w:kern w:val="2"/>
      <w:szCs w:val="20"/>
    </w:rPr>
  </w:style>
  <w:style w:type="paragraph" w:customStyle="1" w:styleId="CharCharCharCharCharCharCharCharCharCharCharCharChar">
    <w:name w:val="Char Char Char Char Char Char Char Char Char Char Char Char Char"/>
    <w:basedOn w:val="Normal"/>
    <w:pPr>
      <w:widowControl w:val="0"/>
      <w:spacing w:line="360" w:lineRule="auto"/>
      <w:ind w:firstLine="200" w:firstLineChars="200"/>
    </w:pPr>
    <w:rPr>
      <w:rFonts w:ascii="宋体" w:hAnsi="宋体" w:cs="宋体"/>
      <w:kern w:val="2"/>
      <w:szCs w:val="24"/>
    </w:rPr>
  </w:style>
  <w:style w:type="paragraph" w:customStyle="1" w:styleId="31113h33rdlevelH3l3CTl31C">
    <w:name w:val="样式 标题 3小节标题标题 一头小标题条标题1.1.13h33rd levelH3l3CT段l31 C..."/>
    <w:basedOn w:val="Heading3"/>
    <w:link w:val="31113h33rdlevelH3l3CTl31CChar"/>
    <w:pPr>
      <w:numPr>
        <w:ilvl w:val="0"/>
        <w:numId w:val="0"/>
      </w:numPr>
      <w:spacing w:before="216" w:after="108"/>
      <w:ind w:left="1260" w:hanging="420"/>
    </w:pPr>
    <w:rPr>
      <w:rFonts w:cs="宋体"/>
      <w:bCs w:val="0"/>
      <w:szCs w:val="20"/>
    </w:rPr>
  </w:style>
  <w:style w:type="character" w:customStyle="1" w:styleId="31113h33rdlevelH3l3CTl31CChar">
    <w:name w:val="样式 标题 3小节标题标题 一头小标题条标题1.1.13h33rd levelH3l3CT段l31 C... Char"/>
    <w:basedOn w:val="3Char"/>
    <w:link w:val="31113h33rdlevelH3l3CTl31C"/>
    <w:rPr>
      <w:rFonts w:cs="宋体"/>
    </w:rPr>
  </w:style>
  <w:style w:type="paragraph" w:customStyle="1" w:styleId="5025025">
    <w:name w:val="样式 标题 5 + 段前: 0.25 行 段后: 0.25 行"/>
    <w:basedOn w:val="Heading5"/>
    <w:pPr>
      <w:numPr>
        <w:ilvl w:val="0"/>
        <w:numId w:val="0"/>
      </w:numPr>
      <w:tabs>
        <w:tab w:val="left" w:pos="896"/>
      </w:tabs>
      <w:spacing w:before="108" w:after="108"/>
      <w:ind w:left="3828"/>
    </w:pPr>
    <w:rPr>
      <w:rFonts w:cs="宋体"/>
      <w:bCs w:val="0"/>
      <w:szCs w:val="20"/>
    </w:rPr>
  </w:style>
  <w:style w:type="paragraph" w:customStyle="1" w:styleId="CharCharChar11">
    <w:name w:val="Char Char Char1"/>
    <w:basedOn w:val="Normal"/>
    <w:pPr>
      <w:widowControl w:val="0"/>
    </w:pPr>
    <w:rPr>
      <w:kern w:val="2"/>
      <w:szCs w:val="24"/>
    </w:rPr>
  </w:style>
  <w:style w:type="paragraph" w:customStyle="1" w:styleId="Default">
    <w:name w:val="Default"/>
    <w:pPr>
      <w:widowControl w:val="0"/>
      <w:autoSpaceDE w:val="0"/>
      <w:autoSpaceDN w:val="0"/>
      <w:adjustRightInd w:val="0"/>
    </w:pPr>
    <w:rPr>
      <w:rFonts w:ascii="宋体" w:eastAsia="宋体" w:cs="宋体"/>
      <w:color w:val="000000"/>
      <w:sz w:val="24"/>
      <w:szCs w:val="24"/>
      <w:lang w:val="en-US" w:eastAsia="zh-CN" w:bidi="ar-SA"/>
    </w:rPr>
  </w:style>
  <w:style w:type="paragraph" w:customStyle="1" w:styleId="a7">
    <w:name w:val="表"/>
    <w:basedOn w:val="Normal"/>
    <w:link w:val="Char43"/>
    <w:pPr>
      <w:widowControl w:val="0"/>
      <w:snapToGrid w:val="0"/>
      <w:jc w:val="center"/>
    </w:pPr>
    <w:rPr>
      <w:spacing w:val="2"/>
      <w:kern w:val="2"/>
      <w:sz w:val="21"/>
      <w:szCs w:val="20"/>
    </w:rPr>
  </w:style>
  <w:style w:type="character" w:customStyle="1" w:styleId="Char43">
    <w:name w:val="表 Char"/>
    <w:link w:val="a7"/>
    <w:rPr>
      <w:rFonts w:ascii="Times New Roman" w:eastAsia="宋体" w:hAnsi="Times New Roman"/>
      <w:spacing w:val="2"/>
      <w:kern w:val="2"/>
      <w:sz w:val="21"/>
    </w:rPr>
  </w:style>
  <w:style w:type="paragraph" w:customStyle="1" w:styleId="121">
    <w:name w:val="样式 (符号) 宋体 五号 黑色 居中 行距: 固定值 12 磅1"/>
    <w:basedOn w:val="Normal"/>
    <w:pPr>
      <w:widowControl w:val="0"/>
      <w:spacing w:line="240" w:lineRule="exact"/>
      <w:jc w:val="center"/>
    </w:pPr>
    <w:rPr>
      <w:rFonts w:hAnsi="宋体" w:cs="宋体"/>
      <w:color w:val="000000"/>
      <w:kern w:val="2"/>
      <w:sz w:val="21"/>
      <w:szCs w:val="20"/>
    </w:rPr>
  </w:style>
  <w:style w:type="paragraph" w:customStyle="1" w:styleId="Char44">
    <w:name w:val=" Char"/>
    <w:basedOn w:val="Normal"/>
    <w:pPr>
      <w:widowControl w:val="0"/>
      <w:spacing w:line="360" w:lineRule="auto"/>
      <w:ind w:firstLine="200" w:firstLineChars="200"/>
    </w:pPr>
    <w:rPr>
      <w:rFonts w:ascii="宋体" w:hAnsi="宋体" w:cs="宋体"/>
      <w:kern w:val="2"/>
      <w:szCs w:val="24"/>
    </w:rPr>
  </w:style>
  <w:style w:type="paragraph" w:customStyle="1" w:styleId="8">
    <w:name w:val="样式8"/>
    <w:basedOn w:val="NormalIndent"/>
    <w:pPr>
      <w:widowControl w:val="0"/>
      <w:ind w:firstLine="200"/>
    </w:pPr>
    <w:rPr>
      <w:rFonts w:ascii="Arial" w:hAnsi="Arial" w:cs="Arial"/>
      <w:kern w:val="2"/>
      <w:szCs w:val="20"/>
    </w:rPr>
  </w:style>
  <w:style w:type="paragraph" w:customStyle="1" w:styleId="CharChar1CharCharCharCharCharCharCharCharCharCharCharCharCharCharCharCharCharCharCharChar1Char0">
    <w:name w:val=" Char Char1 Char Char Char Char Char Char Char Char Char Char Char Char Char Char Char Char Char Char Char Char1 Char"/>
    <w:basedOn w:val="Normal"/>
    <w:pPr>
      <w:widowControl w:val="0"/>
      <w:spacing w:line="360" w:lineRule="auto"/>
      <w:ind w:firstLine="200" w:firstLineChars="200"/>
    </w:pPr>
    <w:rPr>
      <w:rFonts w:ascii="宋体" w:hAnsi="宋体" w:cs="宋体"/>
      <w:kern w:val="2"/>
      <w:szCs w:val="24"/>
    </w:rPr>
  </w:style>
  <w:style w:type="paragraph" w:customStyle="1" w:styleId="01">
    <w:name w:val="正文01"/>
    <w:basedOn w:val="Normal"/>
    <w:link w:val="01Char"/>
    <w:pPr>
      <w:widowControl w:val="0"/>
      <w:spacing w:before="60" w:line="460" w:lineRule="exact"/>
      <w:ind w:firstLine="200" w:firstLineChars="200"/>
    </w:pPr>
    <w:rPr>
      <w:kern w:val="2"/>
      <w:szCs w:val="24"/>
    </w:rPr>
  </w:style>
  <w:style w:type="character" w:customStyle="1" w:styleId="01Char">
    <w:name w:val="正文01 Char"/>
    <w:basedOn w:val="DefaultParagraphFont"/>
    <w:link w:val="01"/>
    <w:rPr>
      <w:rFonts w:ascii="Times New Roman" w:eastAsia="宋体" w:hAnsi="Times New Roman"/>
      <w:kern w:val="2"/>
      <w:sz w:val="24"/>
      <w:szCs w:val="24"/>
    </w:rPr>
  </w:style>
  <w:style w:type="paragraph" w:customStyle="1" w:styleId="pic-info">
    <w:name w:val="pic-info"/>
    <w:basedOn w:val="Normal"/>
    <w:pPr>
      <w:spacing w:before="100" w:beforeAutospacing="1" w:after="100" w:afterAutospacing="1"/>
      <w:jc w:val="left"/>
    </w:pPr>
    <w:rPr>
      <w:rFonts w:ascii="宋体" w:hAnsi="宋体" w:cs="宋体"/>
      <w:szCs w:val="24"/>
    </w:rPr>
  </w:style>
  <w:style w:type="paragraph" w:customStyle="1" w:styleId="a8">
    <w:name w:val="表格"/>
    <w:pPr>
      <w:spacing w:line="380" w:lineRule="exact"/>
      <w:jc w:val="center"/>
    </w:pPr>
    <w:rPr>
      <w:rFonts w:ascii="宋体" w:eastAsia="宋体" w:hAnsi="宋体"/>
      <w:snapToGrid w:val="0"/>
      <w:sz w:val="21"/>
      <w:lang w:val="en-US" w:eastAsia="zh-CN" w:bidi="ar-SA"/>
    </w:rPr>
  </w:style>
  <w:style w:type="paragraph" w:customStyle="1" w:styleId="001">
    <w:name w:val="表格001"/>
    <w:basedOn w:val="Normal"/>
    <w:pPr>
      <w:widowControl w:val="0"/>
      <w:jc w:val="center"/>
    </w:pPr>
    <w:rPr>
      <w:kern w:val="2"/>
      <w:szCs w:val="20"/>
    </w:rPr>
  </w:style>
  <w:style w:type="paragraph" w:customStyle="1" w:styleId="a9">
    <w:name w:val="标头"/>
    <w:basedOn w:val="Normal"/>
    <w:link w:val="Char45"/>
    <w:pPr>
      <w:widowControl w:val="0"/>
      <w:spacing w:line="360" w:lineRule="auto"/>
      <w:jc w:val="center"/>
    </w:pPr>
    <w:rPr>
      <w:rFonts w:ascii="Arial" w:eastAsia="黑体" w:hAnsi="Arial" w:cs="Arial"/>
      <w:kern w:val="2"/>
      <w:sz w:val="21"/>
      <w:szCs w:val="21"/>
    </w:rPr>
  </w:style>
  <w:style w:type="character" w:customStyle="1" w:styleId="Char45">
    <w:name w:val="标头 Char"/>
    <w:basedOn w:val="DefaultParagraphFont"/>
    <w:link w:val="a9"/>
    <w:rPr>
      <w:rFonts w:ascii="Arial" w:eastAsia="黑体" w:hAnsi="Arial" w:cs="Arial"/>
      <w:kern w:val="2"/>
      <w:sz w:val="21"/>
      <w:szCs w:val="21"/>
    </w:rPr>
  </w:style>
  <w:style w:type="paragraph" w:customStyle="1" w:styleId="a10">
    <w:name w:val="环评正文"/>
    <w:basedOn w:val="Normal"/>
    <w:pPr>
      <w:widowControl w:val="0"/>
      <w:spacing w:line="360" w:lineRule="auto"/>
    </w:pPr>
    <w:rPr>
      <w:rFonts w:ascii="宋体" w:hAnsi="宋体" w:cs="宋体"/>
      <w:kern w:val="2"/>
      <w:szCs w:val="20"/>
    </w:rPr>
  </w:style>
  <w:style w:type="character" w:customStyle="1" w:styleId="Char113">
    <w:name w:val="题注 Char1"/>
    <w:aliases w:val="题注 Char Char1,默认段落字体1 Char"/>
    <w:rPr>
      <w:rFonts w:eastAsia="黑体"/>
      <w:b/>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10.33.100.15/document/docdetailframe.asp?did=606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yperlink" Target="http://www.ccpp.org.cn/techreq/bz_fangzhi.html" TargetMode="Externa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8.xml" /><Relationship Id="rId22" Type="http://schemas.openxmlformats.org/officeDocument/2006/relationships/hyperlink" Target="https://d.book118.com/237041105064006054" TargetMode="External" /><Relationship Id="rId23" Type="http://schemas.openxmlformats.org/officeDocument/2006/relationships/header" Target="header9.xml" /><Relationship Id="rId24" Type="http://schemas.openxmlformats.org/officeDocument/2006/relationships/footer" Target="footer9.xml" /><Relationship Id="rId25" Type="http://schemas.microsoft.com/office/2006/relationships/keyMapCustomizations" Target="customizations.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settings.xml.rels><?xml version="1.0" encoding="utf-8" standalone="yes"?><Relationships xmlns="http://schemas.openxmlformats.org/package/2006/relationships"><Relationship Id="rId1" Type="http://schemas.openxmlformats.org/officeDocument/2006/relationships/attachedTemplate" Target="file:///E:\&#29615;&#35780;\&#32461;&#20852;&#21439;&#23433;&#26124;&#21476;&#38215;&#20445;&#25252;&#19982;&#24320;&#21457;&#39033;&#30446;&#29615;&#35780;&#20070;\&#29615;&#35780;&#25991;&#26412;\&#25253;&#21578;&#20070;&#8212;&#8212;&#22522;&#30784;&#26684;&#24335;&#27169;&#26495;&#65288;&#35797;&#29992;&#31295;&#65289;12.20.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报告书——基础格式模板（试用稿）12.20.dot</Template>
  <TotalTime>0</TotalTime>
  <Pages>11</Pages>
  <Words>2339</Words>
  <Characters>13335</Characters>
  <Application>Microsoft Office Word</Application>
  <DocSecurity>0</DocSecurity>
  <Lines>111</Lines>
  <Paragraphs>31</Paragraphs>
  <ScaleCrop>false</ScaleCrop>
  <Company/>
  <LinksUpToDate>false</LinksUpToDate>
  <CharactersWithSpaces>15643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嘉善东大树脂有限公司新建年产不饱和聚酯树脂2万吨项目</dc:title>
  <dc:creator>ICBC</dc:creator>
  <cp:lastModifiedBy>委员</cp:lastModifiedBy>
  <cp:revision>25</cp:revision>
  <cp:lastPrinted>2011-12-28T01:13:00Z</cp:lastPrinted>
  <dcterms:created xsi:type="dcterms:W3CDTF">2013-05-17T01:56:00Z</dcterms:created>
  <dcterms:modified xsi:type="dcterms:W3CDTF">2024-01-09T06:24:05Z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B03912193BE94BE78358B800AFF01328_12</vt:lpwstr>
  </property>
  <property fmtid="{D5CDD505-2E9C-101B-9397-08002B2CF9AE}" pid="3" name="KSOProductBuildVer">
    <vt:lpwstr>2052-12.1.0.15712</vt:lpwstr>
  </property>
</Properties>
</file>