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养老服务项目评估报告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08" w:history="1">
        <w:r>
          <w:rPr>
            <w:rFonts w:ascii="仿宋" w:eastAsia="仿宋" w:hAnsi="仿宋" w:cs="仿宋" w:hint="eastAsia"/>
            <w:lang w:eastAsia="zh-CN"/>
          </w:rPr>
          <w:t>序言</w:t>
        </w:r>
        <w:r>
          <w:tab/>
        </w:r>
        <w:r>
          <w:fldChar w:fldCharType="begin"/>
        </w:r>
        <w:r>
          <w:instrText xml:space="preserve"> PAGEREF _Toc16208 \h </w:instrText>
        </w:r>
        <w:r>
          <w:fldChar w:fldCharType="separate"/>
        </w:r>
        <w:r>
          <w:t>3</w:t>
        </w:r>
        <w:r>
          <w:fldChar w:fldCharType="end"/>
        </w:r>
      </w:hyperlink>
    </w:p>
    <w:p>
      <w:pPr>
        <w:pStyle w:val="TOC1"/>
        <w:tabs>
          <w:tab w:val="right" w:leader="dot" w:pos="8306"/>
        </w:tabs>
      </w:pPr>
      <w:hyperlink w:anchor="_Toc22685" w:history="1">
        <w:r>
          <w:rPr>
            <w:rFonts w:ascii="仿宋" w:eastAsia="仿宋" w:hAnsi="仿宋" w:cs="仿宋" w:hint="eastAsia"/>
            <w:lang w:eastAsia="zh-CN"/>
          </w:rPr>
          <w:t>一、工艺分析</w:t>
        </w:r>
        <w:r>
          <w:tab/>
        </w:r>
        <w:r>
          <w:fldChar w:fldCharType="begin"/>
        </w:r>
        <w:r>
          <w:instrText xml:space="preserve"> PAGEREF _Toc22685 \h </w:instrText>
        </w:r>
        <w:r>
          <w:fldChar w:fldCharType="separate"/>
        </w:r>
        <w:r>
          <w:t>3</w:t>
        </w:r>
        <w:r>
          <w:fldChar w:fldCharType="end"/>
        </w:r>
      </w:hyperlink>
    </w:p>
    <w:p>
      <w:pPr>
        <w:pStyle w:val="TOC2"/>
        <w:tabs>
          <w:tab w:val="right" w:leader="dot" w:pos="8306"/>
        </w:tabs>
      </w:pPr>
      <w:hyperlink w:anchor="_Toc9003" w:history="1">
        <w:r>
          <w:rPr>
            <w:rFonts w:ascii="仿宋" w:eastAsia="仿宋" w:hAnsi="仿宋" w:cs="仿宋" w:hint="eastAsia"/>
            <w:lang w:eastAsia="zh-CN"/>
          </w:rPr>
          <w:t>(一)、技术管理特点</w:t>
        </w:r>
        <w:r>
          <w:tab/>
        </w:r>
        <w:r>
          <w:fldChar w:fldCharType="begin"/>
        </w:r>
        <w:r>
          <w:instrText xml:space="preserve"> PAGEREF _Toc9003 \h </w:instrText>
        </w:r>
        <w:r>
          <w:fldChar w:fldCharType="separate"/>
        </w:r>
        <w:r>
          <w:t>3</w:t>
        </w:r>
        <w:r>
          <w:fldChar w:fldCharType="end"/>
        </w:r>
      </w:hyperlink>
    </w:p>
    <w:p>
      <w:pPr>
        <w:pStyle w:val="TOC2"/>
        <w:tabs>
          <w:tab w:val="right" w:leader="dot" w:pos="8306"/>
        </w:tabs>
      </w:pPr>
      <w:hyperlink w:anchor="_Toc9168" w:history="1">
        <w:r>
          <w:rPr>
            <w:rFonts w:ascii="仿宋" w:eastAsia="仿宋" w:hAnsi="仿宋" w:cs="仿宋" w:hint="eastAsia"/>
            <w:lang w:eastAsia="zh-CN"/>
          </w:rPr>
          <w:t>(二)、养老服务项目工艺技术设计方案</w:t>
        </w:r>
        <w:r>
          <w:tab/>
        </w:r>
        <w:r>
          <w:fldChar w:fldCharType="begin"/>
        </w:r>
        <w:r>
          <w:instrText xml:space="preserve"> PAGEREF _Toc9168 \h </w:instrText>
        </w:r>
        <w:r>
          <w:fldChar w:fldCharType="separate"/>
        </w:r>
        <w:r>
          <w:t>4</w:t>
        </w:r>
        <w:r>
          <w:fldChar w:fldCharType="end"/>
        </w:r>
      </w:hyperlink>
    </w:p>
    <w:p>
      <w:pPr>
        <w:pStyle w:val="TOC2"/>
        <w:tabs>
          <w:tab w:val="right" w:leader="dot" w:pos="8306"/>
        </w:tabs>
      </w:pPr>
      <w:hyperlink w:anchor="_Toc21984" w:history="1">
        <w:r>
          <w:rPr>
            <w:rFonts w:ascii="仿宋" w:eastAsia="仿宋" w:hAnsi="仿宋" w:cs="仿宋" w:hint="eastAsia"/>
            <w:lang w:eastAsia="zh-CN"/>
          </w:rPr>
          <w:t>(三)、设备选型方案</w:t>
        </w:r>
        <w:r>
          <w:tab/>
        </w:r>
        <w:r>
          <w:fldChar w:fldCharType="begin"/>
        </w:r>
        <w:r>
          <w:instrText xml:space="preserve"> PAGEREF _Toc21984 \h </w:instrText>
        </w:r>
        <w:r>
          <w:fldChar w:fldCharType="separate"/>
        </w:r>
        <w:r>
          <w:t>5</w:t>
        </w:r>
        <w:r>
          <w:fldChar w:fldCharType="end"/>
        </w:r>
      </w:hyperlink>
    </w:p>
    <w:p>
      <w:pPr>
        <w:pStyle w:val="TOC1"/>
        <w:tabs>
          <w:tab w:val="right" w:leader="dot" w:pos="8306"/>
        </w:tabs>
      </w:pPr>
      <w:hyperlink w:anchor="_Toc25829" w:history="1">
        <w:r>
          <w:rPr>
            <w:rFonts w:ascii="仿宋" w:eastAsia="仿宋" w:hAnsi="仿宋" w:cs="仿宋" w:hint="eastAsia"/>
            <w:lang w:eastAsia="zh-CN"/>
          </w:rPr>
          <w:t>二、养老服务项目选址说明</w:t>
        </w:r>
        <w:r>
          <w:tab/>
        </w:r>
        <w:r>
          <w:fldChar w:fldCharType="begin"/>
        </w:r>
        <w:r>
          <w:instrText xml:space="preserve"> PAGEREF _Toc25829 \h </w:instrText>
        </w:r>
        <w:r>
          <w:fldChar w:fldCharType="separate"/>
        </w:r>
        <w:r>
          <w:t>6</w:t>
        </w:r>
        <w:r>
          <w:fldChar w:fldCharType="end"/>
        </w:r>
      </w:hyperlink>
    </w:p>
    <w:p>
      <w:pPr>
        <w:pStyle w:val="TOC2"/>
        <w:tabs>
          <w:tab w:val="right" w:leader="dot" w:pos="8306"/>
        </w:tabs>
      </w:pPr>
      <w:hyperlink w:anchor="_Toc17576" w:history="1">
        <w:r>
          <w:rPr>
            <w:rFonts w:ascii="仿宋" w:eastAsia="仿宋" w:hAnsi="仿宋" w:cs="仿宋" w:hint="eastAsia"/>
            <w:lang w:eastAsia="zh-CN"/>
          </w:rPr>
          <w:t>(一)、养老服务项目选址</w:t>
        </w:r>
        <w:r>
          <w:tab/>
        </w:r>
        <w:r>
          <w:fldChar w:fldCharType="begin"/>
        </w:r>
        <w:r>
          <w:instrText xml:space="preserve"> PAGEREF _Toc17576 \h </w:instrText>
        </w:r>
        <w:r>
          <w:fldChar w:fldCharType="separate"/>
        </w:r>
        <w:r>
          <w:t>6</w:t>
        </w:r>
        <w:r>
          <w:fldChar w:fldCharType="end"/>
        </w:r>
      </w:hyperlink>
    </w:p>
    <w:p>
      <w:pPr>
        <w:pStyle w:val="TOC2"/>
        <w:tabs>
          <w:tab w:val="right" w:leader="dot" w:pos="8306"/>
        </w:tabs>
      </w:pPr>
      <w:hyperlink w:anchor="_Toc18839" w:history="1">
        <w:r>
          <w:rPr>
            <w:rFonts w:ascii="仿宋" w:eastAsia="仿宋" w:hAnsi="仿宋" w:cs="仿宋" w:hint="eastAsia"/>
            <w:lang w:eastAsia="zh-CN"/>
          </w:rPr>
          <w:t>(二)、用地控制指标</w:t>
        </w:r>
        <w:r>
          <w:tab/>
        </w:r>
        <w:r>
          <w:fldChar w:fldCharType="begin"/>
        </w:r>
        <w:r>
          <w:instrText xml:space="preserve"> PAGEREF _Toc18839 \h </w:instrText>
        </w:r>
        <w:r>
          <w:fldChar w:fldCharType="separate"/>
        </w:r>
        <w:r>
          <w:t>6</w:t>
        </w:r>
        <w:r>
          <w:fldChar w:fldCharType="end"/>
        </w:r>
      </w:hyperlink>
    </w:p>
    <w:p>
      <w:pPr>
        <w:pStyle w:val="TOC2"/>
        <w:tabs>
          <w:tab w:val="right" w:leader="dot" w:pos="8306"/>
        </w:tabs>
      </w:pPr>
      <w:hyperlink w:anchor="_Toc11797" w:history="1">
        <w:r>
          <w:rPr>
            <w:rFonts w:ascii="仿宋" w:eastAsia="仿宋" w:hAnsi="仿宋" w:cs="仿宋" w:hint="eastAsia"/>
            <w:lang w:eastAsia="zh-CN"/>
          </w:rPr>
          <w:t>(三)、节约用地措施</w:t>
        </w:r>
        <w:r>
          <w:tab/>
        </w:r>
        <w:r>
          <w:fldChar w:fldCharType="begin"/>
        </w:r>
        <w:r>
          <w:instrText xml:space="preserve"> PAGEREF _Toc11797 \h </w:instrText>
        </w:r>
        <w:r>
          <w:fldChar w:fldCharType="separate"/>
        </w:r>
        <w:r>
          <w:t>7</w:t>
        </w:r>
        <w:r>
          <w:fldChar w:fldCharType="end"/>
        </w:r>
      </w:hyperlink>
    </w:p>
    <w:p>
      <w:pPr>
        <w:pStyle w:val="TOC2"/>
        <w:tabs>
          <w:tab w:val="right" w:leader="dot" w:pos="8306"/>
        </w:tabs>
      </w:pPr>
      <w:hyperlink w:anchor="_Toc18156" w:history="1">
        <w:r>
          <w:rPr>
            <w:rFonts w:ascii="仿宋" w:eastAsia="仿宋" w:hAnsi="仿宋" w:cs="仿宋" w:hint="eastAsia"/>
            <w:lang w:eastAsia="zh-CN"/>
          </w:rPr>
          <w:t>(四)、总图布置方案</w:t>
        </w:r>
        <w:r>
          <w:tab/>
        </w:r>
        <w:r>
          <w:fldChar w:fldCharType="begin"/>
        </w:r>
        <w:r>
          <w:instrText xml:space="preserve"> PAGEREF _Toc18156 \h </w:instrText>
        </w:r>
        <w:r>
          <w:fldChar w:fldCharType="separate"/>
        </w:r>
        <w:r>
          <w:t>8</w:t>
        </w:r>
        <w:r>
          <w:fldChar w:fldCharType="end"/>
        </w:r>
      </w:hyperlink>
    </w:p>
    <w:p>
      <w:pPr>
        <w:pStyle w:val="TOC2"/>
        <w:tabs>
          <w:tab w:val="right" w:leader="dot" w:pos="8306"/>
        </w:tabs>
      </w:pPr>
      <w:hyperlink w:anchor="_Toc2274" w:history="1">
        <w:r>
          <w:rPr>
            <w:rFonts w:ascii="仿宋" w:eastAsia="仿宋" w:hAnsi="仿宋" w:cs="仿宋" w:hint="eastAsia"/>
            <w:lang w:eastAsia="zh-CN"/>
          </w:rPr>
          <w:t>(五)、选址综合评价</w:t>
        </w:r>
        <w:r>
          <w:tab/>
        </w:r>
        <w:r>
          <w:fldChar w:fldCharType="begin"/>
        </w:r>
        <w:r>
          <w:instrText xml:space="preserve"> PAGEREF _Toc2274 \h </w:instrText>
        </w:r>
        <w:r>
          <w:fldChar w:fldCharType="separate"/>
        </w:r>
        <w:r>
          <w:t>9</w:t>
        </w:r>
        <w:r>
          <w:fldChar w:fldCharType="end"/>
        </w:r>
      </w:hyperlink>
    </w:p>
    <w:p>
      <w:pPr>
        <w:pStyle w:val="TOC1"/>
        <w:tabs>
          <w:tab w:val="right" w:leader="dot" w:pos="8306"/>
        </w:tabs>
      </w:pPr>
      <w:hyperlink w:anchor="_Toc16188" w:history="1">
        <w:r>
          <w:rPr>
            <w:rFonts w:ascii="仿宋" w:eastAsia="仿宋" w:hAnsi="仿宋" w:cs="仿宋" w:hint="eastAsia"/>
            <w:lang w:eastAsia="zh-CN"/>
          </w:rPr>
          <w:t>三、建设规划</w:t>
        </w:r>
        <w:r>
          <w:tab/>
        </w:r>
        <w:r>
          <w:fldChar w:fldCharType="begin"/>
        </w:r>
        <w:r>
          <w:instrText xml:space="preserve"> PAGEREF _Toc16188 \h </w:instrText>
        </w:r>
        <w:r>
          <w:fldChar w:fldCharType="separate"/>
        </w:r>
        <w:r>
          <w:t>10</w:t>
        </w:r>
        <w:r>
          <w:fldChar w:fldCharType="end"/>
        </w:r>
      </w:hyperlink>
    </w:p>
    <w:p>
      <w:pPr>
        <w:pStyle w:val="TOC2"/>
        <w:tabs>
          <w:tab w:val="right" w:leader="dot" w:pos="8306"/>
        </w:tabs>
      </w:pPr>
      <w:hyperlink w:anchor="_Toc625" w:history="1">
        <w:r>
          <w:rPr>
            <w:rFonts w:ascii="仿宋" w:eastAsia="仿宋" w:hAnsi="仿宋" w:cs="仿宋" w:hint="eastAsia"/>
            <w:lang w:eastAsia="zh-CN"/>
          </w:rPr>
          <w:t>(一)、产品规划</w:t>
        </w:r>
        <w:r>
          <w:tab/>
        </w:r>
        <w:r>
          <w:fldChar w:fldCharType="begin"/>
        </w:r>
        <w:r>
          <w:instrText xml:space="preserve"> PAGEREF _Toc625 \h </w:instrText>
        </w:r>
        <w:r>
          <w:fldChar w:fldCharType="separate"/>
        </w:r>
        <w:r>
          <w:t>10</w:t>
        </w:r>
        <w:r>
          <w:fldChar w:fldCharType="end"/>
        </w:r>
      </w:hyperlink>
    </w:p>
    <w:p>
      <w:pPr>
        <w:pStyle w:val="TOC2"/>
        <w:tabs>
          <w:tab w:val="right" w:leader="dot" w:pos="8306"/>
        </w:tabs>
      </w:pPr>
      <w:hyperlink w:anchor="_Toc13628" w:history="1">
        <w:r>
          <w:rPr>
            <w:rFonts w:ascii="仿宋" w:eastAsia="仿宋" w:hAnsi="仿宋" w:cs="仿宋" w:hint="eastAsia"/>
            <w:lang w:eastAsia="zh-CN"/>
          </w:rPr>
          <w:t>(二)、建设规模</w:t>
        </w:r>
        <w:r>
          <w:tab/>
        </w:r>
        <w:r>
          <w:fldChar w:fldCharType="begin"/>
        </w:r>
        <w:r>
          <w:instrText xml:space="preserve"> PAGEREF _Toc13628 \h </w:instrText>
        </w:r>
        <w:r>
          <w:fldChar w:fldCharType="separate"/>
        </w:r>
        <w:r>
          <w:t>12</w:t>
        </w:r>
        <w:r>
          <w:fldChar w:fldCharType="end"/>
        </w:r>
      </w:hyperlink>
    </w:p>
    <w:p>
      <w:pPr>
        <w:pStyle w:val="TOC1"/>
        <w:tabs>
          <w:tab w:val="right" w:leader="dot" w:pos="8306"/>
        </w:tabs>
      </w:pPr>
      <w:hyperlink w:anchor="_Toc23053" w:history="1">
        <w:r>
          <w:rPr>
            <w:rFonts w:ascii="仿宋" w:eastAsia="仿宋" w:hAnsi="仿宋" w:cs="仿宋" w:hint="eastAsia"/>
            <w:lang w:eastAsia="zh-CN"/>
          </w:rPr>
          <w:t>四、养老服务项目环境保护分析</w:t>
        </w:r>
        <w:r>
          <w:tab/>
        </w:r>
        <w:r>
          <w:fldChar w:fldCharType="begin"/>
        </w:r>
        <w:r>
          <w:instrText xml:space="preserve"> PAGEREF _Toc23053 \h </w:instrText>
        </w:r>
        <w:r>
          <w:fldChar w:fldCharType="separate"/>
        </w:r>
        <w:r>
          <w:t>14</w:t>
        </w:r>
        <w:r>
          <w:fldChar w:fldCharType="end"/>
        </w:r>
      </w:hyperlink>
    </w:p>
    <w:p>
      <w:pPr>
        <w:pStyle w:val="TOC2"/>
        <w:tabs>
          <w:tab w:val="right" w:leader="dot" w:pos="8306"/>
        </w:tabs>
      </w:pPr>
      <w:hyperlink w:anchor="_Toc23729" w:history="1">
        <w:r>
          <w:rPr>
            <w:rFonts w:ascii="仿宋" w:eastAsia="仿宋" w:hAnsi="仿宋" w:cs="仿宋" w:hint="eastAsia"/>
            <w:lang w:eastAsia="zh-CN"/>
          </w:rPr>
          <w:t>(一)、建设区域环境质量现状</w:t>
        </w:r>
        <w:r>
          <w:tab/>
        </w:r>
        <w:r>
          <w:fldChar w:fldCharType="begin"/>
        </w:r>
        <w:r>
          <w:instrText xml:space="preserve"> PAGEREF _Toc23729 \h </w:instrText>
        </w:r>
        <w:r>
          <w:fldChar w:fldCharType="separate"/>
        </w:r>
        <w:r>
          <w:t>14</w:t>
        </w:r>
        <w:r>
          <w:fldChar w:fldCharType="end"/>
        </w:r>
      </w:hyperlink>
    </w:p>
    <w:p>
      <w:pPr>
        <w:pStyle w:val="TOC2"/>
        <w:tabs>
          <w:tab w:val="right" w:leader="dot" w:pos="8306"/>
        </w:tabs>
      </w:pPr>
      <w:hyperlink w:anchor="_Toc18283" w:history="1">
        <w:r>
          <w:rPr>
            <w:rFonts w:ascii="仿宋" w:eastAsia="仿宋" w:hAnsi="仿宋" w:cs="仿宋" w:hint="eastAsia"/>
            <w:lang w:eastAsia="zh-CN"/>
          </w:rPr>
          <w:t>(二)、建设期环境保护</w:t>
        </w:r>
        <w:r>
          <w:tab/>
        </w:r>
        <w:r>
          <w:fldChar w:fldCharType="begin"/>
        </w:r>
        <w:r>
          <w:instrText xml:space="preserve"> PAGEREF _Toc18283 \h </w:instrText>
        </w:r>
        <w:r>
          <w:fldChar w:fldCharType="separate"/>
        </w:r>
        <w:r>
          <w:t>15</w:t>
        </w:r>
        <w:r>
          <w:fldChar w:fldCharType="end"/>
        </w:r>
      </w:hyperlink>
    </w:p>
    <w:p>
      <w:pPr>
        <w:pStyle w:val="TOC2"/>
        <w:tabs>
          <w:tab w:val="right" w:leader="dot" w:pos="8306"/>
        </w:tabs>
      </w:pPr>
      <w:hyperlink w:anchor="_Toc7548" w:history="1">
        <w:r>
          <w:rPr>
            <w:rFonts w:ascii="仿宋" w:eastAsia="仿宋" w:hAnsi="仿宋" w:cs="仿宋" w:hint="eastAsia"/>
            <w:lang w:eastAsia="zh-CN"/>
          </w:rPr>
          <w:t>(三)、运营期环境保护</w:t>
        </w:r>
        <w:r>
          <w:tab/>
        </w:r>
        <w:r>
          <w:fldChar w:fldCharType="begin"/>
        </w:r>
        <w:r>
          <w:instrText xml:space="preserve"> PAGEREF _Toc7548 \h </w:instrText>
        </w:r>
        <w:r>
          <w:fldChar w:fldCharType="separate"/>
        </w:r>
        <w:r>
          <w:t>16</w:t>
        </w:r>
        <w:r>
          <w:fldChar w:fldCharType="end"/>
        </w:r>
      </w:hyperlink>
    </w:p>
    <w:p>
      <w:pPr>
        <w:pStyle w:val="TOC2"/>
        <w:tabs>
          <w:tab w:val="right" w:leader="dot" w:pos="8306"/>
        </w:tabs>
      </w:pPr>
      <w:hyperlink w:anchor="_Toc19965" w:history="1">
        <w:r>
          <w:rPr>
            <w:rFonts w:ascii="仿宋" w:eastAsia="仿宋" w:hAnsi="仿宋" w:cs="仿宋" w:hint="eastAsia"/>
            <w:lang w:eastAsia="zh-CN"/>
          </w:rPr>
          <w:t>(四)、养老服务项目建设对区域经济的影响</w:t>
        </w:r>
        <w:r>
          <w:tab/>
        </w:r>
        <w:r>
          <w:fldChar w:fldCharType="begin"/>
        </w:r>
        <w:r>
          <w:instrText xml:space="preserve"> PAGEREF _Toc19965 \h </w:instrText>
        </w:r>
        <w:r>
          <w:fldChar w:fldCharType="separate"/>
        </w:r>
        <w:r>
          <w:t>17</w:t>
        </w:r>
        <w:r>
          <w:fldChar w:fldCharType="end"/>
        </w:r>
      </w:hyperlink>
    </w:p>
    <w:p>
      <w:pPr>
        <w:pStyle w:val="TOC2"/>
        <w:tabs>
          <w:tab w:val="right" w:leader="dot" w:pos="8306"/>
        </w:tabs>
      </w:pPr>
      <w:hyperlink w:anchor="_Toc1036" w:history="1">
        <w:r>
          <w:rPr>
            <w:rFonts w:ascii="仿宋" w:eastAsia="仿宋" w:hAnsi="仿宋" w:cs="仿宋" w:hint="eastAsia"/>
            <w:lang w:eastAsia="zh-CN"/>
          </w:rPr>
          <w:t>(五)、废弃物处理</w:t>
        </w:r>
        <w:r>
          <w:tab/>
        </w:r>
        <w:r>
          <w:fldChar w:fldCharType="begin"/>
        </w:r>
        <w:r>
          <w:instrText xml:space="preserve"> PAGEREF _Toc1036 \h </w:instrText>
        </w:r>
        <w:r>
          <w:fldChar w:fldCharType="separate"/>
        </w:r>
        <w:r>
          <w:t>18</w:t>
        </w:r>
        <w:r>
          <w:fldChar w:fldCharType="end"/>
        </w:r>
      </w:hyperlink>
    </w:p>
    <w:p>
      <w:pPr>
        <w:pStyle w:val="TOC2"/>
        <w:tabs>
          <w:tab w:val="right" w:leader="dot" w:pos="8306"/>
        </w:tabs>
      </w:pPr>
      <w:hyperlink w:anchor="_Toc11285" w:history="1">
        <w:r>
          <w:rPr>
            <w:rFonts w:ascii="仿宋" w:eastAsia="仿宋" w:hAnsi="仿宋" w:cs="仿宋" w:hint="eastAsia"/>
            <w:lang w:eastAsia="zh-CN"/>
          </w:rPr>
          <w:t>(六)、特殊环境影响分析</w:t>
        </w:r>
        <w:r>
          <w:tab/>
        </w:r>
        <w:r>
          <w:fldChar w:fldCharType="begin"/>
        </w:r>
        <w:r>
          <w:instrText xml:space="preserve"> PAGEREF _Toc11285 \h </w:instrText>
        </w:r>
        <w:r>
          <w:fldChar w:fldCharType="separate"/>
        </w:r>
        <w:r>
          <w:t>20</w:t>
        </w:r>
        <w:r>
          <w:fldChar w:fldCharType="end"/>
        </w:r>
      </w:hyperlink>
    </w:p>
    <w:p>
      <w:pPr>
        <w:pStyle w:val="TOC2"/>
        <w:tabs>
          <w:tab w:val="right" w:leader="dot" w:pos="8306"/>
        </w:tabs>
      </w:pPr>
      <w:hyperlink w:anchor="_Toc12939" w:history="1">
        <w:r>
          <w:rPr>
            <w:rFonts w:ascii="仿宋" w:eastAsia="仿宋" w:hAnsi="仿宋" w:cs="仿宋" w:hint="eastAsia"/>
            <w:lang w:eastAsia="zh-CN"/>
          </w:rPr>
          <w:t>(七)、清洁生产</w:t>
        </w:r>
        <w:r>
          <w:tab/>
        </w:r>
        <w:r>
          <w:fldChar w:fldCharType="begin"/>
        </w:r>
        <w:r>
          <w:instrText xml:space="preserve"> PAGEREF _Toc12939 \h </w:instrText>
        </w:r>
        <w:r>
          <w:fldChar w:fldCharType="separate"/>
        </w:r>
        <w:r>
          <w:t>21</w:t>
        </w:r>
        <w:r>
          <w:fldChar w:fldCharType="end"/>
        </w:r>
      </w:hyperlink>
    </w:p>
    <w:p>
      <w:pPr>
        <w:pStyle w:val="TOC2"/>
        <w:tabs>
          <w:tab w:val="right" w:leader="dot" w:pos="8306"/>
        </w:tabs>
      </w:pPr>
      <w:hyperlink w:anchor="_Toc19433" w:history="1">
        <w:r>
          <w:rPr>
            <w:rFonts w:ascii="仿宋" w:eastAsia="仿宋" w:hAnsi="仿宋" w:cs="仿宋" w:hint="eastAsia"/>
            <w:lang w:eastAsia="zh-CN"/>
          </w:rPr>
          <w:t>(八)、环境保护综合评价</w:t>
        </w:r>
        <w:r>
          <w:tab/>
        </w:r>
        <w:r>
          <w:fldChar w:fldCharType="begin"/>
        </w:r>
        <w:r>
          <w:instrText xml:space="preserve"> PAGEREF _Toc19433 \h </w:instrText>
        </w:r>
        <w:r>
          <w:fldChar w:fldCharType="separate"/>
        </w:r>
        <w:r>
          <w:t>23</w:t>
        </w:r>
        <w:r>
          <w:fldChar w:fldCharType="end"/>
        </w:r>
      </w:hyperlink>
    </w:p>
    <w:p>
      <w:pPr>
        <w:pStyle w:val="TOC1"/>
        <w:tabs>
          <w:tab w:val="right" w:leader="dot" w:pos="8306"/>
        </w:tabs>
      </w:pPr>
      <w:hyperlink w:anchor="_Toc16441" w:history="1">
        <w:r>
          <w:rPr>
            <w:rFonts w:ascii="仿宋" w:eastAsia="仿宋" w:hAnsi="仿宋" w:cs="仿宋" w:hint="eastAsia"/>
            <w:lang w:eastAsia="zh-CN"/>
          </w:rPr>
          <w:t>五、养老服务项目投资可行性分析</w:t>
        </w:r>
        <w:r>
          <w:tab/>
        </w:r>
        <w:r>
          <w:fldChar w:fldCharType="begin"/>
        </w:r>
        <w:r>
          <w:instrText xml:space="preserve"> PAGEREF _Toc16441 \h </w:instrText>
        </w:r>
        <w:r>
          <w:fldChar w:fldCharType="separate"/>
        </w:r>
        <w:r>
          <w:t>25</w:t>
        </w:r>
        <w:r>
          <w:fldChar w:fldCharType="end"/>
        </w:r>
      </w:hyperlink>
    </w:p>
    <w:p>
      <w:pPr>
        <w:pStyle w:val="TOC2"/>
        <w:tabs>
          <w:tab w:val="right" w:leader="dot" w:pos="8306"/>
        </w:tabs>
      </w:pPr>
      <w:hyperlink w:anchor="_Toc3580" w:history="1">
        <w:r>
          <w:rPr>
            <w:rFonts w:ascii="仿宋" w:eastAsia="仿宋" w:hAnsi="仿宋" w:cs="仿宋" w:hint="eastAsia"/>
            <w:lang w:eastAsia="zh-CN"/>
          </w:rPr>
          <w:t>(一)、养老服务项目估算说明</w:t>
        </w:r>
        <w:r>
          <w:tab/>
        </w:r>
        <w:r>
          <w:fldChar w:fldCharType="begin"/>
        </w:r>
        <w:r>
          <w:instrText xml:space="preserve"> PAGEREF _Toc3580 \h </w:instrText>
        </w:r>
        <w:r>
          <w:fldChar w:fldCharType="separate"/>
        </w:r>
        <w:r>
          <w:t>25</w:t>
        </w:r>
        <w:r>
          <w:fldChar w:fldCharType="end"/>
        </w:r>
      </w:hyperlink>
    </w:p>
    <w:p>
      <w:pPr>
        <w:pStyle w:val="TOC2"/>
        <w:tabs>
          <w:tab w:val="right" w:leader="dot" w:pos="8306"/>
        </w:tabs>
      </w:pPr>
      <w:hyperlink w:anchor="_Toc8400" w:history="1">
        <w:r>
          <w:rPr>
            <w:rFonts w:ascii="仿宋" w:eastAsia="仿宋" w:hAnsi="仿宋" w:cs="仿宋" w:hint="eastAsia"/>
            <w:lang w:eastAsia="zh-CN"/>
          </w:rPr>
          <w:t>(二)、养老服务项目总投资估算</w:t>
        </w:r>
        <w:r>
          <w:tab/>
        </w:r>
        <w:r>
          <w:fldChar w:fldCharType="begin"/>
        </w:r>
        <w:r>
          <w:instrText xml:space="preserve"> PAGEREF _Toc8400 \h </w:instrText>
        </w:r>
        <w:r>
          <w:fldChar w:fldCharType="separate"/>
        </w:r>
        <w:r>
          <w:t>26</w:t>
        </w:r>
        <w:r>
          <w:fldChar w:fldCharType="end"/>
        </w:r>
      </w:hyperlink>
    </w:p>
    <w:p>
      <w:pPr>
        <w:pStyle w:val="TOC2"/>
        <w:tabs>
          <w:tab w:val="right" w:leader="dot" w:pos="8306"/>
        </w:tabs>
      </w:pPr>
      <w:hyperlink w:anchor="_Toc16240" w:history="1">
        <w:r>
          <w:rPr>
            <w:rFonts w:ascii="仿宋" w:eastAsia="仿宋" w:hAnsi="仿宋" w:cs="仿宋" w:hint="eastAsia"/>
            <w:lang w:eastAsia="zh-CN"/>
          </w:rPr>
          <w:t>(三)、资金筹措</w:t>
        </w:r>
        <w:r>
          <w:tab/>
        </w:r>
        <w:r>
          <w:fldChar w:fldCharType="begin"/>
        </w:r>
        <w:r>
          <w:instrText xml:space="preserve"> PAGEREF _Toc16240 \h </w:instrText>
        </w:r>
        <w:r>
          <w:fldChar w:fldCharType="separate"/>
        </w:r>
        <w:r>
          <w:t>27</w:t>
        </w:r>
        <w:r>
          <w:fldChar w:fldCharType="end"/>
        </w:r>
      </w:hyperlink>
    </w:p>
    <w:p>
      <w:pPr>
        <w:pStyle w:val="TOC1"/>
        <w:tabs>
          <w:tab w:val="right" w:leader="dot" w:pos="8306"/>
        </w:tabs>
      </w:pPr>
      <w:hyperlink w:anchor="_Toc15340" w:history="1">
        <w:r>
          <w:rPr>
            <w:rFonts w:ascii="仿宋" w:eastAsia="仿宋" w:hAnsi="仿宋" w:cs="仿宋" w:hint="eastAsia"/>
            <w:lang w:eastAsia="zh-CN"/>
          </w:rPr>
          <w:t>六、危机管理与应急预案</w:t>
        </w:r>
        <w:r>
          <w:tab/>
        </w:r>
        <w:r>
          <w:fldChar w:fldCharType="begin"/>
        </w:r>
        <w:r>
          <w:instrText xml:space="preserve"> PAGEREF _Toc15340 \h </w:instrText>
        </w:r>
        <w:r>
          <w:fldChar w:fldCharType="separate"/>
        </w:r>
        <w:r>
          <w:t>29</w:t>
        </w:r>
        <w:r>
          <w:fldChar w:fldCharType="end"/>
        </w:r>
      </w:hyperlink>
    </w:p>
    <w:p>
      <w:pPr>
        <w:pStyle w:val="TOC2"/>
        <w:tabs>
          <w:tab w:val="right" w:leader="dot" w:pos="8306"/>
        </w:tabs>
      </w:pPr>
      <w:hyperlink w:anchor="_Toc25679" w:history="1">
        <w:r>
          <w:rPr>
            <w:rFonts w:ascii="仿宋" w:eastAsia="仿宋" w:hAnsi="仿宋" w:cs="仿宋" w:hint="eastAsia"/>
            <w:lang w:eastAsia="zh-CN"/>
          </w:rPr>
          <w:t>(一)、危机预警与监测</w:t>
        </w:r>
        <w:r>
          <w:tab/>
        </w:r>
        <w:r>
          <w:fldChar w:fldCharType="begin"/>
        </w:r>
        <w:r>
          <w:instrText xml:space="preserve"> PAGEREF _Toc25679 \h </w:instrText>
        </w:r>
        <w:r>
          <w:fldChar w:fldCharType="separate"/>
        </w:r>
        <w:r>
          <w:t>29</w:t>
        </w:r>
        <w:r>
          <w:fldChar w:fldCharType="end"/>
        </w:r>
      </w:hyperlink>
    </w:p>
    <w:p>
      <w:pPr>
        <w:pStyle w:val="TOC2"/>
        <w:tabs>
          <w:tab w:val="right" w:leader="dot" w:pos="8306"/>
        </w:tabs>
      </w:pPr>
      <w:hyperlink w:anchor="_Toc23755" w:history="1">
        <w:r>
          <w:rPr>
            <w:rFonts w:ascii="仿宋" w:eastAsia="仿宋" w:hAnsi="仿宋" w:cs="仿宋" w:hint="eastAsia"/>
            <w:lang w:eastAsia="zh-CN"/>
          </w:rPr>
          <w:t>(二)、应急预案与危机响应</w:t>
        </w:r>
        <w:r>
          <w:tab/>
        </w:r>
        <w:r>
          <w:fldChar w:fldCharType="begin"/>
        </w:r>
        <w:r>
          <w:instrText xml:space="preserve"> PAGEREF _Toc23755 \h </w:instrText>
        </w:r>
        <w:r>
          <w:fldChar w:fldCharType="separate"/>
        </w:r>
        <w:r>
          <w:t>31</w:t>
        </w:r>
        <w:r>
          <w:fldChar w:fldCharType="end"/>
        </w:r>
      </w:hyperlink>
    </w:p>
    <w:p>
      <w:pPr>
        <w:pStyle w:val="TOC2"/>
        <w:tabs>
          <w:tab w:val="right" w:leader="dot" w:pos="8306"/>
        </w:tabs>
      </w:pPr>
      <w:hyperlink w:anchor="_Toc31961" w:history="1">
        <w:r>
          <w:rPr>
            <w:rFonts w:ascii="仿宋" w:eastAsia="仿宋" w:hAnsi="仿宋" w:cs="仿宋" w:hint="eastAsia"/>
            <w:lang w:eastAsia="zh-CN"/>
          </w:rPr>
          <w:t>(三)、危机沟通与舆情控制</w:t>
        </w:r>
        <w:r>
          <w:tab/>
        </w:r>
        <w:r>
          <w:fldChar w:fldCharType="begin"/>
        </w:r>
        <w:r>
          <w:instrText xml:space="preserve"> PAGEREF _Toc31961 \h </w:instrText>
        </w:r>
        <w:r>
          <w:fldChar w:fldCharType="separate"/>
        </w:r>
        <w:r>
          <w:t>33</w:t>
        </w:r>
        <w:r>
          <w:fldChar w:fldCharType="end"/>
        </w:r>
      </w:hyperlink>
    </w:p>
    <w:p>
      <w:pPr>
        <w:pStyle w:val="TOC2"/>
        <w:tabs>
          <w:tab w:val="right" w:leader="dot" w:pos="8306"/>
        </w:tabs>
      </w:pPr>
      <w:hyperlink w:anchor="_Toc9434" w:history="1">
        <w:r>
          <w:rPr>
            <w:rFonts w:ascii="仿宋" w:eastAsia="仿宋" w:hAnsi="仿宋" w:cs="仿宋" w:hint="eastAsia"/>
            <w:lang w:eastAsia="zh-CN"/>
          </w:rPr>
          <w:t>(四)、危机后教训与改进</w:t>
        </w:r>
        <w:r>
          <w:tab/>
        </w:r>
        <w:r>
          <w:fldChar w:fldCharType="begin"/>
        </w:r>
        <w:r>
          <w:instrText xml:space="preserve"> PAGEREF _Toc9434 \h </w:instrText>
        </w:r>
        <w:r>
          <w:fldChar w:fldCharType="separate"/>
        </w:r>
        <w:r>
          <w:t>35</w:t>
        </w:r>
        <w:r>
          <w:fldChar w:fldCharType="end"/>
        </w:r>
      </w:hyperlink>
    </w:p>
    <w:p>
      <w:pPr>
        <w:pStyle w:val="TOC1"/>
        <w:tabs>
          <w:tab w:val="right" w:leader="dot" w:pos="8306"/>
        </w:tabs>
      </w:pPr>
      <w:hyperlink w:anchor="_Toc26180" w:history="1">
        <w:r>
          <w:rPr>
            <w:rFonts w:ascii="仿宋" w:eastAsia="仿宋" w:hAnsi="仿宋" w:cs="仿宋" w:hint="eastAsia"/>
            <w:lang w:eastAsia="zh-CN"/>
          </w:rPr>
          <w:t>七、员工福利与企业文化</w:t>
        </w:r>
        <w:r>
          <w:tab/>
        </w:r>
        <w:r>
          <w:fldChar w:fldCharType="begin"/>
        </w:r>
        <w:r>
          <w:instrText xml:space="preserve"> PAGEREF _Toc26180 \h </w:instrText>
        </w:r>
        <w:r>
          <w:fldChar w:fldCharType="separate"/>
        </w:r>
        <w:r>
          <w:t>36</w:t>
        </w:r>
        <w:r>
          <w:fldChar w:fldCharType="end"/>
        </w:r>
      </w:hyperlink>
    </w:p>
    <w:p>
      <w:pPr>
        <w:pStyle w:val="TOC2"/>
        <w:tabs>
          <w:tab w:val="right" w:leader="dot" w:pos="8306"/>
        </w:tabs>
      </w:pPr>
      <w:hyperlink w:anchor="_Toc16368" w:history="1">
        <w:r>
          <w:rPr>
            <w:rFonts w:ascii="仿宋" w:eastAsia="仿宋" w:hAnsi="仿宋" w:cs="仿宋" w:hint="eastAsia"/>
            <w:lang w:eastAsia="zh-CN"/>
          </w:rPr>
          <w:t>(一)、员工福利政策</w:t>
        </w:r>
        <w:r>
          <w:tab/>
        </w:r>
        <w:r>
          <w:fldChar w:fldCharType="begin"/>
        </w:r>
        <w:r>
          <w:instrText xml:space="preserve"> PAGEREF _Toc16368 \h </w:instrText>
        </w:r>
        <w:r>
          <w:fldChar w:fldCharType="separate"/>
        </w:r>
        <w:r>
          <w:t>36</w:t>
        </w:r>
        <w:r>
          <w:fldChar w:fldCharType="end"/>
        </w:r>
      </w:hyperlink>
    </w:p>
    <w:p>
      <w:pPr>
        <w:pStyle w:val="TOC2"/>
        <w:tabs>
          <w:tab w:val="right" w:leader="dot" w:pos="8306"/>
        </w:tabs>
      </w:pPr>
      <w:hyperlink w:anchor="_Toc15007" w:history="1">
        <w:r>
          <w:rPr>
            <w:rFonts w:ascii="仿宋" w:eastAsia="仿宋" w:hAnsi="仿宋" w:cs="仿宋" w:hint="eastAsia"/>
            <w:lang w:eastAsia="zh-CN"/>
          </w:rPr>
          <w:t>(二)、团队建设与员工培训</w:t>
        </w:r>
        <w:r>
          <w:tab/>
        </w:r>
        <w:r>
          <w:fldChar w:fldCharType="begin"/>
        </w:r>
        <w:r>
          <w:instrText xml:space="preserve"> PAGEREF _Toc15007 \h </w:instrText>
        </w:r>
        <w:r>
          <w:fldChar w:fldCharType="separate"/>
        </w:r>
        <w:r>
          <w:t>38</w:t>
        </w:r>
        <w:r>
          <w:fldChar w:fldCharType="end"/>
        </w:r>
      </w:hyperlink>
    </w:p>
    <w:p>
      <w:pPr>
        <w:pStyle w:val="TOC2"/>
        <w:tabs>
          <w:tab w:val="right" w:leader="dot" w:pos="8306"/>
        </w:tabs>
      </w:pPr>
      <w:hyperlink w:anchor="_Toc20265" w:history="1">
        <w:r>
          <w:rPr>
            <w:rFonts w:ascii="仿宋" w:eastAsia="仿宋" w:hAnsi="仿宋" w:cs="仿宋" w:hint="eastAsia"/>
            <w:lang w:eastAsia="zh-CN"/>
          </w:rPr>
          <w:t>(三)、企业文化建设</w:t>
        </w:r>
        <w:r>
          <w:tab/>
        </w:r>
        <w:r>
          <w:fldChar w:fldCharType="begin"/>
        </w:r>
        <w:r>
          <w:instrText xml:space="preserve"> PAGEREF _Toc20265 \h </w:instrText>
        </w:r>
        <w:r>
          <w:fldChar w:fldCharType="separate"/>
        </w:r>
        <w:r>
          <w:t>40</w:t>
        </w:r>
        <w:r>
          <w:fldChar w:fldCharType="end"/>
        </w:r>
      </w:hyperlink>
    </w:p>
    <w:p>
      <w:pPr>
        <w:pStyle w:val="TOC2"/>
        <w:tabs>
          <w:tab w:val="right" w:leader="dot" w:pos="8306"/>
        </w:tabs>
      </w:pPr>
      <w:hyperlink w:anchor="_Toc28856" w:history="1">
        <w:r>
          <w:rPr>
            <w:rFonts w:ascii="仿宋" w:eastAsia="仿宋" w:hAnsi="仿宋" w:cs="仿宋" w:hint="eastAsia"/>
            <w:lang w:eastAsia="zh-CN"/>
          </w:rPr>
          <w:t>(四)、员工健康与工作平衡</w:t>
        </w:r>
        <w:r>
          <w:tab/>
        </w:r>
        <w:r>
          <w:fldChar w:fldCharType="begin"/>
        </w:r>
        <w:r>
          <w:instrText xml:space="preserve"> PAGEREF _Toc28856 \h </w:instrText>
        </w:r>
        <w:r>
          <w:fldChar w:fldCharType="separate"/>
        </w:r>
        <w:r>
          <w:t>41</w:t>
        </w:r>
        <w:r>
          <w:fldChar w:fldCharType="end"/>
        </w:r>
      </w:hyperlink>
    </w:p>
    <w:p>
      <w:pPr>
        <w:pStyle w:val="TOC1"/>
        <w:tabs>
          <w:tab w:val="right" w:leader="dot" w:pos="8306"/>
        </w:tabs>
      </w:pPr>
      <w:hyperlink w:anchor="_Toc26550" w:history="1">
        <w:r>
          <w:rPr>
            <w:rFonts w:ascii="仿宋" w:eastAsia="仿宋" w:hAnsi="仿宋" w:cs="仿宋" w:hint="eastAsia"/>
            <w:lang w:eastAsia="zh-CN"/>
          </w:rPr>
          <w:t>八、养老服务项目实施进度计划</w:t>
        </w:r>
        <w:r>
          <w:tab/>
        </w:r>
        <w:r>
          <w:fldChar w:fldCharType="begin"/>
        </w:r>
        <w:r>
          <w:instrText xml:space="preserve"> PAGEREF _Toc26550 \h </w:instrText>
        </w:r>
        <w:r>
          <w:fldChar w:fldCharType="separate"/>
        </w:r>
        <w:r>
          <w:t>43</w:t>
        </w:r>
        <w:r>
          <w:fldChar w:fldCharType="end"/>
        </w:r>
      </w:hyperlink>
    </w:p>
    <w:p>
      <w:pPr>
        <w:pStyle w:val="TOC2"/>
        <w:tabs>
          <w:tab w:val="right" w:leader="dot" w:pos="8306"/>
        </w:tabs>
      </w:pPr>
      <w:hyperlink w:anchor="_Toc17453" w:history="1">
        <w:r>
          <w:rPr>
            <w:rFonts w:ascii="仿宋" w:eastAsia="仿宋" w:hAnsi="仿宋" w:cs="仿宋" w:hint="eastAsia"/>
            <w:lang w:eastAsia="zh-CN"/>
          </w:rPr>
          <w:t>(一)、建设周期</w:t>
        </w:r>
        <w:r>
          <w:tab/>
        </w:r>
        <w:r>
          <w:fldChar w:fldCharType="begin"/>
        </w:r>
        <w:r>
          <w:instrText xml:space="preserve"> PAGEREF _Toc17453 \h </w:instrText>
        </w:r>
        <w:r>
          <w:fldChar w:fldCharType="separate"/>
        </w:r>
        <w:r>
          <w:t>43</w:t>
        </w:r>
        <w:r>
          <w:fldChar w:fldCharType="end"/>
        </w:r>
      </w:hyperlink>
    </w:p>
    <w:p>
      <w:pPr>
        <w:pStyle w:val="TOC2"/>
        <w:tabs>
          <w:tab w:val="right" w:leader="dot" w:pos="8306"/>
        </w:tabs>
      </w:pPr>
      <w:hyperlink w:anchor="_Toc11557" w:history="1">
        <w:r>
          <w:rPr>
            <w:rFonts w:ascii="仿宋" w:eastAsia="仿宋" w:hAnsi="仿宋" w:cs="仿宋" w:hint="eastAsia"/>
            <w:lang w:eastAsia="zh-CN"/>
          </w:rPr>
          <w:t>(二)、建设进度</w:t>
        </w:r>
        <w:r>
          <w:tab/>
        </w:r>
        <w:r>
          <w:fldChar w:fldCharType="begin"/>
        </w:r>
        <w:r>
          <w:instrText xml:space="preserve"> PAGEREF _Toc11557 \h </w:instrText>
        </w:r>
        <w:r>
          <w:fldChar w:fldCharType="separate"/>
        </w:r>
        <w:r>
          <w:t>45</w:t>
        </w:r>
        <w:r>
          <w:fldChar w:fldCharType="end"/>
        </w:r>
      </w:hyperlink>
    </w:p>
    <w:p>
      <w:pPr>
        <w:pStyle w:val="TOC2"/>
        <w:tabs>
          <w:tab w:val="right" w:leader="dot" w:pos="8306"/>
        </w:tabs>
      </w:pPr>
      <w:hyperlink w:anchor="_Toc28438" w:history="1">
        <w:r>
          <w:rPr>
            <w:rFonts w:ascii="仿宋" w:eastAsia="仿宋" w:hAnsi="仿宋" w:cs="仿宋" w:hint="eastAsia"/>
            <w:lang w:eastAsia="zh-CN"/>
          </w:rPr>
          <w:t>(三)、进度安排注意事项</w:t>
        </w:r>
        <w:r>
          <w:tab/>
        </w:r>
        <w:r>
          <w:fldChar w:fldCharType="begin"/>
        </w:r>
        <w:r>
          <w:instrText xml:space="preserve"> PAGEREF _Toc28438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5" w:history="1">
        <w:r>
          <w:rPr>
            <w:rFonts w:ascii="仿宋" w:eastAsia="仿宋" w:hAnsi="仿宋" w:cs="仿宋" w:hint="eastAsia"/>
            <w:lang w:eastAsia="zh-CN"/>
          </w:rPr>
          <w:t>(四)、人力资源配置</w:t>
        </w:r>
        <w:r>
          <w:tab/>
        </w:r>
        <w:r>
          <w:fldChar w:fldCharType="begin"/>
        </w:r>
        <w:r>
          <w:instrText xml:space="preserve"> PAGEREF _Toc2795 \h </w:instrText>
        </w:r>
        <w:r>
          <w:fldChar w:fldCharType="separate"/>
        </w:r>
        <w:r>
          <w:t>47</w:t>
        </w:r>
        <w:r>
          <w:fldChar w:fldCharType="end"/>
        </w:r>
      </w:hyperlink>
    </w:p>
    <w:p>
      <w:pPr>
        <w:pStyle w:val="TOC2"/>
        <w:tabs>
          <w:tab w:val="right" w:leader="dot" w:pos="8306"/>
        </w:tabs>
      </w:pPr>
      <w:hyperlink w:anchor="_Toc18918" w:history="1">
        <w:r>
          <w:rPr>
            <w:rFonts w:ascii="仿宋" w:eastAsia="仿宋" w:hAnsi="仿宋" w:cs="仿宋" w:hint="eastAsia"/>
            <w:lang w:eastAsia="zh-CN"/>
          </w:rPr>
          <w:t>(五)、员工培训</w:t>
        </w:r>
        <w:r>
          <w:tab/>
        </w:r>
        <w:r>
          <w:fldChar w:fldCharType="begin"/>
        </w:r>
        <w:r>
          <w:instrText xml:space="preserve"> PAGEREF _Toc18918 \h </w:instrText>
        </w:r>
        <w:r>
          <w:fldChar w:fldCharType="separate"/>
        </w:r>
        <w:r>
          <w:t>49</w:t>
        </w:r>
        <w:r>
          <w:fldChar w:fldCharType="end"/>
        </w:r>
      </w:hyperlink>
    </w:p>
    <w:p>
      <w:pPr>
        <w:pStyle w:val="TOC2"/>
        <w:tabs>
          <w:tab w:val="right" w:leader="dot" w:pos="8306"/>
        </w:tabs>
      </w:pPr>
      <w:hyperlink w:anchor="_Toc28468" w:history="1">
        <w:r>
          <w:rPr>
            <w:rFonts w:ascii="仿宋" w:eastAsia="仿宋" w:hAnsi="仿宋" w:cs="仿宋" w:hint="eastAsia"/>
            <w:lang w:eastAsia="zh-CN"/>
          </w:rPr>
          <w:t>(六)、养老服务项目实施保障</w:t>
        </w:r>
        <w:r>
          <w:tab/>
        </w:r>
        <w:r>
          <w:fldChar w:fldCharType="begin"/>
        </w:r>
        <w:r>
          <w:instrText xml:space="preserve"> PAGEREF _Toc28468 \h </w:instrText>
        </w:r>
        <w:r>
          <w:fldChar w:fldCharType="separate"/>
        </w:r>
        <w:r>
          <w:t>50</w:t>
        </w:r>
        <w:r>
          <w:fldChar w:fldCharType="end"/>
        </w:r>
      </w:hyperlink>
    </w:p>
    <w:p>
      <w:pPr>
        <w:pStyle w:val="TOC1"/>
        <w:tabs>
          <w:tab w:val="right" w:leader="dot" w:pos="8306"/>
        </w:tabs>
      </w:pPr>
      <w:hyperlink w:anchor="_Toc19321" w:history="1">
        <w:r>
          <w:rPr>
            <w:rFonts w:ascii="仿宋" w:eastAsia="仿宋" w:hAnsi="仿宋" w:cs="仿宋" w:hint="eastAsia"/>
            <w:lang w:eastAsia="zh-CN"/>
          </w:rPr>
          <w:t>九、法律与合规性</w:t>
        </w:r>
        <w:r>
          <w:tab/>
        </w:r>
        <w:r>
          <w:fldChar w:fldCharType="begin"/>
        </w:r>
        <w:r>
          <w:instrText xml:space="preserve"> PAGEREF _Toc19321 \h </w:instrText>
        </w:r>
        <w:r>
          <w:fldChar w:fldCharType="separate"/>
        </w:r>
        <w:r>
          <w:t>52</w:t>
        </w:r>
        <w:r>
          <w:fldChar w:fldCharType="end"/>
        </w:r>
      </w:hyperlink>
    </w:p>
    <w:p>
      <w:pPr>
        <w:pStyle w:val="TOC2"/>
        <w:tabs>
          <w:tab w:val="right" w:leader="dot" w:pos="8306"/>
        </w:tabs>
      </w:pPr>
      <w:hyperlink w:anchor="_Toc14666" w:history="1">
        <w:r>
          <w:rPr>
            <w:rFonts w:ascii="仿宋" w:eastAsia="仿宋" w:hAnsi="仿宋" w:cs="仿宋" w:hint="eastAsia"/>
            <w:lang w:eastAsia="zh-CN"/>
          </w:rPr>
          <w:t>(一)、相关法律法规概述</w:t>
        </w:r>
        <w:r>
          <w:tab/>
        </w:r>
        <w:r>
          <w:fldChar w:fldCharType="begin"/>
        </w:r>
        <w:r>
          <w:instrText xml:space="preserve"> PAGEREF _Toc14666 \h </w:instrText>
        </w:r>
        <w:r>
          <w:fldChar w:fldCharType="separate"/>
        </w:r>
        <w:r>
          <w:t>52</w:t>
        </w:r>
        <w:r>
          <w:fldChar w:fldCharType="end"/>
        </w:r>
      </w:hyperlink>
    </w:p>
    <w:p>
      <w:pPr>
        <w:pStyle w:val="TOC2"/>
        <w:tabs>
          <w:tab w:val="right" w:leader="dot" w:pos="8306"/>
        </w:tabs>
      </w:pPr>
      <w:hyperlink w:anchor="_Toc29288" w:history="1">
        <w:r>
          <w:rPr>
            <w:rFonts w:ascii="仿宋" w:eastAsia="仿宋" w:hAnsi="仿宋" w:cs="仿宋" w:hint="eastAsia"/>
            <w:lang w:eastAsia="zh-CN"/>
          </w:rPr>
          <w:t>(二)、养老服务项目合同管理</w:t>
        </w:r>
        <w:r>
          <w:tab/>
        </w:r>
        <w:r>
          <w:fldChar w:fldCharType="begin"/>
        </w:r>
        <w:r>
          <w:instrText xml:space="preserve"> PAGEREF _Toc29288 \h </w:instrText>
        </w:r>
        <w:r>
          <w:fldChar w:fldCharType="separate"/>
        </w:r>
        <w:r>
          <w:t>54</w:t>
        </w:r>
        <w:r>
          <w:fldChar w:fldCharType="end"/>
        </w:r>
      </w:hyperlink>
    </w:p>
    <w:p>
      <w:pPr>
        <w:pStyle w:val="TOC2"/>
        <w:tabs>
          <w:tab w:val="right" w:leader="dot" w:pos="8306"/>
        </w:tabs>
      </w:pPr>
      <w:hyperlink w:anchor="_Toc24588" w:history="1">
        <w:r>
          <w:rPr>
            <w:rFonts w:ascii="仿宋" w:eastAsia="仿宋" w:hAnsi="仿宋" w:cs="仿宋" w:hint="eastAsia"/>
            <w:lang w:eastAsia="zh-CN"/>
          </w:rPr>
          <w:t>(三)、知识产权保护</w:t>
        </w:r>
        <w:r>
          <w:tab/>
        </w:r>
        <w:r>
          <w:fldChar w:fldCharType="begin"/>
        </w:r>
        <w:r>
          <w:instrText xml:space="preserve"> PAGEREF _Toc24588 \h </w:instrText>
        </w:r>
        <w:r>
          <w:fldChar w:fldCharType="separate"/>
        </w:r>
        <w:r>
          <w:t>55</w:t>
        </w:r>
        <w:r>
          <w:fldChar w:fldCharType="end"/>
        </w:r>
      </w:hyperlink>
    </w:p>
    <w:p>
      <w:pPr>
        <w:pStyle w:val="TOC2"/>
        <w:tabs>
          <w:tab w:val="right" w:leader="dot" w:pos="8306"/>
        </w:tabs>
      </w:pPr>
      <w:hyperlink w:anchor="_Toc10773" w:history="1">
        <w:r>
          <w:rPr>
            <w:rFonts w:ascii="仿宋" w:eastAsia="仿宋" w:hAnsi="仿宋" w:cs="仿宋" w:hint="eastAsia"/>
            <w:lang w:eastAsia="zh-CN"/>
          </w:rPr>
          <w:t>(四)、劳动法规与员工权益</w:t>
        </w:r>
        <w:r>
          <w:tab/>
        </w:r>
        <w:r>
          <w:fldChar w:fldCharType="begin"/>
        </w:r>
        <w:r>
          <w:instrText xml:space="preserve"> PAGEREF _Toc10773 \h </w:instrText>
        </w:r>
        <w:r>
          <w:fldChar w:fldCharType="separate"/>
        </w:r>
        <w:r>
          <w:t>57</w:t>
        </w:r>
        <w:r>
          <w:fldChar w:fldCharType="end"/>
        </w:r>
      </w:hyperlink>
    </w:p>
    <w:p>
      <w:pPr>
        <w:pStyle w:val="TOC2"/>
        <w:tabs>
          <w:tab w:val="right" w:leader="dot" w:pos="8306"/>
        </w:tabs>
      </w:pPr>
      <w:hyperlink w:anchor="_Toc14671" w:history="1">
        <w:r>
          <w:rPr>
            <w:rFonts w:ascii="仿宋" w:eastAsia="仿宋" w:hAnsi="仿宋" w:cs="仿宋" w:hint="eastAsia"/>
            <w:lang w:eastAsia="zh-CN"/>
          </w:rPr>
          <w:t>(五)、环境保护法规遵循</w:t>
        </w:r>
        <w:r>
          <w:tab/>
        </w:r>
        <w:r>
          <w:fldChar w:fldCharType="begin"/>
        </w:r>
        <w:r>
          <w:instrText xml:space="preserve"> PAGEREF _Toc14671 \h </w:instrText>
        </w:r>
        <w:r>
          <w:fldChar w:fldCharType="separate"/>
        </w:r>
        <w:r>
          <w:t>58</w:t>
        </w:r>
        <w:r>
          <w:fldChar w:fldCharType="end"/>
        </w:r>
      </w:hyperlink>
    </w:p>
    <w:p>
      <w:pPr>
        <w:pStyle w:val="TOC1"/>
        <w:tabs>
          <w:tab w:val="right" w:leader="dot" w:pos="8306"/>
        </w:tabs>
      </w:pPr>
      <w:hyperlink w:anchor="_Toc4370" w:history="1">
        <w:r>
          <w:rPr>
            <w:rFonts w:ascii="仿宋" w:eastAsia="仿宋" w:hAnsi="仿宋" w:cs="仿宋" w:hint="eastAsia"/>
            <w:lang w:eastAsia="zh-CN"/>
          </w:rPr>
          <w:t>十、风险管理与应对策略</w:t>
        </w:r>
        <w:r>
          <w:tab/>
        </w:r>
        <w:r>
          <w:fldChar w:fldCharType="begin"/>
        </w:r>
        <w:r>
          <w:instrText xml:space="preserve"> PAGEREF _Toc4370 \h </w:instrText>
        </w:r>
        <w:r>
          <w:fldChar w:fldCharType="separate"/>
        </w:r>
        <w:r>
          <w:t>60</w:t>
        </w:r>
        <w:r>
          <w:fldChar w:fldCharType="end"/>
        </w:r>
      </w:hyperlink>
    </w:p>
    <w:p>
      <w:pPr>
        <w:pStyle w:val="TOC2"/>
        <w:tabs>
          <w:tab w:val="right" w:leader="dot" w:pos="8306"/>
        </w:tabs>
      </w:pPr>
      <w:hyperlink w:anchor="_Toc20771" w:history="1">
        <w:r>
          <w:rPr>
            <w:rFonts w:ascii="仿宋" w:eastAsia="仿宋" w:hAnsi="仿宋" w:cs="仿宋" w:hint="eastAsia"/>
            <w:lang w:eastAsia="zh-CN"/>
          </w:rPr>
          <w:t>(一)、风险管理流程</w:t>
        </w:r>
        <w:r>
          <w:tab/>
        </w:r>
        <w:r>
          <w:fldChar w:fldCharType="begin"/>
        </w:r>
        <w:r>
          <w:instrText xml:space="preserve"> PAGEREF _Toc20771 \h </w:instrText>
        </w:r>
        <w:r>
          <w:fldChar w:fldCharType="separate"/>
        </w:r>
        <w:r>
          <w:t>60</w:t>
        </w:r>
        <w:r>
          <w:fldChar w:fldCharType="end"/>
        </w:r>
      </w:hyperlink>
    </w:p>
    <w:p>
      <w:pPr>
        <w:pStyle w:val="TOC2"/>
        <w:tabs>
          <w:tab w:val="right" w:leader="dot" w:pos="8306"/>
        </w:tabs>
      </w:pPr>
      <w:hyperlink w:anchor="_Toc29651" w:history="1">
        <w:r>
          <w:rPr>
            <w:rFonts w:ascii="仿宋" w:eastAsia="仿宋" w:hAnsi="仿宋" w:cs="仿宋" w:hint="eastAsia"/>
            <w:lang w:eastAsia="zh-CN"/>
          </w:rPr>
          <w:t>(二)、风险识别与评估</w:t>
        </w:r>
        <w:r>
          <w:tab/>
        </w:r>
        <w:r>
          <w:fldChar w:fldCharType="begin"/>
        </w:r>
        <w:r>
          <w:instrText xml:space="preserve"> PAGEREF _Toc29651 \h </w:instrText>
        </w:r>
        <w:r>
          <w:fldChar w:fldCharType="separate"/>
        </w:r>
        <w:r>
          <w:t>63</w:t>
        </w:r>
        <w:r>
          <w:fldChar w:fldCharType="end"/>
        </w:r>
      </w:hyperlink>
    </w:p>
    <w:p>
      <w:pPr>
        <w:pStyle w:val="TOC2"/>
        <w:tabs>
          <w:tab w:val="right" w:leader="dot" w:pos="8306"/>
        </w:tabs>
      </w:pPr>
      <w:hyperlink w:anchor="_Toc30794" w:history="1">
        <w:r>
          <w:rPr>
            <w:rFonts w:ascii="仿宋" w:eastAsia="仿宋" w:hAnsi="仿宋" w:cs="仿宋" w:hint="eastAsia"/>
            <w:lang w:eastAsia="zh-CN"/>
          </w:rPr>
          <w:t>(三)、风险控制与应对策略</w:t>
        </w:r>
        <w:r>
          <w:tab/>
        </w:r>
        <w:r>
          <w:fldChar w:fldCharType="begin"/>
        </w:r>
        <w:r>
          <w:instrText xml:space="preserve"> PAGEREF _Toc30794 \h </w:instrText>
        </w:r>
        <w:r>
          <w:fldChar w:fldCharType="separate"/>
        </w:r>
        <w:r>
          <w:t>65</w:t>
        </w:r>
        <w:r>
          <w:fldChar w:fldCharType="end"/>
        </w:r>
      </w:hyperlink>
    </w:p>
    <w:p>
      <w:pPr>
        <w:pStyle w:val="TOC2"/>
        <w:tabs>
          <w:tab w:val="right" w:leader="dot" w:pos="8306"/>
        </w:tabs>
      </w:pPr>
      <w:hyperlink w:anchor="_Toc9668" w:history="1">
        <w:r>
          <w:rPr>
            <w:rFonts w:ascii="仿宋" w:eastAsia="仿宋" w:hAnsi="仿宋" w:cs="仿宋" w:hint="eastAsia"/>
            <w:lang w:eastAsia="zh-CN"/>
          </w:rPr>
          <w:t>(四)、危机管理与应急预案</w:t>
        </w:r>
        <w:r>
          <w:tab/>
        </w:r>
        <w:r>
          <w:fldChar w:fldCharType="begin"/>
        </w:r>
        <w:r>
          <w:instrText xml:space="preserve"> PAGEREF _Toc9668 \h </w:instrText>
        </w:r>
        <w:r>
          <w:fldChar w:fldCharType="separate"/>
        </w:r>
        <w:r>
          <w:t>67</w:t>
        </w:r>
        <w:r>
          <w:fldChar w:fldCharType="end"/>
        </w:r>
      </w:hyperlink>
    </w:p>
    <w:p>
      <w:pPr>
        <w:pStyle w:val="TOC1"/>
        <w:tabs>
          <w:tab w:val="right" w:leader="dot" w:pos="8306"/>
        </w:tabs>
      </w:pPr>
      <w:hyperlink w:anchor="_Toc11111" w:history="1">
        <w:r>
          <w:rPr>
            <w:rFonts w:ascii="仿宋" w:eastAsia="仿宋" w:hAnsi="仿宋" w:cs="仿宋" w:hint="eastAsia"/>
            <w:lang w:eastAsia="zh-CN"/>
          </w:rPr>
          <w:t>十一、市场趋势与竞争分析</w:t>
        </w:r>
        <w:r>
          <w:tab/>
        </w:r>
        <w:r>
          <w:fldChar w:fldCharType="begin"/>
        </w:r>
        <w:r>
          <w:instrText xml:space="preserve"> PAGEREF _Toc11111 \h </w:instrText>
        </w:r>
        <w:r>
          <w:fldChar w:fldCharType="separate"/>
        </w:r>
        <w:r>
          <w:t>69</w:t>
        </w:r>
        <w:r>
          <w:fldChar w:fldCharType="end"/>
        </w:r>
      </w:hyperlink>
    </w:p>
    <w:p>
      <w:pPr>
        <w:pStyle w:val="TOC2"/>
        <w:tabs>
          <w:tab w:val="right" w:leader="dot" w:pos="8306"/>
        </w:tabs>
      </w:pPr>
      <w:hyperlink w:anchor="_Toc29755" w:history="1">
        <w:r>
          <w:rPr>
            <w:rFonts w:ascii="仿宋" w:eastAsia="仿宋" w:hAnsi="仿宋" w:cs="仿宋" w:hint="eastAsia"/>
            <w:lang w:eastAsia="zh-CN"/>
          </w:rPr>
          <w:t>(一)、行业市场趋势分析</w:t>
        </w:r>
        <w:r>
          <w:tab/>
        </w:r>
        <w:r>
          <w:fldChar w:fldCharType="begin"/>
        </w:r>
        <w:r>
          <w:instrText xml:space="preserve"> PAGEREF _Toc29755 \h </w:instrText>
        </w:r>
        <w:r>
          <w:fldChar w:fldCharType="separate"/>
        </w:r>
        <w:r>
          <w:t>69</w:t>
        </w:r>
        <w:r>
          <w:fldChar w:fldCharType="end"/>
        </w:r>
      </w:hyperlink>
    </w:p>
    <w:p>
      <w:pPr>
        <w:pStyle w:val="TOC2"/>
        <w:tabs>
          <w:tab w:val="right" w:leader="dot" w:pos="8306"/>
        </w:tabs>
      </w:pPr>
      <w:hyperlink w:anchor="_Toc16563" w:history="1">
        <w:r>
          <w:rPr>
            <w:rFonts w:ascii="仿宋" w:eastAsia="仿宋" w:hAnsi="仿宋" w:cs="仿宋" w:hint="eastAsia"/>
            <w:lang w:eastAsia="zh-CN"/>
          </w:rPr>
          <w:t>(二)、竞争对手动态监测</w:t>
        </w:r>
        <w:r>
          <w:tab/>
        </w:r>
        <w:r>
          <w:fldChar w:fldCharType="begin"/>
        </w:r>
        <w:r>
          <w:instrText xml:space="preserve"> PAGEREF _Toc16563 \h </w:instrText>
        </w:r>
        <w:r>
          <w:fldChar w:fldCharType="separate"/>
        </w:r>
        <w:r>
          <w:t>71</w:t>
        </w:r>
        <w:r>
          <w:fldChar w:fldCharType="end"/>
        </w:r>
      </w:hyperlink>
    </w:p>
    <w:p>
      <w:pPr>
        <w:pStyle w:val="TOC2"/>
        <w:tabs>
          <w:tab w:val="right" w:leader="dot" w:pos="8306"/>
        </w:tabs>
      </w:pPr>
      <w:hyperlink w:anchor="_Toc2533" w:history="1">
        <w:r>
          <w:rPr>
            <w:rFonts w:ascii="仿宋" w:eastAsia="仿宋" w:hAnsi="仿宋" w:cs="仿宋" w:hint="eastAsia"/>
            <w:lang w:eastAsia="zh-CN"/>
          </w:rPr>
          <w:t>(三)、新兴技术与创新趋势</w:t>
        </w:r>
        <w:r>
          <w:tab/>
        </w:r>
        <w:r>
          <w:fldChar w:fldCharType="begin"/>
        </w:r>
        <w:r>
          <w:instrText xml:space="preserve"> PAGEREF _Toc2533 \h </w:instrText>
        </w:r>
        <w:r>
          <w:fldChar w:fldCharType="separate"/>
        </w:r>
        <w:r>
          <w:t>73</w:t>
        </w:r>
        <w:r>
          <w:fldChar w:fldCharType="end"/>
        </w:r>
      </w:hyperlink>
    </w:p>
    <w:p>
      <w:pPr>
        <w:pStyle w:val="TOC2"/>
        <w:tabs>
          <w:tab w:val="right" w:leader="dot" w:pos="8306"/>
        </w:tabs>
      </w:pPr>
      <w:hyperlink w:anchor="_Toc30768" w:history="1">
        <w:r>
          <w:rPr>
            <w:rFonts w:ascii="仿宋" w:eastAsia="仿宋" w:hAnsi="仿宋" w:cs="仿宋" w:hint="eastAsia"/>
            <w:lang w:eastAsia="zh-CN"/>
          </w:rPr>
          <w:t>(四)、市场机会与威胁评估</w:t>
        </w:r>
        <w:r>
          <w:tab/>
        </w:r>
        <w:r>
          <w:fldChar w:fldCharType="begin"/>
        </w:r>
        <w:r>
          <w:instrText xml:space="preserve"> PAGEREF _Toc30768 \h </w:instrText>
        </w:r>
        <w:r>
          <w:fldChar w:fldCharType="separate"/>
        </w:r>
        <w:r>
          <w:t>75</w:t>
        </w:r>
        <w:r>
          <w:fldChar w:fldCharType="end"/>
        </w:r>
      </w:hyperlink>
    </w:p>
    <w:p>
      <w:pPr>
        <w:pStyle w:val="TOC1"/>
        <w:tabs>
          <w:tab w:val="right" w:leader="dot" w:pos="8306"/>
        </w:tabs>
      </w:pPr>
      <w:hyperlink w:anchor="_Toc3735" w:history="1">
        <w:r>
          <w:rPr>
            <w:rFonts w:ascii="仿宋" w:eastAsia="仿宋" w:hAnsi="仿宋" w:cs="仿宋" w:hint="eastAsia"/>
            <w:lang w:eastAsia="zh-CN"/>
          </w:rPr>
          <w:t>十二、养老服务项目监督与评估</w:t>
        </w:r>
        <w:r>
          <w:tab/>
        </w:r>
        <w:r>
          <w:fldChar w:fldCharType="begin"/>
        </w:r>
        <w:r>
          <w:instrText xml:space="preserve"> PAGEREF _Toc3735 \h </w:instrText>
        </w:r>
        <w:r>
          <w:fldChar w:fldCharType="separate"/>
        </w:r>
        <w:r>
          <w:t>77</w:t>
        </w:r>
        <w:r>
          <w:fldChar w:fldCharType="end"/>
        </w:r>
      </w:hyperlink>
    </w:p>
    <w:p>
      <w:pPr>
        <w:pStyle w:val="TOC2"/>
        <w:tabs>
          <w:tab w:val="right" w:leader="dot" w:pos="8306"/>
        </w:tabs>
      </w:pPr>
      <w:hyperlink w:anchor="_Toc10941" w:history="1">
        <w:r>
          <w:rPr>
            <w:rFonts w:ascii="仿宋" w:eastAsia="仿宋" w:hAnsi="仿宋" w:cs="仿宋" w:hint="eastAsia"/>
            <w:lang w:eastAsia="zh-CN"/>
          </w:rPr>
          <w:t>(一)、监督机构及职责</w:t>
        </w:r>
        <w:r>
          <w:tab/>
        </w:r>
        <w:r>
          <w:fldChar w:fldCharType="begin"/>
        </w:r>
        <w:r>
          <w:instrText xml:space="preserve"> PAGEREF _Toc10941 \h </w:instrText>
        </w:r>
        <w:r>
          <w:fldChar w:fldCharType="separate"/>
        </w:r>
        <w:r>
          <w:t>77</w:t>
        </w:r>
        <w:r>
          <w:fldChar w:fldCharType="end"/>
        </w:r>
      </w:hyperlink>
    </w:p>
    <w:p>
      <w:pPr>
        <w:pStyle w:val="TOC2"/>
        <w:tabs>
          <w:tab w:val="right" w:leader="dot" w:pos="8306"/>
        </w:tabs>
      </w:pPr>
      <w:hyperlink w:anchor="_Toc28331" w:history="1">
        <w:r>
          <w:rPr>
            <w:rFonts w:ascii="仿宋" w:eastAsia="仿宋" w:hAnsi="仿宋" w:cs="仿宋" w:hint="eastAsia"/>
            <w:lang w:eastAsia="zh-CN"/>
          </w:rPr>
          <w:t>(二)、监测与评估指标体系</w:t>
        </w:r>
        <w:r>
          <w:tab/>
        </w:r>
        <w:r>
          <w:fldChar w:fldCharType="begin"/>
        </w:r>
        <w:r>
          <w:instrText xml:space="preserve"> PAGEREF _Toc28331 \h </w:instrText>
        </w:r>
        <w:r>
          <w:fldChar w:fldCharType="separate"/>
        </w:r>
        <w:r>
          <w:t>79</w:t>
        </w:r>
        <w:r>
          <w:fldChar w:fldCharType="end"/>
        </w:r>
      </w:hyperlink>
    </w:p>
    <w:p>
      <w:pPr>
        <w:pStyle w:val="TOC2"/>
        <w:tabs>
          <w:tab w:val="right" w:leader="dot" w:pos="8306"/>
        </w:tabs>
      </w:pPr>
      <w:hyperlink w:anchor="_Toc30323" w:history="1">
        <w:r>
          <w:rPr>
            <w:rFonts w:ascii="仿宋" w:eastAsia="仿宋" w:hAnsi="仿宋" w:cs="仿宋" w:hint="eastAsia"/>
            <w:lang w:eastAsia="zh-CN"/>
          </w:rPr>
          <w:t>(三)、监督与评估周期</w:t>
        </w:r>
        <w:r>
          <w:tab/>
        </w:r>
        <w:r>
          <w:fldChar w:fldCharType="begin"/>
        </w:r>
        <w:r>
          <w:instrText xml:space="preserve"> PAGEREF _Toc30323 \h </w:instrText>
        </w:r>
        <w:r>
          <w:fldChar w:fldCharType="separate"/>
        </w:r>
        <w:r>
          <w:t>81</w:t>
        </w:r>
        <w:r>
          <w:fldChar w:fldCharType="end"/>
        </w:r>
      </w:hyperlink>
    </w:p>
    <w:p>
      <w:pPr>
        <w:pStyle w:val="TOC2"/>
        <w:tabs>
          <w:tab w:val="right" w:leader="dot" w:pos="8306"/>
        </w:tabs>
      </w:pPr>
      <w:hyperlink w:anchor="_Toc20053" w:history="1">
        <w:r>
          <w:rPr>
            <w:rFonts w:ascii="仿宋" w:eastAsia="仿宋" w:hAnsi="仿宋" w:cs="仿宋" w:hint="eastAsia"/>
            <w:lang w:eastAsia="zh-CN"/>
          </w:rPr>
          <w:t>(四)、监督与评估报告</w:t>
        </w:r>
        <w:r>
          <w:tab/>
        </w:r>
        <w:r>
          <w:fldChar w:fldCharType="begin"/>
        </w:r>
        <w:r>
          <w:instrText xml:space="preserve"> PAGEREF _Toc20053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养老服务项目管理已成为推动企业及组织持续创新的核心动力。本养老服务项目报告集中讨论了养老服务项目策划、实施与评估的关键环节，旨在通过系统分析和反思养老服务项目管理实践中的优势与不足，提升养老服务项目执行的有效性和效率。报告内容涵盖了养老服务项目的目标设定、资源配置、风险控制与成果交付等多个维度，为读者提供了一套完整的养老服务项目管理解决方案。需要强调的是，本报告仅用于学术研讨，不得用于商业目的，其内部详细资料和结论供学习交流使用，以促进养老服务项目管理领域的知识共享和专业发展。</w:t>
      </w:r>
    </w:p>
    <w:p>
      <w:pPr>
        <w:pStyle w:val="Heading1"/>
        <w:ind w:firstLine="560" w:firstLineChars="200"/>
        <w:rPr>
          <w:rFonts w:ascii="仿宋" w:eastAsia="仿宋" w:hAnsi="仿宋" w:cs="仿宋" w:hint="eastAsia"/>
          <w:sz w:val="28"/>
          <w:lang w:eastAsia="zh-CN"/>
        </w:rPr>
      </w:pPr>
      <w:bookmarkStart w:id="2" w:name="_Toc22685"/>
      <w:r>
        <w:rPr>
          <w:rFonts w:ascii="仿宋" w:eastAsia="仿宋" w:hAnsi="仿宋" w:cs="仿宋" w:hint="eastAsia"/>
          <w:sz w:val="28"/>
          <w:lang w:eastAsia="zh-CN"/>
        </w:rPr>
        <w:t>一、工艺分析</w:t>
      </w:r>
      <w:bookmarkEnd w:id="2"/>
    </w:p>
    <w:p>
      <w:pPr>
        <w:pStyle w:val="Heading2"/>
        <w:rPr>
          <w:rFonts w:ascii="仿宋" w:eastAsia="仿宋" w:hAnsi="仿宋" w:cs="仿宋" w:hint="eastAsia"/>
          <w:lang w:eastAsia="zh-CN"/>
        </w:rPr>
      </w:pPr>
      <w:bookmarkStart w:id="3" w:name="_Toc90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养老服务项目中显现出多层面的复杂性和有机性。其系统性突显在对广泛技术领域的全面规划和整合，要求各技术要素相互协调，以确保养老服务项目整体协同。这种系统性要求技术管理者在养老服务项目中全局思考，以适应多元领域的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在不断变化的环境中具备创新能力，团队需要持续提出独具创意的技术解决方案，作为推动养老服务项目进步的引擎。这种创新力使技术管理不仅仅是问题应对，更是养老服务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另一方面，技术管理体现出综合性。它要求在不同领域中进行全面考虑，将各种技术要素有机融合，以实现更高水平和更大范围的效果。技术管理者需要跨领域协调，确保养老服务项目技术方案的综合有效性。</w:t>
      </w:r>
    </w:p>
    <w:p>
      <w:pPr>
        <w:pStyle w:val="Heading2"/>
        <w:ind w:firstLine="560" w:firstLineChars="200"/>
        <w:rPr>
          <w:rFonts w:ascii="仿宋" w:eastAsia="仿宋" w:hAnsi="仿宋" w:cs="仿宋" w:hint="eastAsia"/>
          <w:sz w:val="28"/>
          <w:lang w:eastAsia="zh-CN"/>
        </w:rPr>
      </w:pPr>
      <w:bookmarkStart w:id="4" w:name="_Toc9168"/>
      <w:r>
        <w:rPr>
          <w:rFonts w:ascii="仿宋" w:eastAsia="仿宋" w:hAnsi="仿宋" w:cs="仿宋" w:hint="eastAsia"/>
          <w:sz w:val="28"/>
          <w:lang w:eastAsia="zh-CN"/>
        </w:rPr>
        <w:t>(二)、养老服务项目工艺技术设计方案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养老服务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在选择工艺设备时，需要考虑其性能、稳定性和可维护性。设备应符合养老服务项目的实际需求，并与整个生产流程协同工作，确保设备的使用不成为养老服务项目的瓶颈。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5" w:name="_Toc219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养老服务项目投资风险，最大限度地减少总体养老服务项目成本。在投资养老服务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我们以“先进、高效、实用、节能、可靠”为准则，特别关注养老服务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养老服务项目的生产设备具备最佳性能和效益，以满足养老服务项目长期的发展需求。</w:t>
      </w:r>
    </w:p>
    <w:p>
      <w:pPr>
        <w:pStyle w:val="Heading1"/>
        <w:ind w:firstLine="560" w:firstLineChars="200"/>
        <w:rPr>
          <w:rFonts w:ascii="仿宋" w:eastAsia="仿宋" w:hAnsi="仿宋" w:cs="仿宋" w:hint="eastAsia"/>
          <w:sz w:val="28"/>
          <w:lang w:eastAsia="zh-CN"/>
        </w:rPr>
      </w:pPr>
      <w:bookmarkStart w:id="6" w:name="_Toc25829"/>
      <w:r>
        <w:rPr>
          <w:rFonts w:ascii="仿宋" w:eastAsia="仿宋" w:hAnsi="仿宋" w:cs="仿宋" w:hint="eastAsia"/>
          <w:sz w:val="28"/>
          <w:lang w:eastAsia="zh-CN"/>
        </w:rPr>
        <w:t>二、养老服务项目选址说明</w:t>
      </w:r>
      <w:bookmarkEnd w:id="6"/>
    </w:p>
    <w:p>
      <w:pPr>
        <w:pStyle w:val="Heading2"/>
        <w:rPr>
          <w:rFonts w:ascii="仿宋" w:eastAsia="仿宋" w:hAnsi="仿宋" w:cs="仿宋" w:hint="eastAsia"/>
          <w:lang w:eastAsia="zh-CN"/>
        </w:rPr>
      </w:pPr>
      <w:bookmarkStart w:id="7" w:name="_Toc17576"/>
      <w:r>
        <w:rPr>
          <w:rFonts w:ascii="仿宋" w:eastAsia="仿宋" w:hAnsi="仿宋" w:cs="仿宋" w:hint="eastAsia"/>
          <w:lang w:eastAsia="zh-CN"/>
        </w:rPr>
        <w:t>(一)、养老服务项目选址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选址位于XXXX市XXXX区XXXX街道XXXX路，地理位置优越，地势平坦，交通便利。附近有多条主要道路交汇，便于原材料的运输和成品的配送。地理位置的优越性将为养老服务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养老服务项目用地的合规性。经过详细的规划和评估，选址地区的用地性质、容积率、绿化率等指标将被科学确定，以满足养老服务项目的发展需求并符合相关法规和环保要求。</w:t>
      </w:r>
    </w:p>
    <w:p>
      <w:pPr>
        <w:pStyle w:val="Heading2"/>
        <w:ind w:firstLine="560" w:firstLineChars="200"/>
        <w:rPr>
          <w:rFonts w:ascii="仿宋" w:eastAsia="仿宋" w:hAnsi="仿宋" w:cs="仿宋" w:hint="eastAsia"/>
          <w:sz w:val="28"/>
          <w:lang w:eastAsia="zh-CN"/>
        </w:rPr>
      </w:pPr>
      <w:bookmarkStart w:id="8" w:name="_Toc1883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选址地区的用地性质被确定为工业用地，以支持养老服务项目的生产和运营。确保用地性质符合地方规划，并满足养老服务项目的实际需求。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根据地区规划和建设标准，设定合理的容积率。容积率的设定要考虑养老服务项目的建筑需求，确保建筑的布局紧凑，用地高效利用。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确保养老服务项目选址地区的绿化率符合环保法规的要求。通过科学的绿化设计，提高绿化率，改善周边环境，为员工提供良好的工作生活环境。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9" w:name="_Toc1179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针对养老服务项目的实际需求，考虑采用垂直建筑设计，提高建筑的层数，减小占地面积。这将有助于在有限的用地内实现更大的建筑容积。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共享设施：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10" w:name="_Toc1815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养老服务项目的原材料运输和成品配送提供了便捷的通道。地理位置的优越性将成为总图布置方案的首要考虑因素，确保养老服务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养老服务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养老服务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养老服务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11" w:name="_Toc227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选址综合评价是对所有选址因素进行全面权衡和评估的过程，包括地理位置、交通便利性、用地控制指标等多个方面。通过科学的评价方法，确保最终选址符合养老服务项目的长期发展需求和可行性要求。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选址地点的地理位置是综合评价的首要因素。地理位置的优越性将为养老服务项目的成功实施提供战略优势。通过全面利用地理位置，确保养老服务项目在市场接触、原材料供应、成品销售等方面具备便利条件。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综合评价将充分考虑选址地区的交通便利性。主要道路的交汇、交通流畅性等因素将被纳入考虑范围。通过科学评估交通状况，确保养老服务项目的运输通道顺畅，为物流和员工的出行提供良好保障。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用地控制指标是综合评价中的重要组成部分。通过科学制定用地控制指标，明确用地性质、用途、容积率等，确保用地的规划与养老服务项目的实际需求相符。这有助于用地的科学利用和可持续性发展。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养老服务项目的空间布局合理有序。绿化空间、建筑布局、功能区域划分等因素将在总图布置中得到综合考虑，为养老服务项目提供良好的空间环境。</w:t>
      </w:r>
    </w:p>
    <w:p>
      <w:pPr>
        <w:pStyle w:val="Heading1"/>
        <w:ind w:firstLine="560" w:firstLineChars="200"/>
        <w:rPr>
          <w:rFonts w:ascii="仿宋" w:eastAsia="仿宋" w:hAnsi="仿宋" w:cs="仿宋" w:hint="eastAsia"/>
          <w:sz w:val="28"/>
          <w:lang w:eastAsia="zh-CN"/>
        </w:rPr>
      </w:pPr>
      <w:bookmarkStart w:id="12" w:name="_Toc16188"/>
      <w:r>
        <w:rPr>
          <w:rFonts w:ascii="仿宋" w:eastAsia="仿宋" w:hAnsi="仿宋" w:cs="仿宋" w:hint="eastAsia"/>
          <w:sz w:val="28"/>
          <w:lang w:eastAsia="zh-CN"/>
        </w:rPr>
        <w:t>三、建设规划</w:t>
      </w:r>
      <w:bookmarkEnd w:id="12"/>
    </w:p>
    <w:p>
      <w:pPr>
        <w:pStyle w:val="Heading2"/>
        <w:rPr>
          <w:rFonts w:ascii="仿宋" w:eastAsia="仿宋" w:hAnsi="仿宋" w:cs="仿宋" w:hint="eastAsia"/>
          <w:lang w:eastAsia="zh-CN"/>
        </w:rPr>
      </w:pPr>
      <w:bookmarkStart w:id="13" w:name="_Toc62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14" w:name="_Toc1362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养老服务项目总征地面积XXXX平方米（折合约XX亩），其中：净用地面积XXXX平方米（红线范围折合约XX亩）。养老服务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所占用的地面积充分考虑了红线范围，确保了养老服务项目的合规性和可持续发展。规划建设主体工程和计容建筑面积的设定旨在满足养老服务项目的生产和办公需求，为企业提供充足的工作空间。预计的建筑工程投资将用于养老服务项目的基础设施建设，为养老服务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计划购置设备共计XX台（套），设备购置费XXXX万元。这些设备涵盖了生产、研发和办公等多个领域，包括先进的生产设备、办公设备和实验室设备等。设备购置费用的投入将确保养老服务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养老服务项目计划总投资XXXX万元，预计年实现营业收入XXXX万元。这一部分涵盖了整个养老服务项目的经济规模和财务计划。总投资将用于养老服务项目的建设、设备购置、人才引进等多个方面，确保养老服务项目的全面发展。预计年实现的营业收入则是对养老服务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5" w:name="_Toc23053"/>
      <w:r>
        <w:rPr>
          <w:rFonts w:ascii="仿宋" w:eastAsia="仿宋" w:hAnsi="仿宋" w:cs="仿宋" w:hint="eastAsia"/>
          <w:sz w:val="28"/>
          <w:lang w:eastAsia="zh-CN"/>
        </w:rPr>
        <w:t>四、养老服务项目环境保护分析</w:t>
      </w:r>
      <w:bookmarkEnd w:id="15"/>
    </w:p>
    <w:p>
      <w:pPr>
        <w:pStyle w:val="Heading2"/>
        <w:rPr>
          <w:rFonts w:ascii="仿宋" w:eastAsia="仿宋" w:hAnsi="仿宋" w:cs="仿宋" w:hint="eastAsia"/>
          <w:lang w:eastAsia="zh-CN"/>
        </w:rPr>
      </w:pPr>
      <w:bookmarkStart w:id="16" w:name="_Toc23729"/>
      <w:r>
        <w:rPr>
          <w:rFonts w:ascii="仿宋" w:eastAsia="仿宋" w:hAnsi="仿宋" w:cs="仿宋" w:hint="eastAsia"/>
          <w:lang w:eastAsia="zh-CN"/>
        </w:rPr>
        <w:t>(一)、建设区域环境质量现状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大气环境质量主要受附近工业、交通和自然条件等多方面影响。通过监测数据显示，空气中的颗粒物和氮氧化物浓度可能存在一定程度的超标现象，尤其是在高峰期。此外，气象条件也对空气质量产生一定影响，需要更详细的气象数据来深入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水质状况受附近水体的排放和自然水质条件等多方面因素影响。当前水体可能存在一些化学污染物的浓度略有波动，但整体水质维持在可接受范围内。然而，需要注意的是水体富营养化现象可能存在，需要更深入的水质监测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对建设区域土壤的调查显示，土壤质量可能受到历史工业活动和农业实践的影响。部分土壤可能存在轻微的污染，需要进一步的土壤采样和化验来准确评估土壤中可能存在的污染物。</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建设区域的生态环境主要由植被覆盖、动植物种类和生态系统的完整性等因素构成。当前生态环境可能面临一定的压力，特别是在城市化进程中，需要关注城市绿化和保护自然生态系统的措施。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噪音与振动：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建设区域的噪音和振动水平受到交通、工业和城市建设活动的影响。可能存在一定程度的噪音超标，尤其是在交通繁忙的区域。需要继续监测和评估这些影响，制定相应的噪音控制措施。</w:t>
      </w:r>
    </w:p>
    <w:p>
      <w:pPr>
        <w:pStyle w:val="Heading2"/>
        <w:ind w:firstLine="560" w:firstLineChars="200"/>
        <w:rPr>
          <w:rFonts w:ascii="仿宋" w:eastAsia="仿宋" w:hAnsi="仿宋" w:cs="仿宋" w:hint="eastAsia"/>
          <w:sz w:val="28"/>
          <w:lang w:eastAsia="zh-CN"/>
        </w:rPr>
      </w:pPr>
      <w:bookmarkStart w:id="17" w:name="_Toc18283"/>
      <w:r>
        <w:rPr>
          <w:rFonts w:ascii="仿宋" w:eastAsia="仿宋" w:hAnsi="仿宋" w:cs="仿宋" w:hint="eastAsia"/>
          <w:sz w:val="28"/>
          <w:lang w:eastAsia="zh-CN"/>
        </w:rPr>
        <w:t>(二)、建设期环境保护</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水土保持：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在施工阶段，需要实施有效的水土保持措施，以防止因工程活动引起的水土流失和土壤侵蚀。这包括合理的植被覆盖、设立沉淀池、设置防护网等，以最大程度地保护土地资源。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合理管理施工期间产生的废弃物是环境保护的重要一环。采用分类收集、减量化处理和循环利用的方法，最小化废弃物对环境的影响，确保废弃物处理符合环保法规。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噪音与振动控制：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在建设期，噪音和振动是可能对周边居民和生态环境造成干扰的因素。采用低噪音设备、限制施工时间、设置隔音屏障等措施，有效降低工程活动对周边噪音环境的负面影响。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污染物排放控制：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养老服务项目建设过程中可能伴随一些排放物，如扬尘、废水等。通过采用封闭施工、喷淋降尘、设立沉淀池等方法，最小化污染物的排放，确保符合环境标准。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自然生态保护：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在施工期，需要尽量减少对自然生态的破坏。设立施工限制区，合理划定施工边界，确保对周边自然生态系统的影响降至最低。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6. 安全监测与应急预案：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建设期间需要建立全面的安全监测体系和应急预案，及时应对可能发生的环境安全事故，最小化事故对环境的负面影响。</w:t>
      </w:r>
    </w:p>
    <w:p>
      <w:pPr>
        <w:pStyle w:val="Heading2"/>
        <w:ind w:firstLine="560" w:firstLineChars="200"/>
        <w:rPr>
          <w:rFonts w:ascii="仿宋" w:eastAsia="仿宋" w:hAnsi="仿宋" w:cs="仿宋" w:hint="eastAsia"/>
          <w:sz w:val="28"/>
          <w:lang w:eastAsia="zh-CN"/>
        </w:rPr>
      </w:pPr>
      <w:bookmarkStart w:id="18" w:name="_Toc7548"/>
      <w:r>
        <w:rPr>
          <w:rFonts w:ascii="仿宋" w:eastAsia="仿宋" w:hAnsi="仿宋" w:cs="仿宋" w:hint="eastAsia"/>
          <w:sz w:val="28"/>
          <w:lang w:eastAsia="zh-CN"/>
        </w:rPr>
        <w:t>(三)、运营期环境保护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污染物排放监测：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在运营期，需要建立完善的污染物排放监测体系，实时监测大气、水体、土壤等环境中的污染物浓度。这有助于及时发现和解决潜在的排放问题，确保排放符合环境标准。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废物管理与资源循环利用：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持续推进废物管理，采用分类收集、减量化处理和资源循环利用的方法，最小化废物对环境的影响。建立废物清理和处置的规范流程，确保符合环保法规。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节能减排：</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采取节能减排措施，提高设备和工艺的能效。通过技术升级、设备优化等手段，减少能源消耗和温室气体排放，提高养老服务项目的环保效益。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自然生态保护：</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在运营期，仍需保持对自然生态的关注。继续划定保护区域，加强对植被、动植物等生态要素的监测和保护，确保养老服务项目运营对生态系统的影响最小化。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治理污染源：</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对可能存在的污染源进行定期检查和治理，确保设备和工艺的正常运行，减少污染物的产生。建立清晰的责任体系，确保治理工作的持续有效性。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社区环境管理：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加强与周边社区的沟通，建立环境管理沟通渠道。及时响应社区的环境反馈，保障周边居民的环境权益，提高养老服务项目在社区的社会责任感。</w:t>
      </w:r>
    </w:p>
    <w:p>
      <w:pPr>
        <w:pStyle w:val="Heading2"/>
        <w:ind w:firstLine="560" w:firstLineChars="200"/>
        <w:rPr>
          <w:rFonts w:ascii="仿宋" w:eastAsia="仿宋" w:hAnsi="仿宋" w:cs="仿宋" w:hint="eastAsia"/>
          <w:sz w:val="28"/>
          <w:lang w:eastAsia="zh-CN"/>
        </w:rPr>
      </w:pPr>
      <w:bookmarkStart w:id="19" w:name="_Toc19965"/>
      <w:r>
        <w:rPr>
          <w:rFonts w:ascii="仿宋" w:eastAsia="仿宋" w:hAnsi="仿宋" w:cs="仿宋" w:hint="eastAsia"/>
          <w:sz w:val="28"/>
          <w:lang w:eastAsia="zh-CN"/>
        </w:rPr>
        <w:t>(四)、养老服务项目建设对区域经济的影响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就业机会提升：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养老服务项目建设通常伴随着大量的劳动力需求，从建筑工人到专业技术人才，涵盖多个领域。这将提供大量就业机会，减缓区域就业压力，提高居民的收入水平。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 投资增长：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养老服务项目建设通常需要大量资金投入，这将直接刺激区域内的投资增长。投资的流入可能不仅来自企业本身，还可能吸引其他相关产业的投资，推动区域经济的全面发展。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增加税收收入：</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随着养老服务项目建设的进行，产生的税收也会相应增加。企业、从业人员以及相关产业的税收贡献将成为区域财政的重要来源，用于支持公共服务和基础设施建设。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4. 产业结构优化：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某些养老服务项目建设可能会引入新的产业，推动区域产业结构的优化。新兴产业的引入可能促使区域实现产业升级，提高整体经济的竞争力。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养老服务项目建设通常需要相应的基础设施支持，如道路、桥梁、水电站等。这不仅提升了区域基础设施水平，也为未来的经济发展创造了更好的条件。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增加商业活动：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养老服务项目建设将吸引更多的商业活动，如酒店、餐饮、零售等，以满足养老服务项目工程和员工的需求。这将推动商业活动的增长，促进区域内商业环境的繁荣。</w:t>
      </w:r>
    </w:p>
    <w:p>
      <w:pPr>
        <w:ind w:firstLine="560" w:firstLineChars="200"/>
        <w:rPr>
          <w:rFonts w:ascii="仿宋" w:eastAsia="仿宋" w:hAnsi="仿宋" w:cs="仿宋" w:hint="eastAsia"/>
          <w:sz w:val="28"/>
        </w:rPr>
      </w:pPr>
      <w:r>
        <w:rPr>
          <w:rFonts w:ascii="仿宋" w:eastAsia="仿宋" w:hAnsi="仿宋" w:cs="仿宋" w:hint="eastAsia"/>
          <w:sz w:val="28"/>
          <w:lang w:eastAsia="zh-CN"/>
        </w:rPr>
        <w:t>7. 土地价值提升：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随着养老服务项目建设的完成，周边土地价值可能会提升。这对于地方政府和地产开发商来说是一种潜在的经济利好，有助于进一步吸引投资。</w:t>
      </w:r>
    </w:p>
    <w:p>
      <w:pPr>
        <w:pStyle w:val="Heading2"/>
        <w:ind w:firstLine="560" w:firstLineChars="200"/>
        <w:rPr>
          <w:rFonts w:ascii="仿宋" w:eastAsia="仿宋" w:hAnsi="仿宋" w:cs="仿宋" w:hint="eastAsia"/>
          <w:sz w:val="28"/>
          <w:lang w:eastAsia="zh-CN"/>
        </w:rPr>
      </w:pPr>
      <w:bookmarkStart w:id="20" w:name="_Toc1036"/>
      <w:r>
        <w:rPr>
          <w:rFonts w:ascii="仿宋" w:eastAsia="仿宋" w:hAnsi="仿宋" w:cs="仿宋" w:hint="eastAsia"/>
          <w:sz w:val="28"/>
          <w:lang w:eastAsia="zh-CN"/>
        </w:rPr>
        <w:t>(五)、废弃物处理</w:t>
      </w:r>
      <w:bookmarkEnd w:id="2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处理是任何养老服务项目建设和运营过程中都必须认真考虑和有效实施的关键环节。废弃物包括建设废弃物、生产废弃物等，如果不得当处理可能对环境和人类健康造成负面影响。因此，科学合理的废弃物处理策略成为确保养老服务项目可持续发展的不可或缺的一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废弃物分类与收集</w:t>
      </w:r>
    </w:p>
    <w:p>
      <w:pPr>
        <w:ind w:firstLine="560" w:firstLineChars="200"/>
        <w:rPr>
          <w:rFonts w:ascii="仿宋" w:eastAsia="仿宋" w:hAnsi="仿宋" w:cs="仿宋" w:hint="eastAsia"/>
          <w:sz w:val="28"/>
        </w:rPr>
      </w:pPr>
      <w:r>
        <w:rPr>
          <w:rFonts w:ascii="仿宋" w:eastAsia="仿宋" w:hAnsi="仿宋" w:cs="仿宋" w:hint="eastAsia"/>
          <w:sz w:val="28"/>
          <w:lang w:eastAsia="zh-CN"/>
        </w:rPr>
        <w:t>废弃物的分类是废弃物管理的首要步骤。通过对不同类型的废弃物进行有效分类，可以更好地采取相应的处理方式。这包括建筑废弃物、生活垃圾、危险废物等。在废弃物分类的基础上，建立相应的收集系统，确保废弃物能够被有序地收集起来，不同类型的废弃物得到合适的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养老服务项目阶段，建筑废弃物是一个不可忽视的方面。通过在施工现场设置分类垃圾箱，鼓励工人按照废弃物的性质进行分类投放。对于生产废弃物，也需要建立合理的收集系统，确保废弃物不会随意丢弃，降低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废弃物处理技术与设施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选择适当的废弃物处理技术和设施对于有效处理废弃物至关重要。常见的废弃物处理技术包括焚烧、填埋、物理化学处理等。具体的选择取决于废弃物的性质、数量和环境政策法规。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养老服务项目中，建议采用可回收物资的再利用技术，减少对原材料的需求。对于生产废弃物，应优先考虑采用环保型处理技术，最大限度地减少对环境的负面影响。危险废弃物需要采取专门的处理措施，确保其不对环境和人体健康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废弃物监测与法规遵循</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废弃物处理过程中，监测是确保废弃物得到妥善处理的重要手段。通过建立监测系统，对废弃物的产生、收集、处理等环节进行实时监控，及时发现问题并采取相应的纠正措施。监测还有助于评估废弃物处理效果，确保废弃物处理符合环境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同时，废弃物处理必须遵循相关的法规和政策。在建设和运营过程中，确保废弃物处理符合国家和地方的环保法规，以免因不当处理引发法律问题。</w:t>
      </w:r>
    </w:p>
    <w:p>
      <w:pPr>
        <w:pStyle w:val="Heading2"/>
        <w:ind w:firstLine="560" w:firstLineChars="200"/>
        <w:rPr>
          <w:rFonts w:ascii="仿宋" w:eastAsia="仿宋" w:hAnsi="仿宋" w:cs="仿宋" w:hint="eastAsia"/>
          <w:sz w:val="28"/>
          <w:lang w:eastAsia="zh-CN"/>
        </w:rPr>
      </w:pPr>
      <w:bookmarkStart w:id="21" w:name="_Toc11285"/>
      <w:r>
        <w:rPr>
          <w:rFonts w:ascii="仿宋" w:eastAsia="仿宋" w:hAnsi="仿宋" w:cs="仿宋" w:hint="eastAsia"/>
          <w:sz w:val="28"/>
          <w:lang w:eastAsia="zh-CN"/>
        </w:rPr>
        <w:t>(六)、特殊环境影响分析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生态环境影响分析：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可能对周边生态系统产生直接或间接的影响。这包括植被覆盖、动植物栖息地、生态平衡等方面。生态环境影响分析需要全面考虑养老服务项目可能引起的生态破坏，以及采取的措施来保护和修复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水体影响分析：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养老服务项目可能涉及的水体，需要分析养老服务项目对水体质量、水文地质条件和水生态系统的潜在影响。这可能包括水体污染、水流变化、对水生物的影响等。合理的水体管理方案和环境保护措施将成为必要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3. 大气环境影响分析：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特殊的地理位置或气象条件可能使养老服务项目对大气环境产生更为显著的影响。分析养老服务项目可能引起的空气污染、气象条件变化等情况，制定减排方案和适应性措施，以保护大气环境的质量。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某些情况下，养老服务项目可能对当地社会文化产生特殊的影响。这包括对当地社区结构、文化传统、居民生活方式等方面的可能影响。社会文化影响分析需要在养老服务项目实施前进行广泛的社会调查，确保养老服务项目不会对当地社会造成不可逆的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土地利用影响分析：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养老服务项目可能涉及的土地利用变化需要进行详细分析。这包括土地覆盖类型的改变、土地资源的可持续利用等方面。特别是在涉及到农业用地或自然保护区等特殊土地类型时，需要谨慎评估可能的影响。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噪音与振动影响分析：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一些养老服务项目可能在特殊环境中引起噪音或振动污染。在特殊环境影响分析中，需要详细评估养老服务项目可能引起的噪音水平和振动强度，并提出相应的控制和减缓措施。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特殊环境影响分析是养老服务项目环境影响评价的关键部分，通过充分了解和评估养老服务项目可能的特殊环境影响，可以制定出更加科学和可持续的养老服务项目实施方案。</w:t>
      </w:r>
    </w:p>
    <w:p>
      <w:pPr>
        <w:pStyle w:val="Heading2"/>
        <w:ind w:firstLine="560" w:firstLineChars="200"/>
        <w:rPr>
          <w:rFonts w:ascii="仿宋" w:eastAsia="仿宋" w:hAnsi="仿宋" w:cs="仿宋" w:hint="eastAsia"/>
          <w:sz w:val="28"/>
          <w:lang w:eastAsia="zh-CN"/>
        </w:rPr>
      </w:pPr>
      <w:bookmarkStart w:id="22" w:name="_Toc12939"/>
      <w:r>
        <w:rPr>
          <w:rFonts w:ascii="仿宋" w:eastAsia="仿宋" w:hAnsi="仿宋" w:cs="仿宋" w:hint="eastAsia"/>
          <w:sz w:val="28"/>
          <w:lang w:eastAsia="zh-CN"/>
        </w:rPr>
        <w:t>(七)、清洁生产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资源有效利用：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注重最大限度地提高资源的利用效率。通过采用先进的生产技术和工艺，减少原材料的使用，实现对资源的有效管理。循环经济理念在清洁生产中扮演着重要角色，通过回收再利用废弃物和副产品，最大程度地减少资源浪费。</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减少环境污染：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的核心目标之一是减少对环境的负面影响。通过采用低污染的生产技术，降低废物排放和有害物质的生成，实现对环境的保护。生产过程中，优先选择绿色、环保的原材料和生产方法，以减缓对生态系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节约能源：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清洁生产着力降低能源消耗，通过优化生产流程、使用高效设备和采用新能源等手段，实现能源的有效利用。减少对非可再生能源的依赖，促进可持续能源的应用。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创新技术应用：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清洁生产鼓励创新技术的应用，采用先进的、环保的生产技术。通过研发和引进新技术，不断提高生产效率，减少对环境的负面影响。这包括数字化生产、智能制造等现代化技术手段。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生命周期分析：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清洁生产要求进行全面的生命周期分析，评估产品从原材料采购到生产、使用、再到废弃的整个过程中对环境的影响。这有助于全面了解产品的环境足迹，从而提出改进措施。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6. 培养清洁生产意识：</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清洁生产不仅仅是一种技术手段，更是一种生产文化和理念。培养企业和员工对清洁生产的意识，倡导绿色生产方式，有助于在组织内部建立可持续发展的理念。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7. 法规遵循：</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清洁生产需要符合相关的法规和标准，确保生产活动在法律框架内进行。遵循法规不仅是对环境的保护，也是企业社会责任的体现。</w:t>
      </w:r>
    </w:p>
    <w:p>
      <w:pPr>
        <w:pStyle w:val="Heading2"/>
        <w:ind w:firstLine="560" w:firstLineChars="200"/>
        <w:rPr>
          <w:rFonts w:ascii="仿宋" w:eastAsia="仿宋" w:hAnsi="仿宋" w:cs="仿宋" w:hint="eastAsia"/>
          <w:sz w:val="28"/>
          <w:lang w:eastAsia="zh-CN"/>
        </w:rPr>
      </w:pPr>
      <w:bookmarkStart w:id="23" w:name="_Toc19433"/>
      <w:r>
        <w:rPr>
          <w:rFonts w:ascii="仿宋" w:eastAsia="仿宋" w:hAnsi="仿宋" w:cs="仿宋" w:hint="eastAsia"/>
          <w:sz w:val="28"/>
          <w:lang w:eastAsia="zh-CN"/>
        </w:rPr>
        <w:t>(八)、环境保护综合评价</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环境保护综合评价是对养老服务项目、企业或活动在环保方面综合表现的评估。这种评价综合考虑了对自然环境、生态系统、空气、水体等的影响，以及对环保法规和标准的遵守程度。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的第一步是对养老服务项目或活动的环境影响进行评估。这包括对空气质量、水质、土壤质量、生态系统等方面的影响进行科学分析。通过各种监测和模拟手段，全面了解养老服务项目可能引起的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废弃物管理：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养老服务项目的废弃物管理情况，包括废弃物的分类、收集、处理和处置。清晰的废弃物管理计划对于降低对环境的负担至关重要。合规处理和减少废弃物对生态系统和人类健康的影响是综合评价的重要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水资源管理：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评估养老服务项目对水资源的利用和管理情况，包括对水体的取水、排放和水质保护。特别关注是否存在过度取水、水质污染等问题，以及采取的补救和改进措施。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大气排放控制：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分析养老服务项目的大气排放情况，包括对大气污染物的排放、空气质量的影响等。评估养老服务项目是否采取有效的减排措施，以保护大气环境质量。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能源效益评估：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综合评价养老服务项目的能源效益，包括能源的使用效率、可再生能源的应用情况等。推动清洁能源的使用，提高能源效益是环境保护的重要方向。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6. 法规遵从与合规性：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评估养老服务项目是否遵守国家和地方的环境保护法规和标准。合规性是一个企业或养老服务项目在环境保护方面的基本要求，对于环保综合评价至关重要。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7. 环境保护投入：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评价养老服务项目在环境保护方面的投入，包括环境监测、治理设施建设、环保培训等方面的支出。这反映了企业对环保责任的认识和履行。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社会责任与公众参与：</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考察养老服务项目对社会的责任感和公众参与程度。是否建立了有效的沟通机制，是否主动回应社会关切，这些都是综合评价的一部分。</w:t>
      </w:r>
    </w:p>
    <w:p>
      <w:pPr>
        <w:pStyle w:val="Heading1"/>
        <w:ind w:firstLine="560" w:firstLineChars="200"/>
        <w:rPr>
          <w:rFonts w:ascii="仿宋" w:eastAsia="仿宋" w:hAnsi="仿宋" w:cs="仿宋" w:hint="eastAsia"/>
          <w:sz w:val="28"/>
          <w:lang w:eastAsia="zh-CN"/>
        </w:rPr>
      </w:pPr>
      <w:bookmarkStart w:id="24" w:name="_Toc16441"/>
      <w:r>
        <w:rPr>
          <w:rFonts w:ascii="仿宋" w:eastAsia="仿宋" w:hAnsi="仿宋" w:cs="仿宋" w:hint="eastAsia"/>
          <w:sz w:val="28"/>
          <w:lang w:eastAsia="zh-CN"/>
        </w:rPr>
        <w:t>五、养老服务项目投资可行性分析</w:t>
      </w:r>
      <w:bookmarkEnd w:id="24"/>
    </w:p>
    <w:p>
      <w:pPr>
        <w:pStyle w:val="Heading2"/>
        <w:rPr>
          <w:rFonts w:ascii="仿宋" w:eastAsia="仿宋" w:hAnsi="仿宋" w:cs="仿宋" w:hint="eastAsia"/>
          <w:lang w:eastAsia="zh-CN"/>
        </w:rPr>
      </w:pPr>
      <w:bookmarkStart w:id="25" w:name="_Toc3580"/>
      <w:r>
        <w:rPr>
          <w:rFonts w:ascii="仿宋" w:eastAsia="仿宋" w:hAnsi="仿宋" w:cs="仿宋" w:hint="eastAsia"/>
          <w:lang w:eastAsia="zh-CN"/>
        </w:rPr>
        <w:t>(一)、养老服务项目估算说明</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养老服务项目建设成本估算：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养老服务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收益估算是养老服务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养老服务项目技术难点和可能出现的问题进行评估；政策风险则需要了解相关政策法规的变化对养老服务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养老服务项目可能需要投入一定的资金用于建设环保设施，符合环境法规的要求；社会责任活动费用可以用于企业参与社会公益、员工培训等。通过综合考虑这些因素，企业可以更好地履行社会责任，提高养老服务项目的可持续性和社会接受度。</w:t>
      </w:r>
    </w:p>
    <w:p>
      <w:pPr>
        <w:pStyle w:val="Heading2"/>
        <w:ind w:firstLine="560" w:firstLineChars="200"/>
        <w:rPr>
          <w:rFonts w:ascii="仿宋" w:eastAsia="仿宋" w:hAnsi="仿宋" w:cs="仿宋" w:hint="eastAsia"/>
          <w:sz w:val="28"/>
          <w:lang w:eastAsia="zh-CN"/>
        </w:rPr>
      </w:pPr>
      <w:bookmarkStart w:id="26" w:name="_Toc8400"/>
      <w:r>
        <w:rPr>
          <w:rFonts w:ascii="仿宋" w:eastAsia="仿宋" w:hAnsi="仿宋" w:cs="仿宋" w:hint="eastAsia"/>
          <w:sz w:val="28"/>
          <w:lang w:eastAsia="zh-CN"/>
        </w:rPr>
        <w:t>(二)、养老服务项目总投资估算</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27" w:name="_Toc16240"/>
      <w:r>
        <w:rPr>
          <w:rFonts w:ascii="仿宋" w:eastAsia="仿宋" w:hAnsi="仿宋" w:cs="仿宋" w:hint="eastAsia"/>
          <w:sz w:val="28"/>
          <w:lang w:eastAsia="zh-CN"/>
        </w:rPr>
        <w:t>(三)、资金筹措</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资金筹措是养老服务项目实施的关键一环，需要灵活运用多种途径来确保养老服务项目有足够的经济支持。1.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养老服务项目方自有资金投入，包括企业自有资金和股东资本。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向银行或其他金融机构申请贷款，以养老服务项目资产或未来收益为抵押物。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根据养老服务项目的信用和还款能力，协商获得贷款额度和利率。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利用各级政府提供的养老服务项目支持和资金补贴。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参与政府支持的产业政策和养老服务项目计划，获取相应资金支持。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与其他企业或机构建立合作伙伴关系，共同投资养老服务项目。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科研养老服务项目资金：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如养老服务项目具有研发性质，可以寻求科研养老服务项目资金的支持。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与科研机构合作，争取相关科研养老服务项目的经费。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以上多种资金筹措方式的综合运用，可以更好地确保养老服务项目有足够的资金支持，提高养老服务项目的可行性和成功实施的可能性。</w:t>
      </w:r>
    </w:p>
    <w:p>
      <w:pPr>
        <w:pStyle w:val="Heading1"/>
        <w:ind w:firstLine="560" w:firstLineChars="200"/>
        <w:rPr>
          <w:rFonts w:ascii="仿宋" w:eastAsia="仿宋" w:hAnsi="仿宋" w:cs="仿宋" w:hint="eastAsia"/>
          <w:sz w:val="28"/>
          <w:lang w:eastAsia="zh-CN"/>
        </w:rPr>
      </w:pPr>
      <w:bookmarkStart w:id="28" w:name="_Toc15340"/>
      <w:r>
        <w:rPr>
          <w:rFonts w:ascii="仿宋" w:eastAsia="仿宋" w:hAnsi="仿宋" w:cs="仿宋" w:hint="eastAsia"/>
          <w:sz w:val="28"/>
          <w:lang w:eastAsia="zh-CN"/>
        </w:rPr>
        <w:t>六、危机管理与应急预案</w:t>
      </w:r>
      <w:bookmarkEnd w:id="28"/>
    </w:p>
    <w:p>
      <w:pPr>
        <w:pStyle w:val="Heading2"/>
        <w:rPr>
          <w:rFonts w:ascii="仿宋" w:eastAsia="仿宋" w:hAnsi="仿宋" w:cs="仿宋" w:hint="eastAsia"/>
          <w:lang w:eastAsia="zh-CN"/>
        </w:rPr>
      </w:pPr>
      <w:bookmarkStart w:id="29" w:name="_Toc25679"/>
      <w:r>
        <w:rPr>
          <w:rFonts w:ascii="仿宋" w:eastAsia="仿宋" w:hAnsi="仿宋" w:cs="仿宋" w:hint="eastAsia"/>
          <w:lang w:eastAsia="zh-CN"/>
        </w:rPr>
        <w:t>(一)、危机预警与监测</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定期演练：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30" w:name="_Toc23755"/>
      <w:r>
        <w:rPr>
          <w:rFonts w:ascii="仿宋" w:eastAsia="仿宋" w:hAnsi="仿宋" w:cs="仿宋" w:hint="eastAsia"/>
          <w:sz w:val="28"/>
          <w:lang w:eastAsia="zh-CN"/>
        </w:rPr>
        <w:t>(二)、应急预案与危机响应</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31" w:name="_Toc31961"/>
      <w:r>
        <w:rPr>
          <w:rFonts w:ascii="仿宋" w:eastAsia="仿宋" w:hAnsi="仿宋" w:cs="仿宋" w:hint="eastAsia"/>
          <w:sz w:val="28"/>
          <w:lang w:eastAsia="zh-CN"/>
        </w:rPr>
        <w:t>(三)、危机沟通与舆情控制</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接受采访和回应：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即时回应： 对于涉及企业的谣言或误解，及时进行回应和澄清，防止虚假信息传播。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4. 危机后教训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危机后教训的总结和改进是危机沟通的闭环。通过反思危机沟通过程，企业可以更好地准备未来可能发生的危机，提升危机沟通的水平。关键步骤包括：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总结经验教训： 对危机沟通过程进行深入总结，明确优点和不足之处。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改进沟通策略： 根据总结的教训，调整和改进危机沟通策略，提高应对危机的能力。</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培训沟通团队： 将总结的经验教训纳入危机沟通团队的培训体系，提高团队的专业水平。</w:t>
      </w:r>
    </w:p>
    <w:p>
      <w:pPr>
        <w:pStyle w:val="Heading2"/>
        <w:ind w:firstLine="560" w:firstLineChars="200"/>
        <w:rPr>
          <w:rFonts w:ascii="仿宋" w:eastAsia="仿宋" w:hAnsi="仿宋" w:cs="仿宋" w:hint="eastAsia"/>
          <w:sz w:val="28"/>
          <w:lang w:eastAsia="zh-CN"/>
        </w:rPr>
      </w:pPr>
      <w:bookmarkStart w:id="32" w:name="_Toc9434"/>
      <w:r>
        <w:rPr>
          <w:rFonts w:ascii="仿宋" w:eastAsia="仿宋" w:hAnsi="仿宋" w:cs="仿宋" w:hint="eastAsia"/>
          <w:sz w:val="28"/>
          <w:lang w:eastAsia="zh-CN"/>
        </w:rPr>
        <w:t>(四)、危机后教训与改进</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 总结经验教训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在危机发生后，对整个危机处理过程进行全面、深入的总结是确保企业能够吸取经验教训的首要步骤。关键方面包括：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确定危机处理过程中出现的问题，包括内部失误、外部压力、公众反应等方面。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决策评估： 对危机管理团队的决策进行客观评估，确定哪些决策起到了积极作用，哪些需要调整和改进。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资源利用： 评估危机期间各类资源的利用效率，包括人力、物力、信息等。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改进管理策略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基于总结的经验教训，制定并实施改进危机管理策略是确保企业下次危机能够更好应对的关键一环。关键方面包括：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修订危机预案： 根据危机中暴露的问题和不足，对危机预案进行修订和升级，确保其更具实效性和适应性。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加强团队培训： 针对危机管理团队，开展专业培训，提高成员的应变能力、决策水平和团队协同能力。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升级技术支持： 结合危机处理中出现的技术问题，考虑引入更先进的技术手段，提升信息收集和处理的效率。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提高沟通效果</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危机时的沟通效果直接关系到公众对企业的认知和态度。通过改进沟通策略，企业可以更好地引导舆论、维护声誉。关键方面包括：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提升透明度： 加强信息透明度，及时、准确地向公众传递危机信息，减少信息不对称。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加强社交媒体管理： 提升在社交媒体上的管理水平，积极参与互动，防范谣言传播，维护正面形象。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改进危机沟通团队： 对危机沟通团队进行定期培训，提高团队的危机沟通策略和危机公关技巧。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定期演练与检验</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为确保改进措施的有效性，企业需要定期组织危机演练，并对演练结果进行检验和评估。关键方面包括：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演练目标明确： 制定明确的演练目标，包括测试预案可行性、团队协同效果等。</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多方参与演练： 邀请外部专业机构参与演练，提供客观的评价和建议。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演练结果反馈： 对演练结果进行深入分析，识别问题和不足，为下一轮改进提供依据。</w:t>
      </w:r>
    </w:p>
    <w:p>
      <w:pPr>
        <w:pStyle w:val="Heading1"/>
        <w:ind w:firstLine="560" w:firstLineChars="200"/>
        <w:rPr>
          <w:rFonts w:ascii="仿宋" w:eastAsia="仿宋" w:hAnsi="仿宋" w:cs="仿宋" w:hint="eastAsia"/>
          <w:sz w:val="28"/>
          <w:lang w:eastAsia="zh-CN"/>
        </w:rPr>
      </w:pPr>
      <w:bookmarkStart w:id="33" w:name="_Toc26180"/>
      <w:r>
        <w:rPr>
          <w:rFonts w:ascii="仿宋" w:eastAsia="仿宋" w:hAnsi="仿宋" w:cs="仿宋" w:hint="eastAsia"/>
          <w:sz w:val="28"/>
          <w:lang w:eastAsia="zh-CN"/>
        </w:rPr>
        <w:t>七、员工福利与企业文化</w:t>
      </w:r>
      <w:bookmarkEnd w:id="33"/>
    </w:p>
    <w:p>
      <w:pPr>
        <w:pStyle w:val="Heading2"/>
        <w:rPr>
          <w:rFonts w:ascii="仿宋" w:eastAsia="仿宋" w:hAnsi="仿宋" w:cs="仿宋" w:hint="eastAsia"/>
          <w:lang w:eastAsia="zh-CN"/>
        </w:rPr>
      </w:pPr>
      <w:bookmarkStart w:id="34" w:name="_Toc16368"/>
      <w:r>
        <w:rPr>
          <w:rFonts w:ascii="仿宋" w:eastAsia="仿宋" w:hAnsi="仿宋" w:cs="仿宋" w:hint="eastAsia"/>
          <w:lang w:eastAsia="zh-CN"/>
        </w:rPr>
        <w:t>(一)、员工福利政策</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8" w:history="1">
        <w:r>
          <w:rPr>
            <w:rFonts w:ascii="SimSun" w:eastAsia="SimSun" w:hAnsi="SimSun" w:cs="SimSun"/>
            <w:b/>
            <w:bCs/>
            <w:color w:val="0000EE"/>
            <w:kern w:val="0"/>
            <w:sz w:val="30"/>
            <w:szCs w:val="30"/>
            <w:u w:val="single" w:color="0000EE"/>
          </w:rPr>
          <w:t>https://d.book118.com/237053136055006032</w:t>
        </w:r>
      </w:hyperlink>
    </w:p>
    <w:p>
      <w:pPr>
        <w:ind w:firstLine="560" w:firstLineChars="200"/>
        <w:rPr>
          <w:rFonts w:ascii="仿宋" w:eastAsia="仿宋" w:hAnsi="仿宋" w:cs="仿宋" w:hint="eastAsia"/>
          <w:sz w:val="28"/>
        </w:rPr>
      </w:pPr>
    </w:p>
    <w:sectPr>
      <w:headerReference w:type="default" r:id="rId79"/>
      <w:footerReference w:type="default" r:id="rId80"/>
      <w:type w:val="nextPage"/>
      <w:pgSz w:w="11906" w:h="16838"/>
      <w:pgMar w:top="1440" w:right="1800" w:bottom="1440" w:left="1800" w:header="851" w:footer="992" w:gutter="0"/>
      <w:pgNumType w:start="3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E6B94"/>
    <w:rsid w:val="332E6B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yperlink" Target="https://d.book118.com/237053136055006032" TargetMode="External" /><Relationship Id="rId79" Type="http://schemas.openxmlformats.org/officeDocument/2006/relationships/header" Target="header38.xml" /><Relationship Id="rId8" Type="http://schemas.openxmlformats.org/officeDocument/2006/relationships/header" Target="header3.xml" /><Relationship Id="rId80" Type="http://schemas.openxmlformats.org/officeDocument/2006/relationships/footer" Target="footer38.xml" /><Relationship Id="rId81" Type="http://schemas.openxmlformats.org/officeDocument/2006/relationships/theme" Target="theme/theme1.xml" /><Relationship Id="rId82"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2024-01-14T06:35:00Z</dcterms:created>
  <dcterms:modified xsi:type="dcterms:W3CDTF">2024-01-14T06:35:45Z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0A623B2328E44F6C84A61491BC81F383_11</vt:lpwstr>
  </property>
  <property fmtid="{D5CDD505-2E9C-101B-9397-08002B2CF9AE}" pid="3" name="KSOProductBuildVer">
    <vt:lpwstr>2052-12.1.0.16120</vt:lpwstr>
  </property>
</Properties>
</file>