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Title"/>
      </w:pPr>
      <w:r>
        <w:t>混凝土外加剂</w:t>
      </w:r>
    </w:p>
    <w:p>
      <w:pPr>
        <w:spacing w:after="0"/>
        <w:sectPr>
          <w:footerReference w:type="even" r:id="rId4"/>
          <w:type w:val="continuous"/>
          <w:pgSz w:w="11910" w:h="16840"/>
          <w:pgMar w:top="1580" w:right="819" w:bottom="280" w:left="1020" w:header="708" w:footer="0"/>
          <w:pgNumType w:start="2"/>
          <w:cols w:space="708"/>
        </w:sectPr>
      </w:pPr>
    </w:p>
    <w:p>
      <w:pPr>
        <w:pStyle w:val="BodyText"/>
        <w:spacing w:before="7"/>
        <w:rPr>
          <w:rFonts w:ascii="黑体"/>
          <w:sz w:val="27"/>
        </w:rPr>
      </w:pPr>
    </w:p>
    <w:p>
      <w:pPr>
        <w:pStyle w:val="Heading1"/>
        <w:tabs>
          <w:tab w:val="left" w:pos="1042"/>
        </w:tabs>
        <w:spacing w:before="54"/>
      </w:pPr>
      <w:r>
        <w:t>目</w:t>
        <w:tab/>
        <w:t>次</w:t>
      </w:r>
    </w:p>
    <w:p>
      <w:pPr>
        <w:pStyle w:val="BodyText"/>
        <w:tabs>
          <w:tab w:val="left" w:pos="1247"/>
          <w:tab w:val="right" w:leader="dot" w:pos="9742"/>
        </w:tabs>
        <w:spacing w:before="684"/>
        <w:ind w:left="398"/>
      </w:pPr>
      <w:r>
        <w:t>前</w:t>
        <w:tab/>
        <w:t>言</w:t>
      </w:r>
      <w:r>
        <w:rPr>
          <w:rFonts w:ascii="Times New Roman" w:eastAsia="Times New Roman"/>
        </w:rPr>
        <w:tab/>
      </w:r>
      <w:r>
        <w:t>III</w:t>
      </w:r>
    </w:p>
    <w:p>
      <w:pPr>
        <w:pStyle w:val="ListParagraph"/>
        <w:numPr>
          <w:ilvl w:val="0"/>
          <w:numId w:val="25"/>
        </w:numPr>
        <w:tabs>
          <w:tab w:val="left" w:pos="608"/>
          <w:tab w:val="right" w:leader="dot" w:pos="9742"/>
        </w:tabs>
        <w:spacing w:before="130" w:after="0" w:line="240" w:lineRule="auto"/>
        <w:ind w:left="607" w:right="0" w:hanging="210"/>
        <w:jc w:val="left"/>
        <w:rPr>
          <w:sz w:val="21"/>
        </w:rPr>
      </w:pPr>
      <w:hyperlink w:anchor="_bookmark0" w:history="1">
        <w:r>
          <w:rPr>
            <w:sz w:val="21"/>
          </w:rPr>
          <w:t>范围</w:t>
        </w:r>
        <w:r>
          <w:rPr>
            <w:rFonts w:ascii="Times New Roman" w:eastAsia="Times New Roman"/>
            <w:sz w:val="21"/>
          </w:rPr>
          <w:tab/>
        </w:r>
        <w:r>
          <w:rPr>
            <w:sz w:val="21"/>
          </w:rPr>
          <w:t>1</w:t>
        </w:r>
      </w:hyperlink>
    </w:p>
    <w:p>
      <w:pPr>
        <w:pStyle w:val="ListParagraph"/>
        <w:numPr>
          <w:ilvl w:val="0"/>
          <w:numId w:val="25"/>
        </w:numPr>
        <w:tabs>
          <w:tab w:val="left" w:pos="608"/>
          <w:tab w:val="right" w:leader="dot" w:pos="9742"/>
        </w:tabs>
        <w:spacing w:before="131" w:after="0" w:line="240" w:lineRule="auto"/>
        <w:ind w:left="607" w:right="0" w:hanging="210"/>
        <w:jc w:val="left"/>
        <w:rPr>
          <w:sz w:val="21"/>
        </w:rPr>
      </w:pPr>
      <w:hyperlink w:anchor="_bookmark1" w:history="1">
        <w:r>
          <w:rPr>
            <w:sz w:val="21"/>
          </w:rPr>
          <w:t>规范性引用文件</w:t>
        </w:r>
        <w:r>
          <w:rPr>
            <w:rFonts w:ascii="Times New Roman" w:eastAsia="Times New Roman"/>
            <w:sz w:val="21"/>
          </w:rPr>
          <w:tab/>
        </w:r>
        <w:r>
          <w:rPr>
            <w:sz w:val="21"/>
          </w:rPr>
          <w:t>1</w:t>
        </w:r>
      </w:hyperlink>
    </w:p>
    <w:p>
      <w:pPr>
        <w:pStyle w:val="ListParagraph"/>
        <w:numPr>
          <w:ilvl w:val="0"/>
          <w:numId w:val="25"/>
        </w:numPr>
        <w:tabs>
          <w:tab w:val="left" w:pos="608"/>
          <w:tab w:val="right" w:leader="dot" w:pos="9742"/>
        </w:tabs>
        <w:spacing w:before="132" w:after="0" w:line="240" w:lineRule="auto"/>
        <w:ind w:left="607" w:right="0" w:hanging="210"/>
        <w:jc w:val="left"/>
        <w:rPr>
          <w:sz w:val="21"/>
        </w:rPr>
      </w:pPr>
      <w:hyperlink w:anchor="_bookmark2" w:history="1">
        <w:r>
          <w:rPr>
            <w:sz w:val="21"/>
          </w:rPr>
          <w:t>术语和定义</w:t>
        </w:r>
        <w:r>
          <w:rPr>
            <w:rFonts w:ascii="Times New Roman" w:eastAsia="Times New Roman"/>
            <w:sz w:val="21"/>
          </w:rPr>
          <w:tab/>
        </w:r>
        <w:r>
          <w:rPr>
            <w:sz w:val="21"/>
          </w:rPr>
          <w:t>1</w:t>
        </w:r>
      </w:hyperlink>
    </w:p>
    <w:p>
      <w:pPr>
        <w:pStyle w:val="ListParagraph"/>
        <w:numPr>
          <w:ilvl w:val="0"/>
          <w:numId w:val="25"/>
        </w:numPr>
        <w:tabs>
          <w:tab w:val="left" w:pos="608"/>
          <w:tab w:val="right" w:leader="dot" w:pos="9742"/>
        </w:tabs>
        <w:spacing w:before="130" w:after="0" w:line="240" w:lineRule="auto"/>
        <w:ind w:left="607" w:right="0" w:hanging="210"/>
        <w:jc w:val="left"/>
        <w:rPr>
          <w:sz w:val="21"/>
        </w:rPr>
      </w:pPr>
      <w:hyperlink w:anchor="_bookmark3" w:history="1">
        <w:r>
          <w:rPr>
            <w:sz w:val="21"/>
          </w:rPr>
          <w:t>分类与标记</w:t>
        </w:r>
        <w:r>
          <w:rPr>
            <w:rFonts w:ascii="Times New Roman" w:eastAsia="Times New Roman"/>
            <w:sz w:val="21"/>
          </w:rPr>
          <w:tab/>
        </w:r>
        <w:r>
          <w:rPr>
            <w:sz w:val="21"/>
          </w:rPr>
          <w:t>3</w:t>
        </w:r>
      </w:hyperlink>
    </w:p>
    <w:p>
      <w:pPr>
        <w:pStyle w:val="ListParagraph"/>
        <w:numPr>
          <w:ilvl w:val="1"/>
          <w:numId w:val="25"/>
        </w:numPr>
        <w:tabs>
          <w:tab w:val="left" w:pos="1028"/>
          <w:tab w:val="right" w:leader="dot" w:pos="9740"/>
        </w:tabs>
        <w:spacing w:before="52" w:after="0" w:line="240" w:lineRule="auto"/>
        <w:ind w:left="1027" w:right="0" w:hanging="421"/>
        <w:jc w:val="left"/>
        <w:rPr>
          <w:sz w:val="21"/>
        </w:rPr>
      </w:pPr>
      <w:hyperlink w:anchor="_bookmark4" w:history="1">
        <w:r>
          <w:rPr>
            <w:sz w:val="21"/>
          </w:rPr>
          <w:t>分类和代号</w:t>
        </w:r>
        <w:r>
          <w:rPr>
            <w:rFonts w:ascii="Times New Roman" w:eastAsia="Times New Roman"/>
            <w:sz w:val="21"/>
          </w:rPr>
          <w:tab/>
        </w:r>
        <w:r>
          <w:rPr>
            <w:sz w:val="21"/>
          </w:rPr>
          <w:t>3</w:t>
        </w:r>
      </w:hyperlink>
    </w:p>
    <w:p>
      <w:pPr>
        <w:pStyle w:val="ListParagraph"/>
        <w:numPr>
          <w:ilvl w:val="1"/>
          <w:numId w:val="25"/>
        </w:numPr>
        <w:tabs>
          <w:tab w:val="left" w:pos="1028"/>
          <w:tab w:val="right" w:leader="dot" w:pos="9740"/>
        </w:tabs>
        <w:spacing w:before="31" w:after="0" w:line="240" w:lineRule="auto"/>
        <w:ind w:left="1027" w:right="0" w:hanging="421"/>
        <w:jc w:val="left"/>
        <w:rPr>
          <w:sz w:val="21"/>
        </w:rPr>
      </w:pPr>
      <w:hyperlink w:anchor="_bookmark5" w:history="1">
        <w:r>
          <w:rPr>
            <w:sz w:val="21"/>
          </w:rPr>
          <w:t>标记</w:t>
        </w:r>
        <w:r>
          <w:rPr>
            <w:rFonts w:ascii="Times New Roman" w:eastAsia="Times New Roman"/>
            <w:sz w:val="21"/>
          </w:rPr>
          <w:tab/>
        </w:r>
        <w:r>
          <w:rPr>
            <w:sz w:val="21"/>
          </w:rPr>
          <w:t>3</w:t>
        </w:r>
      </w:hyperlink>
    </w:p>
    <w:p>
      <w:pPr>
        <w:pStyle w:val="ListParagraph"/>
        <w:numPr>
          <w:ilvl w:val="0"/>
          <w:numId w:val="25"/>
        </w:numPr>
        <w:tabs>
          <w:tab w:val="left" w:pos="608"/>
          <w:tab w:val="right" w:leader="dot" w:pos="9742"/>
        </w:tabs>
        <w:spacing w:before="110" w:after="0" w:line="240" w:lineRule="auto"/>
        <w:ind w:left="607" w:right="0" w:hanging="210"/>
        <w:jc w:val="left"/>
        <w:rPr>
          <w:sz w:val="21"/>
        </w:rPr>
      </w:pPr>
      <w:hyperlink w:anchor="_bookmark6" w:history="1">
        <w:r>
          <w:rPr>
            <w:sz w:val="21"/>
          </w:rPr>
          <w:t>技术要求</w:t>
        </w:r>
        <w:r>
          <w:rPr>
            <w:rFonts w:ascii="Times New Roman" w:eastAsia="Times New Roman"/>
            <w:sz w:val="21"/>
          </w:rPr>
          <w:tab/>
        </w:r>
        <w:r>
          <w:rPr>
            <w:sz w:val="21"/>
          </w:rPr>
          <w:t>3</w:t>
        </w:r>
      </w:hyperlink>
    </w:p>
    <w:p>
      <w:pPr>
        <w:pStyle w:val="ListParagraph"/>
        <w:numPr>
          <w:ilvl w:val="1"/>
          <w:numId w:val="25"/>
        </w:numPr>
        <w:tabs>
          <w:tab w:val="left" w:pos="1028"/>
          <w:tab w:val="right" w:leader="dot" w:pos="9740"/>
        </w:tabs>
        <w:spacing w:before="50" w:after="0" w:line="240" w:lineRule="auto"/>
        <w:ind w:left="1027" w:right="0" w:hanging="421"/>
        <w:jc w:val="left"/>
        <w:rPr>
          <w:sz w:val="21"/>
        </w:rPr>
      </w:pPr>
      <w:r>
        <w:rPr>
          <w:sz w:val="21"/>
        </w:rPr>
        <w:t>理化性能</w:t>
      </w:r>
      <w:r>
        <w:rPr>
          <w:rFonts w:ascii="Times New Roman" w:eastAsia="Times New Roman"/>
          <w:sz w:val="21"/>
        </w:rPr>
        <w:tab/>
      </w:r>
      <w:r>
        <w:rPr>
          <w:sz w:val="21"/>
        </w:rPr>
        <w:t>3</w:t>
      </w:r>
    </w:p>
    <w:p>
      <w:pPr>
        <w:pStyle w:val="ListParagraph"/>
        <w:numPr>
          <w:ilvl w:val="1"/>
          <w:numId w:val="25"/>
        </w:numPr>
        <w:tabs>
          <w:tab w:val="left" w:pos="1028"/>
          <w:tab w:val="right" w:leader="dot" w:pos="9740"/>
        </w:tabs>
        <w:spacing w:before="31" w:after="0" w:line="240" w:lineRule="auto"/>
        <w:ind w:left="1027" w:right="0" w:hanging="421"/>
        <w:jc w:val="left"/>
        <w:rPr>
          <w:sz w:val="21"/>
        </w:rPr>
      </w:pPr>
      <w:hyperlink w:anchor="_bookmark7" w:history="1">
        <w:r>
          <w:rPr>
            <w:sz w:val="21"/>
          </w:rPr>
          <w:t>应用性能</w:t>
        </w:r>
        <w:r>
          <w:rPr>
            <w:rFonts w:ascii="Times New Roman" w:eastAsia="Times New Roman"/>
            <w:sz w:val="21"/>
          </w:rPr>
          <w:tab/>
        </w:r>
        <w:r>
          <w:rPr>
            <w:sz w:val="21"/>
          </w:rPr>
          <w:t>4</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8" w:history="1">
        <w:r>
          <w:rPr>
            <w:sz w:val="21"/>
          </w:rPr>
          <w:t>高性能减水剂</w:t>
        </w:r>
        <w:r>
          <w:rPr>
            <w:rFonts w:ascii="Times New Roman" w:eastAsia="Times New Roman"/>
            <w:sz w:val="21"/>
          </w:rPr>
          <w:tab/>
        </w:r>
        <w:r>
          <w:rPr>
            <w:sz w:val="21"/>
          </w:rPr>
          <w:t>4</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9" w:history="1">
        <w:r>
          <w:rPr>
            <w:sz w:val="21"/>
          </w:rPr>
          <w:t>高效减水剂</w:t>
        </w:r>
        <w:r>
          <w:rPr>
            <w:rFonts w:ascii="Times New Roman" w:eastAsia="Times New Roman"/>
            <w:sz w:val="21"/>
          </w:rPr>
          <w:tab/>
        </w:r>
        <w:r>
          <w:rPr>
            <w:sz w:val="21"/>
          </w:rPr>
          <w:t>5</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0" w:history="1">
        <w:r>
          <w:rPr>
            <w:sz w:val="21"/>
          </w:rPr>
          <w:t>普通减水剂</w:t>
        </w:r>
        <w:r>
          <w:rPr>
            <w:rFonts w:ascii="Times New Roman" w:eastAsia="Times New Roman"/>
            <w:sz w:val="21"/>
          </w:rPr>
          <w:tab/>
        </w:r>
        <w:r>
          <w:rPr>
            <w:sz w:val="21"/>
          </w:rPr>
          <w:t>5</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1" w:history="1">
        <w:r>
          <w:rPr>
            <w:sz w:val="21"/>
          </w:rPr>
          <w:t>引气减水剂</w:t>
        </w:r>
        <w:r>
          <w:rPr>
            <w:rFonts w:ascii="Times New Roman" w:eastAsia="Times New Roman"/>
            <w:sz w:val="21"/>
          </w:rPr>
          <w:tab/>
        </w:r>
        <w:r>
          <w:rPr>
            <w:sz w:val="21"/>
          </w:rPr>
          <w:t>6</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2" w:history="1">
        <w:r>
          <w:rPr>
            <w:sz w:val="21"/>
          </w:rPr>
          <w:t>泵送剂</w:t>
        </w:r>
        <w:r>
          <w:rPr>
            <w:rFonts w:ascii="Times New Roman" w:eastAsia="Times New Roman"/>
            <w:sz w:val="21"/>
          </w:rPr>
          <w:tab/>
        </w:r>
        <w:r>
          <w:rPr>
            <w:sz w:val="21"/>
          </w:rPr>
          <w:t>6</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3" w:history="1">
        <w:r>
          <w:rPr>
            <w:sz w:val="21"/>
          </w:rPr>
          <w:t>早强剂</w:t>
        </w:r>
        <w:r>
          <w:rPr>
            <w:rFonts w:ascii="Times New Roman" w:eastAsia="Times New Roman"/>
            <w:sz w:val="21"/>
          </w:rPr>
          <w:tab/>
        </w:r>
        <w:r>
          <w:rPr>
            <w:sz w:val="21"/>
          </w:rPr>
          <w:t>7</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4" w:history="1">
        <w:r>
          <w:rPr>
            <w:sz w:val="21"/>
          </w:rPr>
          <w:t>缓凝剂</w:t>
        </w:r>
        <w:r>
          <w:rPr>
            <w:rFonts w:ascii="Times New Roman" w:eastAsia="Times New Roman"/>
            <w:sz w:val="21"/>
          </w:rPr>
          <w:tab/>
        </w:r>
        <w:r>
          <w:rPr>
            <w:sz w:val="21"/>
          </w:rPr>
          <w:t>7</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5" w:history="1">
        <w:r>
          <w:rPr>
            <w:sz w:val="21"/>
          </w:rPr>
          <w:t>引气剂</w:t>
        </w:r>
        <w:r>
          <w:rPr>
            <w:rFonts w:ascii="Times New Roman" w:eastAsia="Times New Roman"/>
            <w:sz w:val="21"/>
          </w:rPr>
          <w:tab/>
        </w:r>
        <w:r>
          <w:rPr>
            <w:sz w:val="21"/>
          </w:rPr>
          <w:t>8</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6" w:history="1">
        <w:r>
          <w:rPr>
            <w:sz w:val="21"/>
          </w:rPr>
          <w:t>防水剂</w:t>
        </w:r>
        <w:r>
          <w:rPr>
            <w:rFonts w:ascii="Times New Roman" w:eastAsia="Times New Roman"/>
            <w:sz w:val="21"/>
          </w:rPr>
          <w:tab/>
        </w:r>
        <w:r>
          <w:rPr>
            <w:sz w:val="21"/>
          </w:rPr>
          <w:t>8</w:t>
        </w:r>
      </w:hyperlink>
    </w:p>
    <w:p>
      <w:pPr>
        <w:pStyle w:val="ListParagraph"/>
        <w:numPr>
          <w:ilvl w:val="2"/>
          <w:numId w:val="25"/>
        </w:numPr>
        <w:tabs>
          <w:tab w:val="left" w:pos="1553"/>
          <w:tab w:val="right" w:leader="dot" w:pos="9742"/>
        </w:tabs>
        <w:spacing w:before="31" w:after="0" w:line="240" w:lineRule="auto"/>
        <w:ind w:left="1552" w:right="0" w:hanging="735"/>
        <w:jc w:val="left"/>
        <w:rPr>
          <w:sz w:val="21"/>
        </w:rPr>
      </w:pPr>
      <w:hyperlink w:anchor="_bookmark17" w:history="1">
        <w:r>
          <w:rPr>
            <w:sz w:val="21"/>
          </w:rPr>
          <w:t>防冻剂</w:t>
        </w:r>
        <w:r>
          <w:rPr>
            <w:rFonts w:ascii="Times New Roman" w:eastAsia="Times New Roman"/>
            <w:sz w:val="21"/>
          </w:rPr>
          <w:tab/>
        </w:r>
        <w:r>
          <w:rPr>
            <w:sz w:val="21"/>
          </w:rPr>
          <w:t>9</w:t>
        </w:r>
      </w:hyperlink>
    </w:p>
    <w:p>
      <w:pPr>
        <w:pStyle w:val="ListParagraph"/>
        <w:numPr>
          <w:ilvl w:val="0"/>
          <w:numId w:val="25"/>
        </w:numPr>
        <w:tabs>
          <w:tab w:val="left" w:pos="608"/>
          <w:tab w:val="right" w:leader="dot" w:pos="9742"/>
        </w:tabs>
        <w:spacing w:before="112" w:after="0" w:line="240" w:lineRule="auto"/>
        <w:ind w:left="607" w:right="0" w:hanging="210"/>
        <w:jc w:val="left"/>
        <w:rPr>
          <w:sz w:val="21"/>
        </w:rPr>
      </w:pPr>
      <w:hyperlink w:anchor="_bookmark18" w:history="1">
        <w:r>
          <w:rPr>
            <w:sz w:val="21"/>
          </w:rPr>
          <w:t>试验方法</w:t>
        </w:r>
        <w:r>
          <w:rPr>
            <w:rFonts w:ascii="Times New Roman" w:eastAsia="Times New Roman"/>
            <w:sz w:val="21"/>
          </w:rPr>
          <w:tab/>
        </w:r>
        <w:r>
          <w:rPr>
            <w:sz w:val="21"/>
          </w:rPr>
          <w:t>10</w:t>
        </w:r>
      </w:hyperlink>
    </w:p>
    <w:p>
      <w:pPr>
        <w:pStyle w:val="ListParagraph"/>
        <w:numPr>
          <w:ilvl w:val="1"/>
          <w:numId w:val="25"/>
        </w:numPr>
        <w:tabs>
          <w:tab w:val="left" w:pos="1028"/>
          <w:tab w:val="right" w:leader="dot" w:pos="9740"/>
        </w:tabs>
        <w:spacing w:before="50" w:after="0" w:line="240" w:lineRule="auto"/>
        <w:ind w:left="1027" w:right="0" w:hanging="421"/>
        <w:jc w:val="left"/>
        <w:rPr>
          <w:sz w:val="21"/>
        </w:rPr>
      </w:pPr>
      <w:r>
        <w:rPr>
          <w:sz w:val="21"/>
        </w:rPr>
        <w:t>理化性能</w:t>
      </w:r>
      <w:r>
        <w:rPr>
          <w:rFonts w:ascii="Times New Roman" w:eastAsia="Times New Roman"/>
          <w:sz w:val="21"/>
        </w:rPr>
        <w:tab/>
      </w:r>
      <w:r>
        <w:rPr>
          <w:sz w:val="21"/>
        </w:rPr>
        <w:t>10</w:t>
      </w:r>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19" w:history="1">
        <w:r>
          <w:rPr>
            <w:sz w:val="21"/>
          </w:rPr>
          <w:t>氯离子含量</w:t>
        </w:r>
        <w:r>
          <w:rPr>
            <w:rFonts w:ascii="Times New Roman" w:eastAsia="Times New Roman"/>
            <w:sz w:val="21"/>
          </w:rPr>
          <w:tab/>
        </w:r>
        <w:r>
          <w:rPr>
            <w:sz w:val="21"/>
          </w:rPr>
          <w:t>10</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20" w:history="1">
        <w:r>
          <w:rPr>
            <w:sz w:val="21"/>
          </w:rPr>
          <w:t>释放氨的量</w:t>
        </w:r>
        <w:r>
          <w:rPr>
            <w:rFonts w:ascii="Times New Roman" w:eastAsia="Times New Roman"/>
            <w:sz w:val="21"/>
          </w:rPr>
          <w:tab/>
        </w:r>
        <w:r>
          <w:rPr>
            <w:sz w:val="21"/>
          </w:rPr>
          <w:t>10</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21" w:history="1">
        <w:r>
          <w:rPr>
            <w:sz w:val="21"/>
          </w:rPr>
          <w:t>残留甲醛的量</w:t>
        </w:r>
        <w:r>
          <w:rPr>
            <w:rFonts w:ascii="Times New Roman" w:eastAsia="Times New Roman"/>
            <w:sz w:val="21"/>
          </w:rPr>
          <w:tab/>
        </w:r>
        <w:r>
          <w:rPr>
            <w:sz w:val="21"/>
          </w:rPr>
          <w:t>10</w:t>
        </w:r>
      </w:hyperlink>
    </w:p>
    <w:p>
      <w:pPr>
        <w:pStyle w:val="ListParagraph"/>
        <w:numPr>
          <w:ilvl w:val="2"/>
          <w:numId w:val="25"/>
        </w:numPr>
        <w:tabs>
          <w:tab w:val="left" w:pos="1448"/>
          <w:tab w:val="right" w:leader="dot" w:pos="9742"/>
        </w:tabs>
        <w:spacing w:before="31" w:after="0" w:line="240" w:lineRule="auto"/>
        <w:ind w:left="1447" w:right="0" w:hanging="630"/>
        <w:jc w:val="left"/>
        <w:rPr>
          <w:sz w:val="21"/>
        </w:rPr>
      </w:pPr>
      <w:hyperlink w:anchor="_bookmark22" w:history="1">
        <w:r>
          <w:rPr>
            <w:sz w:val="21"/>
          </w:rPr>
          <w:t>碱含量、硫酸钠含量、pH</w:t>
        </w:r>
        <w:r>
          <w:rPr>
            <w:spacing w:val="-55"/>
            <w:sz w:val="21"/>
          </w:rPr>
          <w:t xml:space="preserve"> </w:t>
        </w:r>
        <w:r>
          <w:rPr>
            <w:sz w:val="21"/>
          </w:rPr>
          <w:t>值、含固量、密度、含水率、细度</w:t>
        </w:r>
        <w:r>
          <w:rPr>
            <w:rFonts w:ascii="Times New Roman" w:eastAsia="Times New Roman"/>
            <w:sz w:val="21"/>
          </w:rPr>
          <w:tab/>
        </w:r>
        <w:r>
          <w:rPr>
            <w:sz w:val="21"/>
          </w:rPr>
          <w:t>10</w:t>
        </w:r>
      </w:hyperlink>
    </w:p>
    <w:p>
      <w:pPr>
        <w:pStyle w:val="ListParagraph"/>
        <w:numPr>
          <w:ilvl w:val="1"/>
          <w:numId w:val="25"/>
        </w:numPr>
        <w:tabs>
          <w:tab w:val="left" w:pos="1028"/>
          <w:tab w:val="right" w:leader="dot" w:pos="9742"/>
        </w:tabs>
        <w:spacing w:before="31" w:after="0" w:line="240" w:lineRule="auto"/>
        <w:ind w:left="1027" w:right="0" w:hanging="421"/>
        <w:jc w:val="left"/>
        <w:rPr>
          <w:sz w:val="21"/>
        </w:rPr>
      </w:pPr>
      <w:hyperlink w:anchor="_bookmark23" w:history="1">
        <w:r>
          <w:rPr>
            <w:sz w:val="21"/>
          </w:rPr>
          <w:t>应用性能</w:t>
        </w:r>
        <w:r>
          <w:rPr>
            <w:rFonts w:ascii="Times New Roman" w:eastAsia="Times New Roman"/>
            <w:sz w:val="21"/>
          </w:rPr>
          <w:tab/>
        </w:r>
        <w:r>
          <w:rPr>
            <w:sz w:val="21"/>
          </w:rPr>
          <w:t>10</w:t>
        </w:r>
      </w:hyperlink>
    </w:p>
    <w:p>
      <w:pPr>
        <w:pStyle w:val="BodyText"/>
        <w:tabs>
          <w:tab w:val="right" w:leader="dot" w:pos="9742"/>
        </w:tabs>
        <w:spacing w:before="31"/>
        <w:ind w:left="818"/>
      </w:pPr>
      <w:hyperlink w:anchor="_bookmark24" w:history="1">
        <w:r>
          <w:t>6.2.1</w:t>
        </w:r>
        <w:r>
          <w:rPr>
            <w:spacing w:val="-2"/>
          </w:rPr>
          <w:t xml:space="preserve"> </w:t>
        </w:r>
        <w:r>
          <w:t>材料</w:t>
        </w:r>
        <w:r>
          <w:rPr>
            <w:rFonts w:ascii="Times New Roman" w:eastAsia="Times New Roman"/>
          </w:rPr>
          <w:tab/>
        </w:r>
        <w:r>
          <w:t>10</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25" w:history="1">
        <w:r>
          <w:rPr>
            <w:sz w:val="21"/>
          </w:rPr>
          <w:t>试验条件</w:t>
        </w:r>
        <w:r>
          <w:rPr>
            <w:rFonts w:ascii="Times New Roman" w:eastAsia="Times New Roman"/>
            <w:sz w:val="21"/>
          </w:rPr>
          <w:tab/>
        </w:r>
        <w:r>
          <w:rPr>
            <w:sz w:val="21"/>
          </w:rPr>
          <w:t>11</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26" w:history="1">
        <w:r>
          <w:rPr>
            <w:sz w:val="21"/>
          </w:rPr>
          <w:t>混凝土配合比</w:t>
        </w:r>
        <w:r>
          <w:rPr>
            <w:rFonts w:ascii="Times New Roman" w:eastAsia="Times New Roman"/>
            <w:sz w:val="21"/>
          </w:rPr>
          <w:tab/>
        </w:r>
        <w:r>
          <w:rPr>
            <w:sz w:val="21"/>
          </w:rPr>
          <w:t>11</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27" w:history="1">
        <w:r>
          <w:rPr>
            <w:sz w:val="21"/>
          </w:rPr>
          <w:t>混凝土搅拌</w:t>
        </w:r>
        <w:r>
          <w:rPr>
            <w:rFonts w:ascii="Times New Roman" w:eastAsia="Times New Roman"/>
            <w:sz w:val="21"/>
          </w:rPr>
          <w:tab/>
        </w:r>
        <w:r>
          <w:rPr>
            <w:sz w:val="21"/>
          </w:rPr>
          <w:t>11</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28" w:history="1">
        <w:r>
          <w:rPr>
            <w:sz w:val="21"/>
          </w:rPr>
          <w:t>试件制作及试样数量</w:t>
        </w:r>
        <w:r>
          <w:rPr>
            <w:rFonts w:ascii="Times New Roman" w:eastAsia="Times New Roman"/>
            <w:sz w:val="21"/>
          </w:rPr>
          <w:tab/>
        </w:r>
        <w:r>
          <w:rPr>
            <w:sz w:val="21"/>
          </w:rPr>
          <w:t>12</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29" w:history="1">
        <w:r>
          <w:rPr>
            <w:sz w:val="21"/>
          </w:rPr>
          <w:t>安定性</w:t>
        </w:r>
        <w:r>
          <w:rPr>
            <w:rFonts w:ascii="Times New Roman" w:eastAsia="Times New Roman"/>
            <w:sz w:val="21"/>
          </w:rPr>
          <w:tab/>
        </w:r>
        <w:r>
          <w:rPr>
            <w:sz w:val="21"/>
          </w:rPr>
          <w:t>13</w:t>
        </w:r>
      </w:hyperlink>
    </w:p>
    <w:p>
      <w:pPr>
        <w:pStyle w:val="ListParagraph"/>
        <w:numPr>
          <w:ilvl w:val="2"/>
          <w:numId w:val="24"/>
        </w:numPr>
        <w:tabs>
          <w:tab w:val="left" w:pos="1448"/>
          <w:tab w:val="right" w:leader="dot" w:pos="9742"/>
        </w:tabs>
        <w:spacing w:before="30" w:after="0" w:line="240" w:lineRule="auto"/>
        <w:ind w:left="1447" w:right="0" w:hanging="630"/>
        <w:jc w:val="left"/>
        <w:rPr>
          <w:sz w:val="21"/>
        </w:rPr>
      </w:pPr>
      <w:hyperlink w:anchor="_bookmark30" w:history="1">
        <w:r>
          <w:rPr>
            <w:sz w:val="21"/>
          </w:rPr>
          <w:t>坍落度和坍落度</w:t>
        </w:r>
        <w:r>
          <w:rPr>
            <w:spacing w:val="-54"/>
            <w:sz w:val="21"/>
          </w:rPr>
          <w:t xml:space="preserve"> </w:t>
        </w:r>
        <w:r>
          <w:rPr>
            <w:sz w:val="21"/>
          </w:rPr>
          <w:t>1</w:t>
        </w:r>
        <w:r>
          <w:rPr>
            <w:spacing w:val="1"/>
            <w:sz w:val="21"/>
          </w:rPr>
          <w:t xml:space="preserve"> </w:t>
        </w:r>
        <w:r>
          <w:rPr>
            <w:sz w:val="21"/>
          </w:rPr>
          <w:t>h</w:t>
        </w:r>
        <w:r>
          <w:rPr>
            <w:spacing w:val="-52"/>
            <w:sz w:val="21"/>
          </w:rPr>
          <w:t xml:space="preserve"> </w:t>
        </w:r>
        <w:r>
          <w:rPr>
            <w:sz w:val="21"/>
          </w:rPr>
          <w:t>经时变化量</w:t>
        </w:r>
        <w:r>
          <w:rPr>
            <w:rFonts w:ascii="Times New Roman" w:eastAsia="Times New Roman"/>
            <w:sz w:val="21"/>
          </w:rPr>
          <w:tab/>
        </w:r>
        <w:r>
          <w:rPr>
            <w:sz w:val="21"/>
          </w:rPr>
          <w:t>14</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31" w:history="1">
        <w:r>
          <w:rPr>
            <w:sz w:val="21"/>
          </w:rPr>
          <w:t>减水率</w:t>
        </w:r>
        <w:r>
          <w:rPr>
            <w:rFonts w:ascii="Times New Roman" w:eastAsia="Times New Roman"/>
            <w:sz w:val="21"/>
          </w:rPr>
          <w:tab/>
        </w:r>
        <w:r>
          <w:rPr>
            <w:sz w:val="21"/>
          </w:rPr>
          <w:t>14</w:t>
        </w:r>
      </w:hyperlink>
    </w:p>
    <w:p>
      <w:pPr>
        <w:pStyle w:val="ListParagraph"/>
        <w:numPr>
          <w:ilvl w:val="2"/>
          <w:numId w:val="24"/>
        </w:numPr>
        <w:tabs>
          <w:tab w:val="left" w:pos="1448"/>
          <w:tab w:val="right" w:leader="dot" w:pos="9742"/>
        </w:tabs>
        <w:spacing w:before="31" w:after="0" w:line="240" w:lineRule="auto"/>
        <w:ind w:left="1447" w:right="0" w:hanging="630"/>
        <w:jc w:val="left"/>
        <w:rPr>
          <w:sz w:val="21"/>
        </w:rPr>
      </w:pPr>
      <w:hyperlink w:anchor="_bookmark32" w:history="1">
        <w:r>
          <w:rPr>
            <w:sz w:val="21"/>
          </w:rPr>
          <w:t>泌水率比</w:t>
        </w:r>
        <w:r>
          <w:rPr>
            <w:rFonts w:ascii="Times New Roman" w:eastAsia="Times New Roman"/>
            <w:sz w:val="21"/>
          </w:rPr>
          <w:tab/>
        </w:r>
        <w:r>
          <w:rPr>
            <w:sz w:val="21"/>
          </w:rPr>
          <w:t>14</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3" w:history="1">
        <w:r>
          <w:rPr>
            <w:sz w:val="21"/>
          </w:rPr>
          <w:t>压力泌水率比</w:t>
        </w:r>
        <w:r>
          <w:rPr>
            <w:rFonts w:ascii="Times New Roman" w:eastAsia="Times New Roman"/>
            <w:sz w:val="21"/>
          </w:rPr>
          <w:tab/>
        </w:r>
        <w:r>
          <w:rPr>
            <w:sz w:val="21"/>
          </w:rPr>
          <w:t>15</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4" w:history="1">
        <w:r>
          <w:rPr>
            <w:sz w:val="21"/>
          </w:rPr>
          <w:t>含气量和含气量</w:t>
        </w:r>
        <w:r>
          <w:rPr>
            <w:spacing w:val="-54"/>
            <w:sz w:val="21"/>
          </w:rPr>
          <w:t xml:space="preserve"> </w:t>
        </w:r>
        <w:r>
          <w:rPr>
            <w:sz w:val="21"/>
          </w:rPr>
          <w:t>1</w:t>
        </w:r>
        <w:r>
          <w:rPr>
            <w:spacing w:val="1"/>
            <w:sz w:val="21"/>
          </w:rPr>
          <w:t xml:space="preserve"> </w:t>
        </w:r>
        <w:r>
          <w:rPr>
            <w:sz w:val="21"/>
          </w:rPr>
          <w:t>h</w:t>
        </w:r>
        <w:r>
          <w:rPr>
            <w:spacing w:val="-52"/>
            <w:sz w:val="21"/>
          </w:rPr>
          <w:t xml:space="preserve"> </w:t>
        </w:r>
        <w:r>
          <w:rPr>
            <w:sz w:val="21"/>
          </w:rPr>
          <w:t>经时变化量</w:t>
        </w:r>
        <w:r>
          <w:rPr>
            <w:rFonts w:ascii="Times New Roman" w:eastAsia="Times New Roman"/>
            <w:sz w:val="21"/>
          </w:rPr>
          <w:tab/>
        </w:r>
        <w:r>
          <w:rPr>
            <w:sz w:val="21"/>
          </w:rPr>
          <w:t>15</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5" w:history="1">
        <w:r>
          <w:rPr>
            <w:sz w:val="21"/>
          </w:rPr>
          <w:t>凝结时间之差</w:t>
        </w:r>
        <w:r>
          <w:rPr>
            <w:rFonts w:ascii="Times New Roman" w:eastAsia="Times New Roman"/>
            <w:sz w:val="21"/>
          </w:rPr>
          <w:tab/>
        </w:r>
        <w:r>
          <w:rPr>
            <w:sz w:val="21"/>
          </w:rPr>
          <w:t>16</w:t>
        </w:r>
      </w:hyperlink>
    </w:p>
    <w:p>
      <w:pPr>
        <w:spacing w:before="133"/>
        <w:ind w:left="0" w:right="538" w:firstLine="0"/>
        <w:jc w:val="right"/>
        <w:rPr>
          <w:sz w:val="18"/>
        </w:rPr>
      </w:pPr>
      <w:r>
        <w:rPr>
          <w:sz w:val="18"/>
        </w:rPr>
        <w:t>I</w:t>
      </w:r>
    </w:p>
    <w:p>
      <w:pPr>
        <w:spacing w:after="0"/>
        <w:jc w:val="right"/>
        <w:rPr>
          <w:sz w:val="18"/>
        </w:rPr>
        <w:sectPr>
          <w:footerReference w:type="even" r:id="rId5"/>
          <w:pgSz w:w="11910" w:h="16840"/>
          <w:pgMar w:top="1580" w:right="820" w:bottom="280" w:left="1020" w:header="0" w:footer="0"/>
          <w:pgNumType w:start="3"/>
          <w:cols w:space="708"/>
        </w:sectPr>
      </w:pPr>
    </w:p>
    <w:p>
      <w:pPr>
        <w:pStyle w:val="ListParagraph"/>
        <w:numPr>
          <w:ilvl w:val="2"/>
          <w:numId w:val="24"/>
        </w:numPr>
        <w:tabs>
          <w:tab w:val="left" w:pos="1553"/>
          <w:tab w:val="right" w:leader="dot" w:pos="9742"/>
        </w:tabs>
        <w:spacing w:before="68" w:after="0" w:line="240" w:lineRule="auto"/>
        <w:ind w:left="1552" w:right="0" w:hanging="735"/>
        <w:jc w:val="left"/>
        <w:rPr>
          <w:sz w:val="21"/>
        </w:rPr>
      </w:pPr>
      <w:hyperlink w:anchor="_bookmark36" w:history="1">
        <w:r>
          <w:rPr>
            <w:sz w:val="21"/>
          </w:rPr>
          <w:t>抗压强度比</w:t>
        </w:r>
        <w:r>
          <w:rPr>
            <w:rFonts w:ascii="Times New Roman" w:eastAsia="Times New Roman"/>
            <w:sz w:val="21"/>
          </w:rPr>
          <w:tab/>
        </w:r>
        <w:r>
          <w:rPr>
            <w:sz w:val="21"/>
          </w:rPr>
          <w:t>17</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7" w:history="1">
        <w:r>
          <w:rPr>
            <w:sz w:val="21"/>
          </w:rPr>
          <w:t>负温抗压强度比</w:t>
        </w:r>
        <w:r>
          <w:rPr>
            <w:rFonts w:ascii="Times New Roman" w:eastAsia="Times New Roman"/>
            <w:sz w:val="21"/>
          </w:rPr>
          <w:tab/>
        </w:r>
        <w:r>
          <w:rPr>
            <w:sz w:val="21"/>
          </w:rPr>
          <w:t>17</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8" w:history="1">
        <w:r>
          <w:rPr>
            <w:sz w:val="21"/>
          </w:rPr>
          <w:t>收缩率比</w:t>
        </w:r>
        <w:r>
          <w:rPr>
            <w:rFonts w:ascii="Times New Roman" w:eastAsia="Times New Roman"/>
            <w:sz w:val="21"/>
          </w:rPr>
          <w:tab/>
        </w:r>
        <w:r>
          <w:rPr>
            <w:sz w:val="21"/>
          </w:rPr>
          <w:t>18</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39" w:history="1">
        <w:r>
          <w:rPr>
            <w:sz w:val="21"/>
          </w:rPr>
          <w:t>负温收缩率比</w:t>
        </w:r>
        <w:r>
          <w:rPr>
            <w:rFonts w:ascii="Times New Roman" w:eastAsia="Times New Roman"/>
            <w:sz w:val="21"/>
          </w:rPr>
          <w:tab/>
        </w:r>
        <w:r>
          <w:rPr>
            <w:sz w:val="21"/>
          </w:rPr>
          <w:t>18</w:t>
        </w:r>
      </w:hyperlink>
    </w:p>
    <w:p>
      <w:pPr>
        <w:pStyle w:val="ListParagraph"/>
        <w:numPr>
          <w:ilvl w:val="2"/>
          <w:numId w:val="24"/>
        </w:numPr>
        <w:tabs>
          <w:tab w:val="left" w:pos="1553"/>
          <w:tab w:val="right" w:leader="dot" w:pos="9742"/>
        </w:tabs>
        <w:spacing w:before="30" w:after="0" w:line="240" w:lineRule="auto"/>
        <w:ind w:left="1552" w:right="0" w:hanging="735"/>
        <w:jc w:val="left"/>
        <w:rPr>
          <w:sz w:val="21"/>
        </w:rPr>
      </w:pPr>
      <w:hyperlink w:anchor="_bookmark40" w:history="1">
        <w:r>
          <w:rPr>
            <w:sz w:val="21"/>
          </w:rPr>
          <w:t>抗冻性指标</w:t>
        </w:r>
        <w:r>
          <w:rPr>
            <w:rFonts w:ascii="Times New Roman" w:eastAsia="Times New Roman"/>
            <w:sz w:val="21"/>
          </w:rPr>
          <w:tab/>
        </w:r>
        <w:r>
          <w:rPr>
            <w:sz w:val="21"/>
          </w:rPr>
          <w:t>18</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41" w:history="1">
        <w:r>
          <w:rPr>
            <w:sz w:val="21"/>
          </w:rPr>
          <w:t>渗透高度比</w:t>
        </w:r>
        <w:r>
          <w:rPr>
            <w:rFonts w:ascii="Times New Roman" w:eastAsia="Times New Roman"/>
            <w:sz w:val="21"/>
          </w:rPr>
          <w:tab/>
        </w:r>
        <w:r>
          <w:rPr>
            <w:sz w:val="21"/>
          </w:rPr>
          <w:t>19</w:t>
        </w:r>
      </w:hyperlink>
    </w:p>
    <w:p>
      <w:pPr>
        <w:pStyle w:val="ListParagraph"/>
        <w:numPr>
          <w:ilvl w:val="2"/>
          <w:numId w:val="24"/>
        </w:numPr>
        <w:tabs>
          <w:tab w:val="left" w:pos="1553"/>
          <w:tab w:val="right" w:leader="dot" w:pos="9742"/>
        </w:tabs>
        <w:spacing w:before="31" w:after="0" w:line="240" w:lineRule="auto"/>
        <w:ind w:left="1552" w:right="0" w:hanging="735"/>
        <w:jc w:val="left"/>
        <w:rPr>
          <w:sz w:val="21"/>
        </w:rPr>
      </w:pPr>
      <w:hyperlink w:anchor="_bookmark42" w:history="1">
        <w:r>
          <w:rPr>
            <w:sz w:val="21"/>
          </w:rPr>
          <w:t>负温渗透高度比</w:t>
        </w:r>
        <w:r>
          <w:rPr>
            <w:rFonts w:ascii="Times New Roman" w:eastAsia="Times New Roman"/>
            <w:sz w:val="21"/>
          </w:rPr>
          <w:tab/>
        </w:r>
        <w:r>
          <w:rPr>
            <w:sz w:val="21"/>
          </w:rPr>
          <w:t>19</w:t>
        </w:r>
      </w:hyperlink>
    </w:p>
    <w:p>
      <w:pPr>
        <w:pStyle w:val="BodyText"/>
        <w:tabs>
          <w:tab w:val="right" w:leader="dot" w:pos="9742"/>
        </w:tabs>
        <w:spacing w:before="31"/>
        <w:ind w:left="818"/>
      </w:pPr>
      <w:hyperlink w:anchor="_bookmark43" w:history="1">
        <w:r>
          <w:t>6.2.20</w:t>
        </w:r>
        <w:r>
          <w:rPr>
            <w:spacing w:val="-2"/>
          </w:rPr>
          <w:t xml:space="preserve"> </w:t>
        </w:r>
        <w:r>
          <w:t>吸水量比（48</w:t>
        </w:r>
        <w:r>
          <w:rPr>
            <w:spacing w:val="-1"/>
          </w:rPr>
          <w:t xml:space="preserve"> </w:t>
        </w:r>
        <w:r>
          <w:t>h）</w:t>
        </w:r>
        <w:r>
          <w:rPr>
            <w:rFonts w:ascii="Times New Roman" w:eastAsia="Times New Roman"/>
          </w:rPr>
          <w:tab/>
        </w:r>
        <w:r>
          <w:t>19</w:t>
        </w:r>
      </w:hyperlink>
    </w:p>
    <w:p>
      <w:pPr>
        <w:pStyle w:val="BodyText"/>
        <w:tabs>
          <w:tab w:val="right" w:leader="dot" w:pos="9742"/>
        </w:tabs>
        <w:spacing w:before="31"/>
        <w:ind w:left="818"/>
      </w:pPr>
      <w:hyperlink w:anchor="_bookmark44" w:history="1">
        <w:r>
          <w:t>6.2.21</w:t>
        </w:r>
        <w:r>
          <w:rPr>
            <w:spacing w:val="-2"/>
          </w:rPr>
          <w:t xml:space="preserve"> </w:t>
        </w:r>
        <w:r>
          <w:t>50</w:t>
        </w:r>
        <w:r>
          <w:rPr>
            <w:spacing w:val="-54"/>
          </w:rPr>
          <w:t xml:space="preserve"> </w:t>
        </w:r>
        <w:r>
          <w:t>次冻融强度损失率比</w:t>
        </w:r>
        <w:r>
          <w:rPr>
            <w:rFonts w:ascii="Times New Roman" w:eastAsia="Times New Roman"/>
          </w:rPr>
          <w:tab/>
        </w:r>
        <w:r>
          <w:t>20</w:t>
        </w:r>
      </w:hyperlink>
    </w:p>
    <w:p>
      <w:pPr>
        <w:pStyle w:val="ListParagraph"/>
        <w:numPr>
          <w:ilvl w:val="0"/>
          <w:numId w:val="25"/>
        </w:numPr>
        <w:tabs>
          <w:tab w:val="left" w:pos="608"/>
          <w:tab w:val="right" w:leader="dot" w:pos="9742"/>
        </w:tabs>
        <w:spacing w:before="113" w:after="0" w:line="240" w:lineRule="auto"/>
        <w:ind w:left="607" w:right="0" w:hanging="210"/>
        <w:jc w:val="left"/>
        <w:rPr>
          <w:sz w:val="21"/>
        </w:rPr>
      </w:pPr>
      <w:hyperlink w:anchor="_bookmark45" w:history="1">
        <w:r>
          <w:rPr>
            <w:sz w:val="21"/>
          </w:rPr>
          <w:t>检验规则</w:t>
        </w:r>
        <w:r>
          <w:rPr>
            <w:rFonts w:ascii="Times New Roman" w:eastAsia="Times New Roman"/>
            <w:sz w:val="21"/>
          </w:rPr>
          <w:tab/>
        </w:r>
        <w:r>
          <w:rPr>
            <w:sz w:val="21"/>
          </w:rPr>
          <w:t>20</w:t>
        </w:r>
      </w:hyperlink>
    </w:p>
    <w:p>
      <w:pPr>
        <w:pStyle w:val="ListParagraph"/>
        <w:numPr>
          <w:ilvl w:val="1"/>
          <w:numId w:val="25"/>
        </w:numPr>
        <w:tabs>
          <w:tab w:val="left" w:pos="1028"/>
          <w:tab w:val="right" w:leader="dot" w:pos="9742"/>
        </w:tabs>
        <w:spacing w:before="50" w:after="0" w:line="240" w:lineRule="auto"/>
        <w:ind w:left="1027" w:right="0" w:hanging="421"/>
        <w:jc w:val="left"/>
        <w:rPr>
          <w:sz w:val="21"/>
        </w:rPr>
      </w:pPr>
      <w:hyperlink w:anchor="_bookmark46" w:history="1">
        <w:r>
          <w:rPr>
            <w:sz w:val="21"/>
          </w:rPr>
          <w:t>批号和取样</w:t>
        </w:r>
        <w:r>
          <w:rPr>
            <w:rFonts w:ascii="Times New Roman" w:eastAsia="Times New Roman"/>
            <w:sz w:val="21"/>
          </w:rPr>
          <w:tab/>
        </w:r>
        <w:r>
          <w:rPr>
            <w:sz w:val="21"/>
          </w:rPr>
          <w:t>20</w:t>
        </w:r>
      </w:hyperlink>
    </w:p>
    <w:p>
      <w:pPr>
        <w:pStyle w:val="ListParagraph"/>
        <w:numPr>
          <w:ilvl w:val="1"/>
          <w:numId w:val="25"/>
        </w:numPr>
        <w:tabs>
          <w:tab w:val="left" w:pos="1028"/>
          <w:tab w:val="right" w:leader="dot" w:pos="9742"/>
        </w:tabs>
        <w:spacing w:before="31" w:after="0" w:line="240" w:lineRule="auto"/>
        <w:ind w:left="1027" w:right="0" w:hanging="421"/>
        <w:jc w:val="left"/>
        <w:rPr>
          <w:sz w:val="21"/>
        </w:rPr>
      </w:pPr>
      <w:hyperlink w:anchor="_bookmark47" w:history="1">
        <w:r>
          <w:rPr>
            <w:sz w:val="21"/>
          </w:rPr>
          <w:t>检验分类</w:t>
        </w:r>
        <w:r>
          <w:rPr>
            <w:rFonts w:ascii="Times New Roman" w:eastAsia="Times New Roman"/>
            <w:sz w:val="21"/>
          </w:rPr>
          <w:tab/>
        </w:r>
        <w:r>
          <w:rPr>
            <w:sz w:val="21"/>
          </w:rPr>
          <w:t>21</w:t>
        </w:r>
      </w:hyperlink>
    </w:p>
    <w:p>
      <w:pPr>
        <w:pStyle w:val="ListParagraph"/>
        <w:numPr>
          <w:ilvl w:val="1"/>
          <w:numId w:val="25"/>
        </w:numPr>
        <w:tabs>
          <w:tab w:val="left" w:pos="1028"/>
          <w:tab w:val="right" w:leader="dot" w:pos="9742"/>
        </w:tabs>
        <w:spacing w:before="31" w:after="0" w:line="240" w:lineRule="auto"/>
        <w:ind w:left="1027" w:right="0" w:hanging="421"/>
        <w:jc w:val="left"/>
        <w:rPr>
          <w:sz w:val="21"/>
        </w:rPr>
      </w:pPr>
      <w:hyperlink w:anchor="_bookmark48" w:history="1">
        <w:r>
          <w:rPr>
            <w:sz w:val="21"/>
          </w:rPr>
          <w:t>判定规则</w:t>
        </w:r>
        <w:r>
          <w:rPr>
            <w:rFonts w:ascii="Times New Roman" w:eastAsia="Times New Roman"/>
            <w:sz w:val="21"/>
          </w:rPr>
          <w:tab/>
        </w:r>
        <w:r>
          <w:rPr>
            <w:sz w:val="21"/>
          </w:rPr>
          <w:t>21</w:t>
        </w:r>
      </w:hyperlink>
    </w:p>
    <w:p>
      <w:pPr>
        <w:pStyle w:val="ListParagraph"/>
        <w:numPr>
          <w:ilvl w:val="0"/>
          <w:numId w:val="25"/>
        </w:numPr>
        <w:tabs>
          <w:tab w:val="left" w:pos="608"/>
          <w:tab w:val="right" w:leader="dot" w:pos="9742"/>
        </w:tabs>
        <w:spacing w:before="110" w:after="0" w:line="240" w:lineRule="auto"/>
        <w:ind w:left="607" w:right="0" w:hanging="210"/>
        <w:jc w:val="left"/>
        <w:rPr>
          <w:sz w:val="21"/>
        </w:rPr>
      </w:pPr>
      <w:hyperlink w:anchor="_bookmark49" w:history="1">
        <w:r>
          <w:rPr>
            <w:sz w:val="21"/>
          </w:rPr>
          <w:t>产品说明书、包装、出厂、运输与贮存</w:t>
        </w:r>
        <w:r>
          <w:rPr>
            <w:rFonts w:ascii="Times New Roman" w:eastAsia="Times New Roman"/>
            <w:sz w:val="21"/>
          </w:rPr>
          <w:tab/>
        </w:r>
        <w:r>
          <w:rPr>
            <w:sz w:val="21"/>
          </w:rPr>
          <w:t>22</w:t>
        </w:r>
      </w:hyperlink>
    </w:p>
    <w:p>
      <w:pPr>
        <w:pStyle w:val="ListParagraph"/>
        <w:numPr>
          <w:ilvl w:val="1"/>
          <w:numId w:val="25"/>
        </w:numPr>
        <w:tabs>
          <w:tab w:val="left" w:pos="1028"/>
          <w:tab w:val="right" w:leader="dot" w:pos="9742"/>
        </w:tabs>
        <w:spacing w:before="52" w:after="0" w:line="240" w:lineRule="auto"/>
        <w:ind w:left="1027" w:right="0" w:hanging="421"/>
        <w:jc w:val="left"/>
        <w:rPr>
          <w:sz w:val="21"/>
        </w:rPr>
      </w:pPr>
      <w:hyperlink w:anchor="_bookmark50" w:history="1">
        <w:r>
          <w:rPr>
            <w:sz w:val="21"/>
          </w:rPr>
          <w:t>产品说明书</w:t>
        </w:r>
        <w:r>
          <w:rPr>
            <w:rFonts w:ascii="Times New Roman" w:eastAsia="Times New Roman"/>
            <w:sz w:val="21"/>
          </w:rPr>
          <w:tab/>
        </w:r>
        <w:r>
          <w:rPr>
            <w:sz w:val="21"/>
          </w:rPr>
          <w:t>22</w:t>
        </w:r>
      </w:hyperlink>
    </w:p>
    <w:p>
      <w:pPr>
        <w:pStyle w:val="BodyText"/>
        <w:tabs>
          <w:tab w:val="right" w:leader="dot" w:pos="9742"/>
        </w:tabs>
        <w:spacing w:before="31"/>
        <w:ind w:left="607"/>
      </w:pPr>
      <w:hyperlink w:anchor="_bookmark51" w:history="1">
        <w:r>
          <w:t>8.2</w:t>
        </w:r>
        <w:r>
          <w:rPr>
            <w:spacing w:val="-2"/>
          </w:rPr>
          <w:t xml:space="preserve"> </w:t>
        </w:r>
        <w:r>
          <w:t>包装</w:t>
        </w:r>
        <w:r>
          <w:rPr>
            <w:rFonts w:ascii="Times New Roman" w:eastAsia="Times New Roman"/>
          </w:rPr>
          <w:tab/>
        </w:r>
        <w:r>
          <w:t>22</w:t>
        </w:r>
      </w:hyperlink>
    </w:p>
    <w:p>
      <w:pPr>
        <w:pStyle w:val="BodyText"/>
        <w:tabs>
          <w:tab w:val="right" w:leader="dot" w:pos="9742"/>
        </w:tabs>
        <w:spacing w:before="31"/>
        <w:ind w:left="607"/>
      </w:pPr>
      <w:hyperlink w:anchor="_bookmark52" w:history="1">
        <w:r>
          <w:t>8.3</w:t>
        </w:r>
        <w:r>
          <w:rPr>
            <w:spacing w:val="-2"/>
          </w:rPr>
          <w:t xml:space="preserve"> </w:t>
        </w:r>
        <w:r>
          <w:t>出厂</w:t>
        </w:r>
        <w:r>
          <w:rPr>
            <w:rFonts w:ascii="Times New Roman" w:eastAsia="Times New Roman"/>
          </w:rPr>
          <w:tab/>
        </w:r>
        <w:r>
          <w:t>22</w:t>
        </w:r>
      </w:hyperlink>
    </w:p>
    <w:p>
      <w:pPr>
        <w:pStyle w:val="BodyText"/>
        <w:tabs>
          <w:tab w:val="right" w:leader="dot" w:pos="9742"/>
        </w:tabs>
        <w:spacing w:before="31"/>
        <w:ind w:left="607"/>
      </w:pPr>
      <w:hyperlink w:anchor="_bookmark53" w:history="1">
        <w:r>
          <w:t>8.4</w:t>
        </w:r>
        <w:r>
          <w:rPr>
            <w:spacing w:val="-2"/>
          </w:rPr>
          <w:t xml:space="preserve"> </w:t>
        </w:r>
        <w:r>
          <w:t>运输与贮存</w:t>
        </w:r>
        <w:r>
          <w:rPr>
            <w:rFonts w:ascii="Times New Roman" w:eastAsia="Times New Roman"/>
          </w:rPr>
          <w:tab/>
        </w:r>
        <w:r>
          <w:t>23</w:t>
        </w:r>
      </w:hyperlink>
    </w:p>
    <w:p>
      <w:pPr>
        <w:pStyle w:val="BodyText"/>
        <w:spacing w:before="4"/>
        <w:rPr>
          <w:sz w:val="9"/>
        </w:rPr>
      </w:pPr>
    </w:p>
    <w:tbl>
      <w:tblPr>
        <w:tblStyle w:val="TableNormal0"/>
        <w:tblW w:w="0" w:type="auto"/>
        <w:jc w:val="left"/>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0"/>
        <w:gridCol w:w="461"/>
        <w:gridCol w:w="358"/>
        <w:gridCol w:w="8266"/>
      </w:tblGrid>
      <w:tr>
        <w:tblPrEx>
          <w:tblW w:w="0" w:type="auto"/>
          <w:jc w:val="left"/>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4"/>
          <w:jc w:val="left"/>
        </w:trPr>
        <w:tc>
          <w:tcPr>
            <w:tcW w:w="360" w:type="dxa"/>
          </w:tcPr>
          <w:p>
            <w:pPr>
              <w:pStyle w:val="TableParagraph"/>
              <w:spacing w:line="260" w:lineRule="exact"/>
              <w:ind w:left="50"/>
              <w:jc w:val="left"/>
              <w:rPr>
                <w:sz w:val="21"/>
              </w:rPr>
            </w:pPr>
            <w:hyperlink w:anchor="_bookmark54" w:history="1">
              <w:r>
                <w:rPr>
                  <w:w w:val="99"/>
                  <w:sz w:val="21"/>
                </w:rPr>
                <w:t>附</w:t>
              </w:r>
            </w:hyperlink>
          </w:p>
        </w:tc>
        <w:tc>
          <w:tcPr>
            <w:tcW w:w="461" w:type="dxa"/>
          </w:tcPr>
          <w:p>
            <w:pPr>
              <w:pStyle w:val="TableParagraph"/>
              <w:spacing w:line="260" w:lineRule="exact"/>
              <w:ind w:left="100"/>
              <w:jc w:val="left"/>
              <w:rPr>
                <w:sz w:val="21"/>
              </w:rPr>
            </w:pPr>
            <w:hyperlink w:anchor="_bookmark54" w:history="1">
              <w:r>
                <w:rPr>
                  <w:w w:val="99"/>
                  <w:sz w:val="21"/>
                </w:rPr>
                <w:t>录</w:t>
              </w:r>
            </w:hyperlink>
          </w:p>
        </w:tc>
        <w:tc>
          <w:tcPr>
            <w:tcW w:w="358" w:type="dxa"/>
          </w:tcPr>
          <w:p>
            <w:pPr>
              <w:pStyle w:val="TableParagraph"/>
              <w:spacing w:line="260" w:lineRule="exact"/>
              <w:ind w:right="100"/>
              <w:jc w:val="right"/>
              <w:rPr>
                <w:sz w:val="21"/>
              </w:rPr>
            </w:pPr>
            <w:hyperlink w:anchor="_bookmark54" w:history="1">
              <w:r>
                <w:rPr>
                  <w:w w:val="99"/>
                  <w:sz w:val="21"/>
                </w:rPr>
                <w:t>A</w:t>
              </w:r>
            </w:hyperlink>
          </w:p>
        </w:tc>
        <w:tc>
          <w:tcPr>
            <w:tcW w:w="8266" w:type="dxa"/>
          </w:tcPr>
          <w:p>
            <w:pPr>
              <w:pStyle w:val="TableParagraph"/>
              <w:tabs>
                <w:tab w:val="right" w:leader="dot" w:pos="8113"/>
              </w:tabs>
              <w:spacing w:line="260" w:lineRule="exact"/>
              <w:ind w:right="48"/>
              <w:jc w:val="right"/>
              <w:rPr>
                <w:sz w:val="21"/>
              </w:rPr>
            </w:pPr>
            <w:hyperlink w:anchor="_bookmark54" w:history="1">
              <w:r>
                <w:rPr>
                  <w:sz w:val="21"/>
                </w:rPr>
                <w:t>（规范性）</w:t>
              </w:r>
              <w:r>
                <w:rPr>
                  <w:spacing w:val="-1"/>
                  <w:sz w:val="21"/>
                </w:rPr>
                <w:t xml:space="preserve"> </w:t>
              </w:r>
              <w:r>
                <w:rPr>
                  <w:sz w:val="21"/>
                </w:rPr>
                <w:t>混凝土外加剂性能检验用基准水泥技术条件</w:t>
              </w:r>
              <w:r>
                <w:rPr>
                  <w:rFonts w:ascii="Times New Roman" w:eastAsia="Times New Roman"/>
                  <w:sz w:val="21"/>
                </w:rPr>
                <w:tab/>
              </w:r>
              <w:r>
                <w:rPr>
                  <w:sz w:val="21"/>
                </w:rPr>
                <w:t>24</w:t>
              </w:r>
            </w:hyperlink>
          </w:p>
        </w:tc>
      </w:tr>
      <w:tr>
        <w:tblPrEx>
          <w:tblW w:w="0" w:type="auto"/>
          <w:jc w:val="left"/>
          <w:tblInd w:w="355" w:type="dxa"/>
          <w:tblLayout w:type="fixed"/>
          <w:tblCellMar>
            <w:top w:w="0" w:type="dxa"/>
            <w:left w:w="0" w:type="dxa"/>
            <w:bottom w:w="0" w:type="dxa"/>
            <w:right w:w="0" w:type="dxa"/>
          </w:tblCellMar>
          <w:tblLook w:val="01E0"/>
        </w:tblPrEx>
        <w:trPr>
          <w:trHeight w:val="400"/>
          <w:jc w:val="left"/>
        </w:trPr>
        <w:tc>
          <w:tcPr>
            <w:tcW w:w="360" w:type="dxa"/>
          </w:tcPr>
          <w:p>
            <w:pPr>
              <w:pStyle w:val="TableParagraph"/>
              <w:spacing w:before="76"/>
              <w:ind w:left="50"/>
              <w:jc w:val="left"/>
              <w:rPr>
                <w:sz w:val="21"/>
              </w:rPr>
            </w:pPr>
            <w:hyperlink w:anchor="_bookmark55" w:history="1">
              <w:r>
                <w:rPr>
                  <w:w w:val="99"/>
                  <w:sz w:val="21"/>
                </w:rPr>
                <w:t>附</w:t>
              </w:r>
            </w:hyperlink>
          </w:p>
        </w:tc>
        <w:tc>
          <w:tcPr>
            <w:tcW w:w="461" w:type="dxa"/>
          </w:tcPr>
          <w:p>
            <w:pPr>
              <w:pStyle w:val="TableParagraph"/>
              <w:spacing w:before="76"/>
              <w:ind w:left="100"/>
              <w:jc w:val="left"/>
              <w:rPr>
                <w:sz w:val="21"/>
              </w:rPr>
            </w:pPr>
            <w:hyperlink w:anchor="_bookmark55" w:history="1">
              <w:r>
                <w:rPr>
                  <w:w w:val="99"/>
                  <w:sz w:val="21"/>
                </w:rPr>
                <w:t>录</w:t>
              </w:r>
            </w:hyperlink>
          </w:p>
        </w:tc>
        <w:tc>
          <w:tcPr>
            <w:tcW w:w="358" w:type="dxa"/>
          </w:tcPr>
          <w:p>
            <w:pPr>
              <w:pStyle w:val="TableParagraph"/>
              <w:spacing w:before="76"/>
              <w:ind w:right="100"/>
              <w:jc w:val="right"/>
              <w:rPr>
                <w:sz w:val="21"/>
              </w:rPr>
            </w:pPr>
            <w:hyperlink w:anchor="_bookmark55" w:history="1">
              <w:r>
                <w:rPr>
                  <w:w w:val="99"/>
                  <w:sz w:val="21"/>
                </w:rPr>
                <w:t>B</w:t>
              </w:r>
            </w:hyperlink>
          </w:p>
        </w:tc>
        <w:tc>
          <w:tcPr>
            <w:tcW w:w="8266" w:type="dxa"/>
          </w:tcPr>
          <w:p>
            <w:pPr>
              <w:pStyle w:val="TableParagraph"/>
              <w:tabs>
                <w:tab w:val="right" w:leader="dot" w:pos="8113"/>
              </w:tabs>
              <w:spacing w:before="76"/>
              <w:ind w:right="48"/>
              <w:jc w:val="right"/>
              <w:rPr>
                <w:sz w:val="21"/>
              </w:rPr>
            </w:pPr>
            <w:hyperlink w:anchor="_bookmark55" w:history="1">
              <w:r>
                <w:rPr>
                  <w:sz w:val="21"/>
                </w:rPr>
                <w:t>（规范性）</w:t>
              </w:r>
              <w:r>
                <w:rPr>
                  <w:spacing w:val="-1"/>
                  <w:sz w:val="21"/>
                </w:rPr>
                <w:t xml:space="preserve"> </w:t>
              </w:r>
              <w:r>
                <w:rPr>
                  <w:sz w:val="21"/>
                </w:rPr>
                <w:t>混凝土外加剂性能检验专用机制砂技术条件</w:t>
              </w:r>
              <w:r>
                <w:rPr>
                  <w:rFonts w:ascii="Times New Roman" w:eastAsia="Times New Roman"/>
                  <w:sz w:val="21"/>
                </w:rPr>
                <w:tab/>
              </w:r>
              <w:r>
                <w:rPr>
                  <w:sz w:val="21"/>
                </w:rPr>
                <w:t>26</w:t>
              </w:r>
            </w:hyperlink>
          </w:p>
        </w:tc>
      </w:tr>
      <w:tr>
        <w:tblPrEx>
          <w:tblW w:w="0" w:type="auto"/>
          <w:jc w:val="left"/>
          <w:tblInd w:w="355" w:type="dxa"/>
          <w:tblLayout w:type="fixed"/>
          <w:tblCellMar>
            <w:top w:w="0" w:type="dxa"/>
            <w:left w:w="0" w:type="dxa"/>
            <w:bottom w:w="0" w:type="dxa"/>
            <w:right w:w="0" w:type="dxa"/>
          </w:tblCellMar>
          <w:tblLook w:val="01E0"/>
        </w:tblPrEx>
        <w:trPr>
          <w:trHeight w:val="315"/>
          <w:jc w:val="left"/>
        </w:trPr>
        <w:tc>
          <w:tcPr>
            <w:tcW w:w="360" w:type="dxa"/>
          </w:tcPr>
          <w:p>
            <w:pPr>
              <w:pStyle w:val="TableParagraph"/>
              <w:spacing w:before="75" w:line="221" w:lineRule="exact"/>
              <w:ind w:left="50"/>
              <w:jc w:val="left"/>
              <w:rPr>
                <w:sz w:val="21"/>
              </w:rPr>
            </w:pPr>
            <w:hyperlink w:anchor="_bookmark56" w:history="1">
              <w:r>
                <w:rPr>
                  <w:w w:val="99"/>
                  <w:sz w:val="21"/>
                </w:rPr>
                <w:t>附</w:t>
              </w:r>
            </w:hyperlink>
          </w:p>
        </w:tc>
        <w:tc>
          <w:tcPr>
            <w:tcW w:w="461" w:type="dxa"/>
          </w:tcPr>
          <w:p>
            <w:pPr>
              <w:pStyle w:val="TableParagraph"/>
              <w:spacing w:before="75" w:line="221" w:lineRule="exact"/>
              <w:ind w:left="100"/>
              <w:jc w:val="left"/>
              <w:rPr>
                <w:sz w:val="21"/>
              </w:rPr>
            </w:pPr>
            <w:hyperlink w:anchor="_bookmark56" w:history="1">
              <w:r>
                <w:rPr>
                  <w:w w:val="99"/>
                  <w:sz w:val="21"/>
                </w:rPr>
                <w:t>录</w:t>
              </w:r>
            </w:hyperlink>
          </w:p>
        </w:tc>
        <w:tc>
          <w:tcPr>
            <w:tcW w:w="358" w:type="dxa"/>
          </w:tcPr>
          <w:p>
            <w:pPr>
              <w:pStyle w:val="TableParagraph"/>
              <w:spacing w:before="75" w:line="221" w:lineRule="exact"/>
              <w:ind w:right="100"/>
              <w:jc w:val="right"/>
              <w:rPr>
                <w:sz w:val="21"/>
              </w:rPr>
            </w:pPr>
            <w:hyperlink w:anchor="_bookmark56" w:history="1">
              <w:r>
                <w:rPr>
                  <w:w w:val="99"/>
                  <w:sz w:val="21"/>
                </w:rPr>
                <w:t>C</w:t>
              </w:r>
            </w:hyperlink>
          </w:p>
        </w:tc>
        <w:tc>
          <w:tcPr>
            <w:tcW w:w="8266" w:type="dxa"/>
          </w:tcPr>
          <w:p>
            <w:pPr>
              <w:pStyle w:val="TableParagraph"/>
              <w:tabs>
                <w:tab w:val="right" w:leader="dot" w:pos="8113"/>
              </w:tabs>
              <w:spacing w:before="75" w:line="221" w:lineRule="exact"/>
              <w:ind w:right="48"/>
              <w:jc w:val="right"/>
              <w:rPr>
                <w:sz w:val="21"/>
              </w:rPr>
            </w:pPr>
            <w:hyperlink w:anchor="_bookmark56" w:history="1">
              <w:r>
                <w:rPr>
                  <w:sz w:val="21"/>
                </w:rPr>
                <w:t>（资料性）</w:t>
              </w:r>
              <w:r>
                <w:rPr>
                  <w:spacing w:val="-1"/>
                  <w:sz w:val="21"/>
                </w:rPr>
                <w:t xml:space="preserve"> </w:t>
              </w:r>
              <w:r>
                <w:rPr>
                  <w:sz w:val="21"/>
                </w:rPr>
                <w:t>混凝土外加剂信息</w:t>
              </w:r>
              <w:r>
                <w:rPr>
                  <w:rFonts w:ascii="Times New Roman" w:eastAsia="Times New Roman"/>
                  <w:sz w:val="21"/>
                </w:rPr>
                <w:tab/>
              </w:r>
              <w:r>
                <w:rPr>
                  <w:sz w:val="21"/>
                </w:rPr>
                <w:t>28</w:t>
              </w:r>
            </w:hyperlink>
          </w:p>
        </w:tc>
      </w:tr>
    </w:tbl>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4"/>
        <w:rPr>
          <w:sz w:val="20"/>
        </w:rPr>
      </w:pPr>
    </w:p>
    <w:p>
      <w:pPr>
        <w:spacing w:before="0"/>
        <w:ind w:left="595" w:right="0" w:firstLine="0"/>
        <w:jc w:val="left"/>
        <w:rPr>
          <w:sz w:val="18"/>
        </w:rPr>
      </w:pPr>
      <w:r>
        <w:rPr>
          <w:sz w:val="18"/>
        </w:rPr>
        <w:t>II</w:t>
      </w:r>
    </w:p>
    <w:p>
      <w:pPr>
        <w:spacing w:after="0"/>
        <w:jc w:val="left"/>
        <w:rPr>
          <w:sz w:val="18"/>
        </w:rPr>
        <w:sectPr>
          <w:footerReference w:type="even" r:id="rId6"/>
          <w:pgSz w:w="11910" w:h="16840"/>
          <w:pgMar w:top="1360" w:right="820" w:bottom="280" w:left="1020" w:header="0" w:footer="0"/>
          <w:pgNumType w:start="4"/>
          <w:cols w:space="708"/>
        </w:sectPr>
      </w:pPr>
    </w:p>
    <w:p>
      <w:pPr>
        <w:pStyle w:val="Heading1"/>
        <w:ind w:left="84"/>
      </w:pPr>
      <w:bookmarkStart w:id="0" w:name="混凝土外加剂"/>
      <w:bookmarkEnd w:id="0"/>
      <w:r>
        <w:t>混凝土外加剂</w:t>
      </w:r>
    </w:p>
    <w:p>
      <w:pPr>
        <w:pStyle w:val="BodyText"/>
        <w:rPr>
          <w:rFonts w:ascii="黑体"/>
          <w:sz w:val="20"/>
        </w:rPr>
      </w:pPr>
    </w:p>
    <w:p>
      <w:pPr>
        <w:pStyle w:val="BodyText"/>
        <w:spacing w:before="11"/>
        <w:rPr>
          <w:rFonts w:ascii="黑体"/>
          <w:sz w:val="28"/>
        </w:rPr>
      </w:pPr>
    </w:p>
    <w:p>
      <w:pPr>
        <w:pStyle w:val="ListParagraph"/>
        <w:numPr>
          <w:ilvl w:val="0"/>
          <w:numId w:val="26"/>
        </w:numPr>
        <w:tabs>
          <w:tab w:val="left" w:pos="713"/>
        </w:tabs>
        <w:spacing w:before="70" w:after="0" w:line="240" w:lineRule="auto"/>
        <w:ind w:left="712" w:right="0" w:hanging="315"/>
        <w:jc w:val="left"/>
        <w:rPr>
          <w:rFonts w:ascii="黑体" w:eastAsia="黑体" w:hint="eastAsia"/>
          <w:sz w:val="21"/>
        </w:rPr>
      </w:pPr>
      <w:bookmarkStart w:id="1" w:name="1　范围"/>
      <w:bookmarkEnd w:id="1"/>
      <w:bookmarkStart w:id="2" w:name="_bookmark0"/>
      <w:bookmarkEnd w:id="2"/>
      <w:r>
        <w:rPr>
          <w:rFonts w:ascii="黑体" w:eastAsia="黑体" w:hint="eastAsia"/>
          <w:sz w:val="21"/>
        </w:rPr>
        <w:t>范围</w:t>
      </w:r>
    </w:p>
    <w:p>
      <w:pPr>
        <w:pStyle w:val="BodyText"/>
        <w:spacing w:before="8"/>
        <w:rPr>
          <w:rFonts w:ascii="黑体"/>
          <w:sz w:val="27"/>
        </w:rPr>
      </w:pPr>
    </w:p>
    <w:p>
      <w:pPr>
        <w:pStyle w:val="BodyText"/>
        <w:spacing w:before="1" w:line="278" w:lineRule="auto"/>
        <w:ind w:left="398" w:right="217" w:firstLine="420"/>
      </w:pPr>
      <w:r>
        <w:rPr>
          <w:w w:val="95"/>
        </w:rPr>
        <w:t xml:space="preserve">本文件规定了混凝土外加剂（以下简称外加剂）的分类与标记、技术要求、试验方法、检验规则、   </w:t>
      </w:r>
      <w:r>
        <w:t>产品说明书、包装、出厂、运输与贮存等。</w:t>
      </w:r>
    </w:p>
    <w:p>
      <w:pPr>
        <w:pStyle w:val="BodyText"/>
        <w:spacing w:line="278" w:lineRule="auto"/>
        <w:ind w:left="398" w:right="183" w:firstLine="420"/>
      </w:pPr>
      <w:r>
        <w:t>本文件适用于水泥混凝土用高性能减水剂（早强型、标准型、缓凝型）、高效减水剂（标准型、缓</w:t>
      </w:r>
      <w:r>
        <w:rPr>
          <w:w w:val="95"/>
        </w:rPr>
        <w:t xml:space="preserve">凝型）、普通减水剂（早强型、标准型、缓凝型）、引气减水剂、泵送剂、早强剂、缓凝剂、引气剂、   </w:t>
      </w:r>
      <w:r>
        <w:t>防水剂和防冻剂。</w:t>
      </w:r>
    </w:p>
    <w:p>
      <w:pPr>
        <w:pStyle w:val="BodyText"/>
        <w:spacing w:before="3"/>
        <w:rPr>
          <w:sz w:val="24"/>
        </w:rPr>
      </w:pPr>
    </w:p>
    <w:p>
      <w:pPr>
        <w:pStyle w:val="ListParagraph"/>
        <w:numPr>
          <w:ilvl w:val="0"/>
          <w:numId w:val="26"/>
        </w:numPr>
        <w:tabs>
          <w:tab w:val="left" w:pos="713"/>
        </w:tabs>
        <w:spacing w:before="0" w:after="0" w:line="240" w:lineRule="auto"/>
        <w:ind w:left="712" w:right="0" w:hanging="315"/>
        <w:jc w:val="left"/>
        <w:rPr>
          <w:rFonts w:ascii="黑体" w:eastAsia="黑体" w:hint="eastAsia"/>
          <w:sz w:val="21"/>
        </w:rPr>
      </w:pPr>
      <w:bookmarkStart w:id="3" w:name="2　规范性引用文件"/>
      <w:bookmarkEnd w:id="3"/>
      <w:bookmarkStart w:id="4" w:name="_bookmark1"/>
      <w:bookmarkEnd w:id="4"/>
      <w:r>
        <w:rPr>
          <w:rFonts w:ascii="黑体" w:eastAsia="黑体" w:hint="eastAsia"/>
          <w:sz w:val="21"/>
        </w:rPr>
        <w:t>规范性引用文件</w:t>
      </w:r>
    </w:p>
    <w:p>
      <w:pPr>
        <w:pStyle w:val="BodyText"/>
        <w:spacing w:before="9"/>
        <w:rPr>
          <w:rFonts w:ascii="黑体"/>
          <w:sz w:val="27"/>
        </w:rPr>
      </w:pPr>
    </w:p>
    <w:p>
      <w:pPr>
        <w:pStyle w:val="BodyText"/>
        <w:spacing w:line="278" w:lineRule="auto"/>
        <w:ind w:left="398" w:right="209"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2"/>
        </w:rPr>
        <w:t>）</w:t>
      </w:r>
      <w:r>
        <w:t>适用于本文件。</w:t>
      </w:r>
    </w:p>
    <w:p>
      <w:pPr>
        <w:pStyle w:val="BodyText"/>
        <w:spacing w:line="269" w:lineRule="exact"/>
        <w:ind w:left="818"/>
      </w:pPr>
      <w:r>
        <w:t>GB XXXX 混凝土外加剂安全技术规范</w:t>
      </w:r>
    </w:p>
    <w:p>
      <w:pPr>
        <w:pStyle w:val="BodyText"/>
        <w:spacing w:before="10"/>
        <w:rPr>
          <w:sz w:val="5"/>
        </w:rPr>
      </w:pPr>
    </w:p>
    <w:tbl>
      <w:tblPr>
        <w:tblStyle w:val="TableNormal1"/>
        <w:tblW w:w="0" w:type="auto"/>
        <w:jc w:val="left"/>
        <w:tblInd w:w="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575"/>
        <w:gridCol w:w="4773"/>
      </w:tblGrid>
      <w:tr>
        <w:tblPrEx>
          <w:tblW w:w="0" w:type="auto"/>
          <w:jc w:val="left"/>
          <w:tblInd w:w="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0"/>
          <w:jc w:val="left"/>
        </w:trPr>
        <w:tc>
          <w:tcPr>
            <w:tcW w:w="523" w:type="dxa"/>
          </w:tcPr>
          <w:p>
            <w:pPr>
              <w:pStyle w:val="TableParagraph"/>
              <w:spacing w:line="239" w:lineRule="exact"/>
              <w:ind w:left="31" w:right="32"/>
              <w:rPr>
                <w:sz w:val="21"/>
              </w:rPr>
            </w:pPr>
            <w:r>
              <w:rPr>
                <w:sz w:val="21"/>
              </w:rPr>
              <w:t>GB/T</w:t>
            </w:r>
          </w:p>
        </w:tc>
        <w:tc>
          <w:tcPr>
            <w:tcW w:w="575" w:type="dxa"/>
          </w:tcPr>
          <w:p>
            <w:pPr>
              <w:pStyle w:val="TableParagraph"/>
              <w:spacing w:line="239" w:lineRule="exact"/>
              <w:ind w:left="52"/>
              <w:jc w:val="left"/>
              <w:rPr>
                <w:sz w:val="21"/>
              </w:rPr>
            </w:pPr>
            <w:r>
              <w:rPr>
                <w:sz w:val="21"/>
              </w:rPr>
              <w:t>176</w:t>
            </w:r>
          </w:p>
        </w:tc>
        <w:tc>
          <w:tcPr>
            <w:tcW w:w="4773" w:type="dxa"/>
          </w:tcPr>
          <w:p>
            <w:pPr>
              <w:pStyle w:val="TableParagraph"/>
              <w:spacing w:line="239" w:lineRule="exact"/>
              <w:jc w:val="left"/>
              <w:rPr>
                <w:sz w:val="21"/>
              </w:rPr>
            </w:pPr>
            <w:r>
              <w:rPr>
                <w:sz w:val="21"/>
              </w:rPr>
              <w:t>水泥化学分析方法</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1346</w:t>
            </w:r>
          </w:p>
        </w:tc>
        <w:tc>
          <w:tcPr>
            <w:tcW w:w="4773" w:type="dxa"/>
          </w:tcPr>
          <w:p>
            <w:pPr>
              <w:pStyle w:val="TableParagraph"/>
              <w:spacing w:before="21"/>
              <w:ind w:left="106"/>
              <w:jc w:val="left"/>
              <w:rPr>
                <w:sz w:val="21"/>
              </w:rPr>
            </w:pPr>
            <w:r>
              <w:rPr>
                <w:sz w:val="21"/>
              </w:rPr>
              <w:t>水泥标准稠度用水量、凝结时间、安定性检验方法</w:t>
            </w:r>
          </w:p>
        </w:tc>
      </w:tr>
      <w:tr>
        <w:tblPrEx>
          <w:tblW w:w="0" w:type="auto"/>
          <w:jc w:val="left"/>
          <w:tblInd w:w="775" w:type="dxa"/>
          <w:tblLayout w:type="fixed"/>
          <w:tblCellMar>
            <w:top w:w="0" w:type="dxa"/>
            <w:left w:w="0" w:type="dxa"/>
            <w:bottom w:w="0" w:type="dxa"/>
            <w:right w:w="0" w:type="dxa"/>
          </w:tblCellMar>
          <w:tblLook w:val="01E0"/>
        </w:tblPrEx>
        <w:trPr>
          <w:trHeight w:val="311"/>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6679</w:t>
            </w:r>
          </w:p>
        </w:tc>
        <w:tc>
          <w:tcPr>
            <w:tcW w:w="4773" w:type="dxa"/>
          </w:tcPr>
          <w:p>
            <w:pPr>
              <w:pStyle w:val="TableParagraph"/>
              <w:spacing w:before="21"/>
              <w:ind w:left="106"/>
              <w:jc w:val="left"/>
              <w:rPr>
                <w:sz w:val="21"/>
              </w:rPr>
            </w:pPr>
            <w:r>
              <w:rPr>
                <w:sz w:val="21"/>
              </w:rPr>
              <w:t>固体化工产品采样通则</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6680</w:t>
            </w:r>
          </w:p>
        </w:tc>
        <w:tc>
          <w:tcPr>
            <w:tcW w:w="4773" w:type="dxa"/>
          </w:tcPr>
          <w:p>
            <w:pPr>
              <w:pStyle w:val="TableParagraph"/>
              <w:spacing w:before="21"/>
              <w:ind w:left="106"/>
              <w:jc w:val="left"/>
              <w:rPr>
                <w:sz w:val="21"/>
              </w:rPr>
            </w:pPr>
            <w:r>
              <w:rPr>
                <w:sz w:val="21"/>
              </w:rPr>
              <w:t>液体化工产品采样通则</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8074</w:t>
            </w:r>
          </w:p>
        </w:tc>
        <w:tc>
          <w:tcPr>
            <w:tcW w:w="4773" w:type="dxa"/>
          </w:tcPr>
          <w:p>
            <w:pPr>
              <w:pStyle w:val="TableParagraph"/>
              <w:spacing w:before="21"/>
              <w:ind w:left="106"/>
              <w:jc w:val="left"/>
              <w:rPr>
                <w:sz w:val="21"/>
              </w:rPr>
            </w:pPr>
            <w:r>
              <w:rPr>
                <w:sz w:val="21"/>
              </w:rPr>
              <w:t>水泥比表面积测定方法 勃氏法</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8075</w:t>
            </w:r>
          </w:p>
        </w:tc>
        <w:tc>
          <w:tcPr>
            <w:tcW w:w="4773" w:type="dxa"/>
          </w:tcPr>
          <w:p>
            <w:pPr>
              <w:pStyle w:val="TableParagraph"/>
              <w:spacing w:before="21"/>
              <w:ind w:left="106"/>
              <w:jc w:val="left"/>
              <w:rPr>
                <w:sz w:val="21"/>
              </w:rPr>
            </w:pPr>
            <w:r>
              <w:rPr>
                <w:sz w:val="21"/>
              </w:rPr>
              <w:t>混凝土外加剂术语</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8077</w:t>
            </w:r>
          </w:p>
        </w:tc>
        <w:tc>
          <w:tcPr>
            <w:tcW w:w="4773" w:type="dxa"/>
          </w:tcPr>
          <w:p>
            <w:pPr>
              <w:pStyle w:val="TableParagraph"/>
              <w:spacing w:before="21"/>
              <w:ind w:left="106"/>
              <w:jc w:val="left"/>
              <w:rPr>
                <w:sz w:val="21"/>
              </w:rPr>
            </w:pPr>
            <w:r>
              <w:rPr>
                <w:sz w:val="21"/>
              </w:rPr>
              <w:t>混凝土外加剂匀质性试验方法</w:t>
            </w:r>
          </w:p>
        </w:tc>
      </w:tr>
      <w:tr>
        <w:tblPrEx>
          <w:tblW w:w="0" w:type="auto"/>
          <w:jc w:val="left"/>
          <w:tblInd w:w="775" w:type="dxa"/>
          <w:tblLayout w:type="fixed"/>
          <w:tblCellMar>
            <w:top w:w="0" w:type="dxa"/>
            <w:left w:w="0" w:type="dxa"/>
            <w:bottom w:w="0" w:type="dxa"/>
            <w:right w:w="0" w:type="dxa"/>
          </w:tblCellMar>
          <w:tblLook w:val="01E0"/>
        </w:tblPrEx>
        <w:trPr>
          <w:trHeight w:val="311"/>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jc w:val="left"/>
              <w:rPr>
                <w:sz w:val="21"/>
              </w:rPr>
            </w:pPr>
            <w:r>
              <w:rPr>
                <w:sz w:val="21"/>
              </w:rPr>
              <w:t>8170</w:t>
            </w:r>
          </w:p>
        </w:tc>
        <w:tc>
          <w:tcPr>
            <w:tcW w:w="4773" w:type="dxa"/>
          </w:tcPr>
          <w:p>
            <w:pPr>
              <w:pStyle w:val="TableParagraph"/>
              <w:spacing w:before="21"/>
              <w:ind w:left="106"/>
              <w:jc w:val="left"/>
              <w:rPr>
                <w:sz w:val="21"/>
              </w:rPr>
            </w:pPr>
            <w:r>
              <w:rPr>
                <w:sz w:val="21"/>
              </w:rPr>
              <w:t>数值修约规则与极限数值的表示和判定</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14684</w:t>
            </w:r>
          </w:p>
        </w:tc>
        <w:tc>
          <w:tcPr>
            <w:tcW w:w="4773" w:type="dxa"/>
          </w:tcPr>
          <w:p>
            <w:pPr>
              <w:pStyle w:val="TableParagraph"/>
              <w:spacing w:before="21"/>
              <w:ind w:left="211"/>
              <w:jc w:val="left"/>
              <w:rPr>
                <w:sz w:val="21"/>
              </w:rPr>
            </w:pPr>
            <w:r>
              <w:rPr>
                <w:sz w:val="21"/>
              </w:rPr>
              <w:t>建设用砂</w:t>
            </w:r>
          </w:p>
        </w:tc>
      </w:tr>
      <w:tr>
        <w:tblPrEx>
          <w:tblW w:w="0" w:type="auto"/>
          <w:jc w:val="left"/>
          <w:tblInd w:w="775" w:type="dxa"/>
          <w:tblLayout w:type="fixed"/>
          <w:tblCellMar>
            <w:top w:w="0" w:type="dxa"/>
            <w:left w:w="0" w:type="dxa"/>
            <w:bottom w:w="0" w:type="dxa"/>
            <w:right w:w="0" w:type="dxa"/>
          </w:tblCellMar>
          <w:tblLook w:val="01E0"/>
        </w:tblPrEx>
        <w:trPr>
          <w:trHeight w:val="311"/>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14685</w:t>
            </w:r>
          </w:p>
        </w:tc>
        <w:tc>
          <w:tcPr>
            <w:tcW w:w="4773" w:type="dxa"/>
          </w:tcPr>
          <w:p>
            <w:pPr>
              <w:pStyle w:val="TableParagraph"/>
              <w:spacing w:before="21"/>
              <w:ind w:left="211"/>
              <w:jc w:val="left"/>
              <w:rPr>
                <w:sz w:val="21"/>
              </w:rPr>
            </w:pPr>
            <w:r>
              <w:rPr>
                <w:sz w:val="21"/>
              </w:rPr>
              <w:t>建设用卵石、碎石</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18588</w:t>
            </w:r>
          </w:p>
        </w:tc>
        <w:tc>
          <w:tcPr>
            <w:tcW w:w="4773" w:type="dxa"/>
          </w:tcPr>
          <w:p>
            <w:pPr>
              <w:pStyle w:val="TableParagraph"/>
              <w:spacing w:before="21"/>
              <w:ind w:left="211"/>
              <w:jc w:val="left"/>
              <w:rPr>
                <w:sz w:val="21"/>
              </w:rPr>
            </w:pPr>
            <w:r>
              <w:rPr>
                <w:sz w:val="21"/>
              </w:rPr>
              <w:t>混凝土外加剂中释放氨的测试方法</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31040</w:t>
            </w:r>
          </w:p>
        </w:tc>
        <w:tc>
          <w:tcPr>
            <w:tcW w:w="4773" w:type="dxa"/>
          </w:tcPr>
          <w:p>
            <w:pPr>
              <w:pStyle w:val="TableParagraph"/>
              <w:spacing w:before="21"/>
              <w:ind w:left="211"/>
              <w:jc w:val="left"/>
              <w:rPr>
                <w:sz w:val="21"/>
              </w:rPr>
            </w:pPr>
            <w:r>
              <w:rPr>
                <w:sz w:val="21"/>
              </w:rPr>
              <w:t>混凝土外加剂中残留甲醛的测试方法</w:t>
            </w:r>
          </w:p>
        </w:tc>
      </w:tr>
      <w:tr>
        <w:tblPrEx>
          <w:tblW w:w="0" w:type="auto"/>
          <w:jc w:val="left"/>
          <w:tblInd w:w="775" w:type="dxa"/>
          <w:tblLayout w:type="fixed"/>
          <w:tblCellMar>
            <w:top w:w="0" w:type="dxa"/>
            <w:left w:w="0" w:type="dxa"/>
            <w:bottom w:w="0" w:type="dxa"/>
            <w:right w:w="0" w:type="dxa"/>
          </w:tblCellMar>
          <w:tblLook w:val="01E0"/>
        </w:tblPrEx>
        <w:trPr>
          <w:trHeight w:val="312"/>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50080</w:t>
            </w:r>
          </w:p>
        </w:tc>
        <w:tc>
          <w:tcPr>
            <w:tcW w:w="4773" w:type="dxa"/>
          </w:tcPr>
          <w:p>
            <w:pPr>
              <w:pStyle w:val="TableParagraph"/>
              <w:spacing w:before="21"/>
              <w:ind w:left="211"/>
              <w:jc w:val="left"/>
              <w:rPr>
                <w:sz w:val="21"/>
              </w:rPr>
            </w:pPr>
            <w:r>
              <w:rPr>
                <w:sz w:val="21"/>
              </w:rPr>
              <w:t>普通混凝土拌合物性能试验方法标准</w:t>
            </w:r>
          </w:p>
        </w:tc>
      </w:tr>
      <w:tr>
        <w:tblPrEx>
          <w:tblW w:w="0" w:type="auto"/>
          <w:jc w:val="left"/>
          <w:tblInd w:w="775" w:type="dxa"/>
          <w:tblLayout w:type="fixed"/>
          <w:tblCellMar>
            <w:top w:w="0" w:type="dxa"/>
            <w:left w:w="0" w:type="dxa"/>
            <w:bottom w:w="0" w:type="dxa"/>
            <w:right w:w="0" w:type="dxa"/>
          </w:tblCellMar>
          <w:tblLook w:val="01E0"/>
        </w:tblPrEx>
        <w:trPr>
          <w:trHeight w:val="311"/>
          <w:jc w:val="left"/>
        </w:trPr>
        <w:tc>
          <w:tcPr>
            <w:tcW w:w="523" w:type="dxa"/>
          </w:tcPr>
          <w:p>
            <w:pPr>
              <w:pStyle w:val="TableParagraph"/>
              <w:spacing w:before="21"/>
              <w:ind w:left="31" w:right="32"/>
              <w:rPr>
                <w:sz w:val="21"/>
              </w:rPr>
            </w:pPr>
            <w:r>
              <w:rPr>
                <w:sz w:val="21"/>
              </w:rPr>
              <w:t>GB/T</w:t>
            </w:r>
          </w:p>
        </w:tc>
        <w:tc>
          <w:tcPr>
            <w:tcW w:w="575" w:type="dxa"/>
          </w:tcPr>
          <w:p>
            <w:pPr>
              <w:pStyle w:val="TableParagraph"/>
              <w:spacing w:before="21"/>
              <w:ind w:left="52" w:right="-15"/>
              <w:jc w:val="left"/>
              <w:rPr>
                <w:sz w:val="21"/>
              </w:rPr>
            </w:pPr>
            <w:r>
              <w:rPr>
                <w:sz w:val="21"/>
              </w:rPr>
              <w:t>50081</w:t>
            </w:r>
          </w:p>
        </w:tc>
        <w:tc>
          <w:tcPr>
            <w:tcW w:w="4773" w:type="dxa"/>
          </w:tcPr>
          <w:p>
            <w:pPr>
              <w:pStyle w:val="TableParagraph"/>
              <w:spacing w:before="21"/>
              <w:ind w:left="211"/>
              <w:jc w:val="left"/>
              <w:rPr>
                <w:sz w:val="21"/>
              </w:rPr>
            </w:pPr>
            <w:r>
              <w:rPr>
                <w:sz w:val="21"/>
              </w:rPr>
              <w:t>混凝土物理力学性能试验方法标准</w:t>
            </w:r>
          </w:p>
        </w:tc>
      </w:tr>
      <w:tr>
        <w:tblPrEx>
          <w:tblW w:w="0" w:type="auto"/>
          <w:jc w:val="left"/>
          <w:tblInd w:w="775" w:type="dxa"/>
          <w:tblLayout w:type="fixed"/>
          <w:tblCellMar>
            <w:top w:w="0" w:type="dxa"/>
            <w:left w:w="0" w:type="dxa"/>
            <w:bottom w:w="0" w:type="dxa"/>
            <w:right w:w="0" w:type="dxa"/>
          </w:tblCellMar>
          <w:tblLook w:val="01E0"/>
        </w:tblPrEx>
        <w:trPr>
          <w:trHeight w:val="260"/>
          <w:jc w:val="left"/>
        </w:trPr>
        <w:tc>
          <w:tcPr>
            <w:tcW w:w="523" w:type="dxa"/>
          </w:tcPr>
          <w:p>
            <w:pPr>
              <w:pStyle w:val="TableParagraph"/>
              <w:spacing w:before="21" w:line="219" w:lineRule="exact"/>
              <w:ind w:left="31" w:right="32"/>
              <w:rPr>
                <w:sz w:val="21"/>
              </w:rPr>
            </w:pPr>
            <w:r>
              <w:rPr>
                <w:sz w:val="21"/>
              </w:rPr>
              <w:t>GB/T</w:t>
            </w:r>
          </w:p>
        </w:tc>
        <w:tc>
          <w:tcPr>
            <w:tcW w:w="575" w:type="dxa"/>
          </w:tcPr>
          <w:p>
            <w:pPr>
              <w:pStyle w:val="TableParagraph"/>
              <w:spacing w:before="21" w:line="219" w:lineRule="exact"/>
              <w:ind w:left="52" w:right="-15"/>
              <w:jc w:val="left"/>
              <w:rPr>
                <w:sz w:val="21"/>
              </w:rPr>
            </w:pPr>
            <w:r>
              <w:rPr>
                <w:sz w:val="21"/>
              </w:rPr>
              <w:t>50082</w:t>
            </w:r>
          </w:p>
        </w:tc>
        <w:tc>
          <w:tcPr>
            <w:tcW w:w="4773" w:type="dxa"/>
          </w:tcPr>
          <w:p>
            <w:pPr>
              <w:pStyle w:val="TableParagraph"/>
              <w:spacing w:before="21" w:line="219" w:lineRule="exact"/>
              <w:ind w:left="211"/>
              <w:jc w:val="left"/>
              <w:rPr>
                <w:sz w:val="21"/>
              </w:rPr>
            </w:pPr>
            <w:r>
              <w:rPr>
                <w:sz w:val="21"/>
              </w:rPr>
              <w:t>普通混凝土长期性能和耐久性能试验方法标准</w:t>
            </w:r>
          </w:p>
        </w:tc>
      </w:tr>
    </w:tbl>
    <w:p>
      <w:pPr>
        <w:pStyle w:val="BodyText"/>
        <w:spacing w:before="72"/>
        <w:ind w:left="818"/>
      </w:pPr>
      <w:r>
        <w:t>JGJ 55 普通混凝土配合比设计规程</w:t>
      </w:r>
    </w:p>
    <w:p>
      <w:pPr>
        <w:pStyle w:val="BodyText"/>
        <w:spacing w:before="43"/>
        <w:ind w:left="818"/>
      </w:pPr>
      <w:r>
        <w:t>JGJ 63 混凝土用水标准</w:t>
      </w:r>
    </w:p>
    <w:p>
      <w:pPr>
        <w:pStyle w:val="BodyText"/>
        <w:spacing w:before="43"/>
        <w:ind w:left="818"/>
      </w:pPr>
      <w:r>
        <w:t>JG/T 244 混凝土试验用搅拌机</w:t>
      </w:r>
    </w:p>
    <w:p>
      <w:pPr>
        <w:pStyle w:val="BodyText"/>
        <w:spacing w:before="9"/>
        <w:rPr>
          <w:sz w:val="27"/>
        </w:rPr>
      </w:pPr>
    </w:p>
    <w:p>
      <w:pPr>
        <w:pStyle w:val="ListParagraph"/>
        <w:numPr>
          <w:ilvl w:val="0"/>
          <w:numId w:val="26"/>
        </w:numPr>
        <w:tabs>
          <w:tab w:val="left" w:pos="713"/>
        </w:tabs>
        <w:spacing w:before="0" w:after="0" w:line="240" w:lineRule="auto"/>
        <w:ind w:left="712" w:right="0" w:hanging="315"/>
        <w:jc w:val="left"/>
        <w:rPr>
          <w:rFonts w:ascii="黑体" w:eastAsia="黑体" w:hint="eastAsia"/>
          <w:sz w:val="21"/>
        </w:rPr>
      </w:pPr>
      <w:bookmarkStart w:id="5" w:name="3　术语和定义"/>
      <w:bookmarkEnd w:id="5"/>
      <w:bookmarkStart w:id="6" w:name="_bookmark2"/>
      <w:bookmarkEnd w:id="6"/>
      <w:r>
        <w:rPr>
          <w:rFonts w:ascii="黑体" w:eastAsia="黑体" w:hint="eastAsia"/>
          <w:sz w:val="21"/>
        </w:rPr>
        <w:t>术语和定义</w:t>
      </w:r>
    </w:p>
    <w:p>
      <w:pPr>
        <w:pStyle w:val="BodyText"/>
        <w:spacing w:before="3"/>
        <w:rPr>
          <w:rFonts w:ascii="黑体"/>
          <w:sz w:val="22"/>
        </w:rPr>
      </w:pPr>
    </w:p>
    <w:p>
      <w:pPr>
        <w:pStyle w:val="BodyText"/>
        <w:spacing w:before="70"/>
        <w:ind w:left="818"/>
      </w:pPr>
      <w:r>
        <w:t>GB/T 8075界定的术语和定义适用于本文件。</w:t>
      </w:r>
    </w:p>
    <w:p>
      <w:pPr>
        <w:pStyle w:val="BodyText"/>
        <w:spacing w:before="43"/>
        <w:ind w:left="388"/>
        <w:rPr>
          <w:rFonts w:ascii="黑体"/>
        </w:rPr>
      </w:pPr>
      <w:r>
        <w:rPr>
          <w:rFonts w:ascii="黑体"/>
        </w:rPr>
        <w:t>3.1</w:t>
      </w:r>
    </w:p>
    <w:p>
      <w:pPr>
        <w:pStyle w:val="BodyText"/>
        <w:spacing w:before="43"/>
        <w:ind w:left="818"/>
        <w:rPr>
          <w:rFonts w:ascii="黑体" w:eastAsia="黑体" w:hint="eastAsia"/>
        </w:rPr>
      </w:pPr>
      <w:r>
        <w:rPr>
          <w:rFonts w:ascii="黑体" w:eastAsia="黑体" w:hint="eastAsia"/>
        </w:rPr>
        <w:t>释放氨 ammonia emitted from concrete admixture</w:t>
      </w:r>
    </w:p>
    <w:p>
      <w:pPr>
        <w:pStyle w:val="BodyText"/>
        <w:spacing w:before="43"/>
        <w:ind w:left="818"/>
      </w:pPr>
      <w:r>
        <w:t>外加剂经蒸馏后释放出的氨。</w:t>
      </w:r>
    </w:p>
    <w:p>
      <w:pPr>
        <w:pStyle w:val="BodyText"/>
        <w:spacing w:before="43"/>
        <w:ind w:left="818"/>
      </w:pPr>
      <w:r>
        <w:t>[来源：GB/T 8075—2017，5.30.1，有修改]</w:t>
      </w:r>
    </w:p>
    <w:p>
      <w:pPr>
        <w:pStyle w:val="BodyText"/>
        <w:spacing w:before="43"/>
        <w:ind w:left="388"/>
        <w:rPr>
          <w:rFonts w:ascii="黑体"/>
        </w:rPr>
      </w:pPr>
      <w:r>
        <w:rPr>
          <w:rFonts w:ascii="黑体"/>
        </w:rPr>
        <w:t>3.2</w:t>
      </w:r>
    </w:p>
    <w:p>
      <w:pPr>
        <w:spacing w:after="0"/>
        <w:rPr>
          <w:rFonts w:ascii="黑体"/>
        </w:rPr>
        <w:sectPr>
          <w:footerReference w:type="even" r:id="rId7"/>
          <w:footerReference w:type="default" r:id="rId8"/>
          <w:pgSz w:w="11910" w:h="16840"/>
          <w:pgMar w:top="1400" w:right="820" w:bottom="1280" w:left="1020" w:header="0" w:footer="857"/>
          <w:pgNumType w:start="1"/>
          <w:cols w:space="708"/>
        </w:sectPr>
      </w:pPr>
    </w:p>
    <w:p>
      <w:pPr>
        <w:pStyle w:val="BodyText"/>
        <w:spacing w:before="40"/>
        <w:ind w:left="818"/>
        <w:rPr>
          <w:rFonts w:ascii="黑体" w:eastAsia="黑体" w:hint="eastAsia"/>
        </w:rPr>
      </w:pPr>
      <w:bookmarkStart w:id="7" w:name="残留甲醛  residual formaldehyde"/>
      <w:bookmarkEnd w:id="7"/>
      <w:r>
        <w:rPr>
          <w:rFonts w:ascii="黑体" w:eastAsia="黑体" w:hint="eastAsia"/>
        </w:rPr>
        <w:t>残留甲醛 residual formaldehyde</w:t>
      </w:r>
    </w:p>
    <w:p>
      <w:pPr>
        <w:pStyle w:val="BodyText"/>
        <w:spacing w:before="43"/>
        <w:ind w:left="818"/>
      </w:pPr>
      <w:r>
        <w:t>外加剂中以游离态存在的甲醛和易解聚成甲醛的聚甲醛。</w:t>
      </w:r>
    </w:p>
    <w:p>
      <w:pPr>
        <w:pStyle w:val="BodyText"/>
        <w:spacing w:before="43"/>
        <w:ind w:left="818"/>
      </w:pPr>
      <w:r>
        <w:t>［来源：GB 31040—2014，3.2，有修改]</w:t>
      </w:r>
    </w:p>
    <w:p>
      <w:pPr>
        <w:pStyle w:val="BodyText"/>
        <w:spacing w:before="43"/>
        <w:ind w:left="388"/>
        <w:rPr>
          <w:rFonts w:ascii="黑体"/>
        </w:rPr>
      </w:pPr>
      <w:r>
        <w:rPr>
          <w:rFonts w:ascii="黑体"/>
        </w:rPr>
        <w:t>3.3</w:t>
      </w:r>
    </w:p>
    <w:p>
      <w:pPr>
        <w:pStyle w:val="BodyText"/>
        <w:spacing w:before="43"/>
        <w:ind w:left="818"/>
        <w:rPr>
          <w:rFonts w:ascii="黑体" w:eastAsia="黑体" w:hint="eastAsia"/>
        </w:rPr>
      </w:pPr>
      <w:bookmarkStart w:id="8" w:name="引气减水剂  air entraining type water reducin"/>
      <w:bookmarkEnd w:id="8"/>
      <w:r>
        <w:rPr>
          <w:rFonts w:ascii="黑体" w:eastAsia="黑体" w:hint="eastAsia"/>
        </w:rPr>
        <w:t>引气减水剂 air entraining type water reducing admixture</w:t>
      </w:r>
    </w:p>
    <w:p>
      <w:pPr>
        <w:pStyle w:val="BodyText"/>
        <w:spacing w:before="58"/>
        <w:ind w:left="818"/>
        <w:rPr>
          <w:rFonts w:ascii="等线" w:eastAsia="等线" w:hint="eastAsia"/>
        </w:rPr>
      </w:pPr>
      <w:r>
        <w:rPr>
          <w:rFonts w:ascii="等线" w:eastAsia="等线" w:hint="eastAsia"/>
        </w:rPr>
        <w:t>兼有引气和减水功能的外加剂。</w:t>
      </w:r>
    </w:p>
    <w:p>
      <w:pPr>
        <w:pStyle w:val="BodyText"/>
        <w:spacing w:before="60"/>
        <w:ind w:left="818"/>
      </w:pPr>
      <w:r>
        <w:t xml:space="preserve">［来源：GB </w:t>
      </w:r>
      <w:r>
        <w:rPr>
          <w:rFonts w:ascii="Calibri" w:eastAsia="Calibri"/>
        </w:rPr>
        <w:t>XXXX</w:t>
      </w:r>
      <w:r>
        <w:t>，3.9]</w:t>
      </w:r>
    </w:p>
    <w:p>
      <w:pPr>
        <w:pStyle w:val="BodyText"/>
        <w:spacing w:before="41"/>
        <w:ind w:left="388"/>
        <w:rPr>
          <w:rFonts w:ascii="黑体"/>
        </w:rPr>
      </w:pPr>
      <w:r>
        <w:rPr>
          <w:rFonts w:ascii="黑体"/>
        </w:rPr>
        <w:t>3.4</w:t>
      </w:r>
    </w:p>
    <w:p>
      <w:pPr>
        <w:pStyle w:val="BodyText"/>
        <w:spacing w:before="43"/>
        <w:ind w:left="818"/>
        <w:rPr>
          <w:rFonts w:ascii="黑体" w:eastAsia="黑体" w:hint="eastAsia"/>
        </w:rPr>
      </w:pPr>
      <w:bookmarkStart w:id="9" w:name="基准混凝土  reference concrete"/>
      <w:bookmarkEnd w:id="9"/>
      <w:r>
        <w:rPr>
          <w:rFonts w:ascii="黑体" w:eastAsia="黑体" w:hint="eastAsia"/>
        </w:rPr>
        <w:t>基准混凝土 reference concrete</w:t>
      </w:r>
    </w:p>
    <w:p>
      <w:pPr>
        <w:pStyle w:val="BodyText"/>
        <w:spacing w:before="43"/>
        <w:ind w:left="818"/>
      </w:pPr>
      <w:r>
        <w:t>符合本文件试验条件规定的、未掺有外加剂的混凝土。根据其配合比不同，包括基准混凝土I和基</w:t>
      </w:r>
    </w:p>
    <w:p>
      <w:pPr>
        <w:pStyle w:val="BodyText"/>
        <w:spacing w:before="43"/>
        <w:ind w:left="607"/>
      </w:pPr>
      <w:r>
        <w:t>准混凝土II两种。</w:t>
      </w:r>
    </w:p>
    <w:p>
      <w:pPr>
        <w:pStyle w:val="BodyText"/>
        <w:spacing w:before="42"/>
        <w:ind w:left="818"/>
      </w:pPr>
      <w:r>
        <w:t>［来源：GB/T 8075—2017，6.13，有修改]</w:t>
      </w:r>
    </w:p>
    <w:p>
      <w:pPr>
        <w:pStyle w:val="BodyText"/>
        <w:spacing w:before="43"/>
        <w:ind w:left="388"/>
        <w:rPr>
          <w:rFonts w:ascii="黑体"/>
        </w:rPr>
      </w:pPr>
      <w:r>
        <w:rPr>
          <w:rFonts w:ascii="黑体"/>
        </w:rPr>
        <w:t>3.5</w:t>
      </w:r>
    </w:p>
    <w:p>
      <w:pPr>
        <w:pStyle w:val="BodyText"/>
        <w:spacing w:before="43"/>
        <w:ind w:left="818"/>
        <w:rPr>
          <w:rFonts w:ascii="黑体" w:eastAsia="黑体" w:hint="eastAsia"/>
        </w:rPr>
      </w:pPr>
      <w:bookmarkStart w:id="10" w:name="受检混凝土  test concrete"/>
      <w:bookmarkEnd w:id="10"/>
      <w:r>
        <w:rPr>
          <w:rFonts w:ascii="黑体" w:eastAsia="黑体" w:hint="eastAsia"/>
        </w:rPr>
        <w:t>受检混凝土 test concrete</w:t>
      </w:r>
    </w:p>
    <w:p>
      <w:pPr>
        <w:pStyle w:val="BodyText"/>
        <w:spacing w:before="43"/>
        <w:ind w:left="818"/>
      </w:pPr>
      <w:r>
        <w:t>符合本文件试验条件规定的、掺有外加剂的混凝土。</w:t>
      </w:r>
    </w:p>
    <w:p>
      <w:pPr>
        <w:pStyle w:val="BodyText"/>
        <w:spacing w:before="43"/>
        <w:ind w:left="818"/>
      </w:pPr>
      <w:r>
        <w:t>［来源：GB/T 8075—2017，6.14，有修改]</w:t>
      </w:r>
    </w:p>
    <w:p>
      <w:pPr>
        <w:pStyle w:val="BodyText"/>
        <w:spacing w:before="43"/>
        <w:ind w:left="388"/>
        <w:rPr>
          <w:rFonts w:ascii="黑体"/>
        </w:rPr>
      </w:pPr>
      <w:r>
        <w:rPr>
          <w:rFonts w:ascii="黑体"/>
        </w:rPr>
        <w:t>3.6</w:t>
      </w:r>
    </w:p>
    <w:p>
      <w:pPr>
        <w:pStyle w:val="BodyText"/>
        <w:spacing w:before="43"/>
        <w:ind w:left="818"/>
        <w:rPr>
          <w:rFonts w:ascii="黑体" w:eastAsia="黑体" w:hint="eastAsia"/>
        </w:rPr>
      </w:pPr>
      <w:bookmarkStart w:id="11" w:name="压力泌水率比  ratio of bleeding rate at pressu"/>
      <w:bookmarkEnd w:id="11"/>
      <w:r>
        <w:rPr>
          <w:rFonts w:ascii="黑体" w:eastAsia="黑体" w:hint="eastAsia"/>
        </w:rPr>
        <w:t>压力泌水率比 ratio of bleeding rate at pressure</w:t>
      </w:r>
    </w:p>
    <w:p>
      <w:pPr>
        <w:pStyle w:val="BodyText"/>
        <w:spacing w:before="43"/>
        <w:ind w:left="818"/>
      </w:pPr>
      <w:r>
        <w:t>掺泵送剂的受检混凝土压力泌水率与基准混凝土压力泌水率的比值。</w:t>
      </w:r>
    </w:p>
    <w:p>
      <w:pPr>
        <w:pStyle w:val="BodyText"/>
        <w:spacing w:before="43"/>
        <w:ind w:left="818"/>
      </w:pPr>
      <w:r>
        <w:t>［来源：GB/T 8075—2017，5.12.2，有修改]</w:t>
      </w:r>
    </w:p>
    <w:p>
      <w:pPr>
        <w:pStyle w:val="BodyText"/>
        <w:spacing w:before="43"/>
        <w:ind w:left="388"/>
        <w:rPr>
          <w:rFonts w:ascii="黑体"/>
        </w:rPr>
      </w:pPr>
      <w:r>
        <w:rPr>
          <w:rFonts w:ascii="黑体"/>
        </w:rPr>
        <w:t>3.7</w:t>
      </w:r>
    </w:p>
    <w:p>
      <w:pPr>
        <w:pStyle w:val="BodyText"/>
        <w:spacing w:before="43"/>
        <w:ind w:left="818"/>
        <w:rPr>
          <w:rFonts w:ascii="黑体" w:eastAsia="黑体" w:hint="eastAsia"/>
        </w:rPr>
      </w:pPr>
      <w:bookmarkStart w:id="12" w:name="吸水量比  ratio of water absorption"/>
      <w:bookmarkEnd w:id="12"/>
      <w:r>
        <w:rPr>
          <w:rFonts w:ascii="黑体" w:eastAsia="黑体" w:hint="eastAsia"/>
        </w:rPr>
        <w:t>吸水量比 ratio of water absorption</w:t>
      </w:r>
    </w:p>
    <w:p>
      <w:pPr>
        <w:pStyle w:val="BodyText"/>
        <w:spacing w:before="43"/>
        <w:ind w:left="818"/>
      </w:pPr>
      <w:r>
        <w:t>掺防水剂的受检混凝土吸水量与基准混凝土吸水量的比值。</w:t>
      </w:r>
    </w:p>
    <w:p>
      <w:pPr>
        <w:pStyle w:val="BodyText"/>
        <w:spacing w:before="43"/>
        <w:ind w:left="388"/>
        <w:rPr>
          <w:rFonts w:ascii="黑体"/>
        </w:rPr>
      </w:pPr>
      <w:r>
        <w:rPr>
          <w:rFonts w:ascii="黑体"/>
        </w:rPr>
        <w:t>3.8</w:t>
      </w:r>
    </w:p>
    <w:p>
      <w:pPr>
        <w:pStyle w:val="BodyText"/>
        <w:spacing w:before="43"/>
        <w:ind w:left="818"/>
        <w:rPr>
          <w:rFonts w:ascii="黑体" w:eastAsia="黑体" w:hint="eastAsia"/>
        </w:rPr>
      </w:pPr>
      <w:bookmarkStart w:id="13" w:name="负温抗压强度比  ratio of compressive strength a"/>
      <w:bookmarkEnd w:id="13"/>
      <w:r>
        <w:rPr>
          <w:rFonts w:ascii="黑体" w:eastAsia="黑体" w:hint="eastAsia"/>
        </w:rPr>
        <w:t>负温抗压强度比 ratio of compressive strength at minus temperature</w:t>
      </w:r>
    </w:p>
    <w:p>
      <w:pPr>
        <w:pStyle w:val="BodyText"/>
        <w:spacing w:before="43"/>
        <w:ind w:left="818"/>
      </w:pPr>
      <w:r>
        <w:t>掺防冻剂的负温养护受检混凝土抗压强度与标准养护28 d基准混凝土抗压强度的比值。</w:t>
      </w:r>
    </w:p>
    <w:p>
      <w:pPr>
        <w:pStyle w:val="BodyText"/>
        <w:spacing w:before="45"/>
        <w:ind w:left="818"/>
      </w:pPr>
      <w:r>
        <w:t xml:space="preserve">［来源：GB </w:t>
      </w:r>
      <w:r>
        <w:rPr>
          <w:rFonts w:ascii="Calibri" w:eastAsia="Calibri"/>
        </w:rPr>
        <w:t>XXXX</w:t>
      </w:r>
      <w:r>
        <w:t>，3.8]</w:t>
      </w:r>
    </w:p>
    <w:p>
      <w:pPr>
        <w:pStyle w:val="BodyText"/>
        <w:spacing w:before="40"/>
        <w:ind w:left="388"/>
        <w:rPr>
          <w:rFonts w:ascii="黑体"/>
        </w:rPr>
      </w:pPr>
      <w:r>
        <w:rPr>
          <w:rFonts w:ascii="黑体"/>
        </w:rPr>
        <w:t>3.9</w:t>
      </w:r>
    </w:p>
    <w:p>
      <w:pPr>
        <w:pStyle w:val="BodyText"/>
        <w:spacing w:before="43"/>
        <w:ind w:left="818"/>
        <w:rPr>
          <w:rFonts w:ascii="黑体" w:eastAsia="黑体" w:hint="eastAsia"/>
        </w:rPr>
      </w:pPr>
      <w:bookmarkStart w:id="14" w:name="负温收缩率比  ratio of shrinkage at minus temp"/>
      <w:bookmarkEnd w:id="14"/>
      <w:r>
        <w:rPr>
          <w:rFonts w:ascii="黑体" w:eastAsia="黑体" w:hint="eastAsia"/>
        </w:rPr>
        <w:t>负温收缩率比 ratio of shrinkage at minus temperature</w:t>
      </w:r>
    </w:p>
    <w:p>
      <w:pPr>
        <w:pStyle w:val="BodyText"/>
        <w:spacing w:before="43"/>
        <w:ind w:left="818"/>
      </w:pPr>
      <w:r>
        <w:t>掺防冻剂的负温养护受检混凝土收缩率与基准混凝土收缩率的比值。</w:t>
      </w:r>
    </w:p>
    <w:p>
      <w:pPr>
        <w:pStyle w:val="BodyText"/>
        <w:spacing w:before="46"/>
        <w:ind w:left="818"/>
      </w:pPr>
      <w:r>
        <w:t xml:space="preserve">［来源：GB </w:t>
      </w:r>
      <w:r>
        <w:rPr>
          <w:rFonts w:ascii="Calibri" w:eastAsia="Calibri"/>
        </w:rPr>
        <w:t>XXXX</w:t>
      </w:r>
      <w:r>
        <w:t>，3.9]</w:t>
      </w:r>
    </w:p>
    <w:p>
      <w:pPr>
        <w:pStyle w:val="BodyText"/>
        <w:spacing w:before="40"/>
        <w:ind w:left="388"/>
        <w:rPr>
          <w:rFonts w:ascii="黑体"/>
        </w:rPr>
      </w:pPr>
      <w:r>
        <w:rPr>
          <w:rFonts w:ascii="黑体"/>
        </w:rPr>
        <w:t>3.10</w:t>
      </w:r>
    </w:p>
    <w:p>
      <w:pPr>
        <w:pStyle w:val="BodyText"/>
        <w:spacing w:before="43"/>
        <w:ind w:left="818"/>
        <w:rPr>
          <w:rFonts w:ascii="黑体" w:eastAsia="黑体" w:hint="eastAsia"/>
        </w:rPr>
      </w:pPr>
      <w:bookmarkStart w:id="15" w:name="负温渗透高度比  ratio of penetration height at "/>
      <w:bookmarkEnd w:id="15"/>
      <w:r>
        <w:rPr>
          <w:rFonts w:ascii="黑体" w:eastAsia="黑体" w:hint="eastAsia"/>
          <w:spacing w:val="12"/>
        </w:rPr>
        <w:t xml:space="preserve">负温渗透高度比 </w:t>
      </w:r>
      <w:r>
        <w:rPr>
          <w:rFonts w:ascii="黑体" w:eastAsia="黑体" w:hint="eastAsia"/>
        </w:rPr>
        <w:t>ratio</w:t>
      </w:r>
      <w:r>
        <w:rPr>
          <w:rFonts w:ascii="黑体" w:eastAsia="黑体" w:hint="eastAsia"/>
          <w:spacing w:val="-3"/>
        </w:rPr>
        <w:t xml:space="preserve"> </w:t>
      </w:r>
      <w:r>
        <w:rPr>
          <w:rFonts w:ascii="黑体" w:eastAsia="黑体" w:hint="eastAsia"/>
        </w:rPr>
        <w:t>of penetration</w:t>
      </w:r>
      <w:r>
        <w:rPr>
          <w:rFonts w:ascii="黑体" w:eastAsia="黑体" w:hint="eastAsia"/>
          <w:spacing w:val="-2"/>
        </w:rPr>
        <w:t xml:space="preserve"> </w:t>
      </w:r>
      <w:r>
        <w:rPr>
          <w:rFonts w:ascii="黑体" w:eastAsia="黑体" w:hint="eastAsia"/>
        </w:rPr>
        <w:t>height</w:t>
      </w:r>
      <w:r>
        <w:rPr>
          <w:rFonts w:ascii="黑体" w:eastAsia="黑体" w:hint="eastAsia"/>
          <w:spacing w:val="-3"/>
        </w:rPr>
        <w:t xml:space="preserve"> </w:t>
      </w:r>
      <w:r>
        <w:rPr>
          <w:rFonts w:ascii="黑体" w:eastAsia="黑体" w:hint="eastAsia"/>
        </w:rPr>
        <w:t>at</w:t>
      </w:r>
      <w:r>
        <w:rPr>
          <w:rFonts w:ascii="黑体" w:eastAsia="黑体" w:hint="eastAsia"/>
          <w:spacing w:val="-2"/>
        </w:rPr>
        <w:t xml:space="preserve"> </w:t>
      </w:r>
      <w:r>
        <w:rPr>
          <w:rFonts w:ascii="黑体" w:eastAsia="黑体" w:hint="eastAsia"/>
        </w:rPr>
        <w:t>minus temperature</w:t>
      </w:r>
    </w:p>
    <w:p>
      <w:pPr>
        <w:pStyle w:val="BodyText"/>
        <w:spacing w:before="43"/>
        <w:ind w:left="818"/>
      </w:pPr>
      <w:r>
        <w:rPr>
          <w:w w:val="95"/>
        </w:rPr>
        <w:t>掺防冻剂的负温养护受检混凝土渗水高度与基准混凝土渗水高度的比值。</w:t>
      </w:r>
    </w:p>
    <w:p>
      <w:pPr>
        <w:pStyle w:val="BodyText"/>
        <w:spacing w:before="43"/>
        <w:ind w:left="388"/>
        <w:rPr>
          <w:rFonts w:ascii="黑体"/>
        </w:rPr>
      </w:pPr>
      <w:r>
        <w:rPr>
          <w:rFonts w:ascii="黑体"/>
        </w:rPr>
        <w:t>3.11</w:t>
      </w:r>
    </w:p>
    <w:p>
      <w:pPr>
        <w:pStyle w:val="BodyText"/>
        <w:spacing w:before="43"/>
        <w:ind w:left="818"/>
        <w:rPr>
          <w:rFonts w:ascii="黑体" w:eastAsia="黑体" w:hint="eastAsia"/>
        </w:rPr>
      </w:pPr>
      <w:bookmarkStart w:id="16" w:name="抗冻性指标  index of frost resistance "/>
      <w:bookmarkEnd w:id="16"/>
      <w:r>
        <w:rPr>
          <w:rFonts w:ascii="黑体" w:eastAsia="黑体" w:hint="eastAsia"/>
        </w:rPr>
        <w:t>抗冻性指标 index of frost resistance</w:t>
      </w:r>
    </w:p>
    <w:p>
      <w:pPr>
        <w:pStyle w:val="BodyText"/>
        <w:spacing w:before="60"/>
        <w:ind w:left="818"/>
        <w:rPr>
          <w:rFonts w:ascii="等线" w:eastAsia="等线" w:hint="eastAsia"/>
        </w:rPr>
      </w:pPr>
      <w:r>
        <w:rPr>
          <w:rFonts w:ascii="等线" w:eastAsia="等线" w:hint="eastAsia"/>
        </w:rPr>
        <w:t>经快冻法抗冻试验200次循环后，掺引气剂或引气减水剂受检混凝土的相对动弹性模量保留率。</w:t>
      </w:r>
    </w:p>
    <w:p>
      <w:pPr>
        <w:pStyle w:val="BodyText"/>
        <w:spacing w:before="58"/>
        <w:ind w:left="818"/>
      </w:pPr>
      <w:r>
        <w:t xml:space="preserve">［来源：GB </w:t>
      </w:r>
      <w:r>
        <w:rPr>
          <w:rFonts w:ascii="Calibri" w:eastAsia="Calibri"/>
        </w:rPr>
        <w:t>XXXX</w:t>
      </w:r>
      <w:r>
        <w:t>，3.6]</w:t>
      </w:r>
    </w:p>
    <w:p>
      <w:pPr>
        <w:pStyle w:val="BodyText"/>
        <w:spacing w:before="43"/>
        <w:ind w:left="388"/>
        <w:rPr>
          <w:rFonts w:ascii="黑体"/>
        </w:rPr>
      </w:pPr>
      <w:r>
        <w:rPr>
          <w:rFonts w:ascii="黑体"/>
        </w:rPr>
        <w:t>3.12</w:t>
      </w:r>
    </w:p>
    <w:p>
      <w:pPr>
        <w:pStyle w:val="BodyText"/>
        <w:spacing w:before="43"/>
        <w:ind w:left="818"/>
        <w:rPr>
          <w:rFonts w:ascii="黑体" w:eastAsia="黑体" w:hint="eastAsia"/>
        </w:rPr>
      </w:pPr>
      <w:bookmarkStart w:id="17" w:name="基准水泥  reference cement"/>
      <w:bookmarkEnd w:id="17"/>
      <w:r>
        <w:rPr>
          <w:rFonts w:ascii="黑体" w:eastAsia="黑体" w:hint="eastAsia"/>
        </w:rPr>
        <w:t>基准水泥 reference cement</w:t>
      </w:r>
    </w:p>
    <w:p>
      <w:pPr>
        <w:pStyle w:val="BodyText"/>
        <w:spacing w:before="43"/>
        <w:ind w:left="818"/>
      </w:pPr>
      <w:r>
        <w:t>符合本文件附录A规定的、专门用于检验外加剂性能的水泥。</w:t>
      </w:r>
    </w:p>
    <w:p>
      <w:pPr>
        <w:pStyle w:val="BodyText"/>
        <w:spacing w:before="43"/>
        <w:ind w:left="818"/>
      </w:pPr>
      <w:r>
        <w:t>［来源：GB/T 8075—2017，6.10，有修改]</w:t>
      </w:r>
    </w:p>
    <w:p>
      <w:pPr>
        <w:pStyle w:val="BodyText"/>
        <w:spacing w:before="43"/>
        <w:ind w:left="388"/>
        <w:rPr>
          <w:rFonts w:ascii="黑体"/>
        </w:rPr>
      </w:pPr>
      <w:r>
        <w:rPr>
          <w:rFonts w:ascii="黑体"/>
        </w:rPr>
        <w:t>3.13</w:t>
      </w:r>
    </w:p>
    <w:p>
      <w:pPr>
        <w:pStyle w:val="BodyText"/>
        <w:spacing w:before="42"/>
        <w:ind w:left="818"/>
        <w:rPr>
          <w:rFonts w:ascii="黑体" w:eastAsia="黑体" w:hint="eastAsia"/>
        </w:rPr>
      </w:pPr>
      <w:bookmarkStart w:id="18" w:name="专用机制砂  manufactured sand specialized for"/>
      <w:bookmarkEnd w:id="18"/>
      <w:r>
        <w:rPr>
          <w:rFonts w:ascii="黑体" w:eastAsia="黑体" w:hint="eastAsia"/>
        </w:rPr>
        <w:t>专用机制砂 manufactured sand specialized for concrete admixture test</w:t>
      </w:r>
    </w:p>
    <w:p>
      <w:pPr>
        <w:pStyle w:val="BodyText"/>
        <w:spacing w:before="43"/>
        <w:ind w:left="818"/>
      </w:pPr>
      <w:r>
        <w:t>符合本文件附录B规定的、专门用于检验外加剂性能的机制砂。</w:t>
      </w:r>
    </w:p>
    <w:p>
      <w:pPr>
        <w:spacing w:after="0"/>
        <w:sectPr>
          <w:footerReference w:type="even" r:id="rId9"/>
          <w:footerReference w:type="default" r:id="rId10"/>
          <w:pgSz w:w="11910" w:h="16840"/>
          <w:pgMar w:top="1380" w:right="820" w:bottom="1040" w:left="1020" w:header="0" w:footer="1092"/>
          <w:pgNumType w:start="2"/>
          <w:cols w:space="708"/>
        </w:sectPr>
      </w:pPr>
    </w:p>
    <w:p>
      <w:pPr>
        <w:pStyle w:val="ListParagraph"/>
        <w:numPr>
          <w:ilvl w:val="0"/>
          <w:numId w:val="22"/>
        </w:numPr>
        <w:tabs>
          <w:tab w:val="left" w:pos="713"/>
        </w:tabs>
        <w:spacing w:before="40" w:after="0" w:line="240" w:lineRule="auto"/>
        <w:ind w:left="712" w:right="0" w:hanging="315"/>
        <w:jc w:val="left"/>
        <w:rPr>
          <w:rFonts w:ascii="黑体" w:eastAsia="黑体" w:hint="eastAsia"/>
          <w:sz w:val="21"/>
        </w:rPr>
      </w:pPr>
      <w:bookmarkStart w:id="19" w:name="4　分类与标记"/>
      <w:bookmarkEnd w:id="19"/>
      <w:bookmarkStart w:id="20" w:name="_bookmark3"/>
      <w:bookmarkEnd w:id="20"/>
      <w:r>
        <w:rPr>
          <w:rFonts w:ascii="黑体" w:eastAsia="黑体" w:hint="eastAsia"/>
          <w:sz w:val="21"/>
        </w:rPr>
        <w:t>分类与标记</w:t>
      </w:r>
    </w:p>
    <w:p>
      <w:pPr>
        <w:pStyle w:val="BodyText"/>
        <w:spacing w:before="9"/>
        <w:rPr>
          <w:rFonts w:ascii="黑体"/>
          <w:sz w:val="27"/>
        </w:rPr>
      </w:pPr>
    </w:p>
    <w:p>
      <w:pPr>
        <w:pStyle w:val="ListParagraph"/>
        <w:numPr>
          <w:ilvl w:val="1"/>
          <w:numId w:val="22"/>
        </w:numPr>
        <w:tabs>
          <w:tab w:val="left" w:pos="924"/>
        </w:tabs>
        <w:spacing w:before="0" w:after="0" w:line="240" w:lineRule="auto"/>
        <w:ind w:left="924" w:right="0" w:hanging="526"/>
        <w:jc w:val="left"/>
        <w:rPr>
          <w:rFonts w:ascii="黑体" w:eastAsia="黑体" w:hint="eastAsia"/>
          <w:sz w:val="21"/>
        </w:rPr>
      </w:pPr>
      <w:bookmarkStart w:id="21" w:name="4.1　分类和代号"/>
      <w:bookmarkEnd w:id="21"/>
      <w:bookmarkStart w:id="22" w:name="_bookmark4"/>
      <w:bookmarkEnd w:id="22"/>
      <w:r>
        <w:rPr>
          <w:rFonts w:ascii="黑体" w:eastAsia="黑体" w:hint="eastAsia"/>
          <w:sz w:val="21"/>
        </w:rPr>
        <w:t>分类和代号</w:t>
      </w:r>
    </w:p>
    <w:p>
      <w:pPr>
        <w:pStyle w:val="BodyText"/>
        <w:spacing w:before="7"/>
        <w:rPr>
          <w:rFonts w:ascii="黑体"/>
          <w:sz w:val="15"/>
        </w:rPr>
      </w:pPr>
    </w:p>
    <w:p>
      <w:pPr>
        <w:pStyle w:val="ListParagraph"/>
        <w:numPr>
          <w:ilvl w:val="2"/>
          <w:numId w:val="22"/>
        </w:numPr>
        <w:tabs>
          <w:tab w:val="left" w:pos="1133"/>
        </w:tabs>
        <w:spacing w:before="0" w:after="0" w:line="240" w:lineRule="auto"/>
        <w:ind w:left="1132" w:right="0" w:hanging="735"/>
        <w:jc w:val="left"/>
        <w:rPr>
          <w:sz w:val="21"/>
        </w:rPr>
      </w:pPr>
      <w:r>
        <w:rPr>
          <w:sz w:val="21"/>
        </w:rPr>
        <w:t>外加剂按照状态分为液体外加剂和固体外加剂。</w:t>
      </w:r>
    </w:p>
    <w:p>
      <w:pPr>
        <w:pStyle w:val="ListParagraph"/>
        <w:numPr>
          <w:ilvl w:val="2"/>
          <w:numId w:val="22"/>
        </w:numPr>
        <w:tabs>
          <w:tab w:val="left" w:pos="1133"/>
        </w:tabs>
        <w:spacing w:before="43" w:after="0" w:line="240" w:lineRule="auto"/>
        <w:ind w:left="1132" w:right="0" w:hanging="735"/>
        <w:jc w:val="left"/>
        <w:rPr>
          <w:sz w:val="21"/>
        </w:rPr>
      </w:pPr>
      <w:r>
        <w:rPr>
          <w:sz w:val="21"/>
        </w:rPr>
        <w:t>外加剂按主要功能分为下列品种和型号：</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早强型高性能减水剂，代号为 </w:t>
      </w:r>
      <w:r>
        <w:rPr>
          <w:sz w:val="21"/>
        </w:rPr>
        <w:t>HPWR-A；</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标准型高性能减水剂，代号为 </w:t>
      </w:r>
      <w:r>
        <w:rPr>
          <w:sz w:val="21"/>
        </w:rPr>
        <w:t>HPWR-S；</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缓凝型高性能减水剂，代号为 </w:t>
      </w:r>
      <w:r>
        <w:rPr>
          <w:sz w:val="21"/>
        </w:rPr>
        <w:t>HPWR-R；</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标准型高效减水剂，代号为 </w:t>
      </w:r>
      <w:r>
        <w:rPr>
          <w:sz w:val="21"/>
        </w:rPr>
        <w:t>HWR-S；</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缓凝型高效减水剂，代号为 </w:t>
      </w:r>
      <w:r>
        <w:rPr>
          <w:sz w:val="21"/>
        </w:rPr>
        <w:t>HWR-R；</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早强型普通减水剂，代号为 </w:t>
      </w:r>
      <w:r>
        <w:rPr>
          <w:sz w:val="21"/>
        </w:rPr>
        <w:t>WR-A；</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标准型普通减水剂，代号为 </w:t>
      </w:r>
      <w:r>
        <w:rPr>
          <w:sz w:val="21"/>
        </w:rPr>
        <w:t>WR-S；</w:t>
      </w:r>
    </w:p>
    <w:p>
      <w:pPr>
        <w:pStyle w:val="ListParagraph"/>
        <w:numPr>
          <w:ilvl w:val="3"/>
          <w:numId w:val="22"/>
        </w:numPr>
        <w:tabs>
          <w:tab w:val="left" w:pos="1248"/>
        </w:tabs>
        <w:spacing w:before="43" w:after="0" w:line="240" w:lineRule="auto"/>
        <w:ind w:left="1248" w:right="0" w:hanging="425"/>
        <w:jc w:val="left"/>
        <w:rPr>
          <w:sz w:val="21"/>
        </w:rPr>
      </w:pPr>
      <w:r>
        <w:rPr>
          <w:spacing w:val="-5"/>
          <w:sz w:val="21"/>
        </w:rPr>
        <w:t xml:space="preserve">缓凝型普通减水剂，代号为 </w:t>
      </w:r>
      <w:r>
        <w:rPr>
          <w:sz w:val="21"/>
        </w:rPr>
        <w:t>WR-R；</w:t>
      </w:r>
    </w:p>
    <w:p>
      <w:pPr>
        <w:pStyle w:val="ListParagraph"/>
        <w:numPr>
          <w:ilvl w:val="3"/>
          <w:numId w:val="22"/>
        </w:numPr>
        <w:tabs>
          <w:tab w:val="left" w:pos="1248"/>
        </w:tabs>
        <w:spacing w:before="43" w:after="0" w:line="240" w:lineRule="auto"/>
        <w:ind w:left="1248" w:right="0" w:hanging="425"/>
        <w:jc w:val="left"/>
        <w:rPr>
          <w:sz w:val="21"/>
        </w:rPr>
      </w:pPr>
      <w:bookmarkStart w:id="23" w:name="i)引气减水剂，代号为AEWR；"/>
      <w:bookmarkEnd w:id="23"/>
      <w:r>
        <w:rPr>
          <w:spacing w:val="-6"/>
          <w:sz w:val="21"/>
        </w:rPr>
        <w:t xml:space="preserve">引气减水剂，代号为 </w:t>
      </w:r>
      <w:r>
        <w:rPr>
          <w:sz w:val="21"/>
        </w:rPr>
        <w:t>AEWR；</w:t>
      </w:r>
    </w:p>
    <w:p>
      <w:pPr>
        <w:pStyle w:val="ListParagraph"/>
        <w:numPr>
          <w:ilvl w:val="3"/>
          <w:numId w:val="22"/>
        </w:numPr>
        <w:tabs>
          <w:tab w:val="left" w:pos="1248"/>
        </w:tabs>
        <w:spacing w:before="43" w:after="0" w:line="240" w:lineRule="auto"/>
        <w:ind w:left="1248" w:right="0" w:hanging="425"/>
        <w:jc w:val="left"/>
        <w:rPr>
          <w:sz w:val="21"/>
        </w:rPr>
      </w:pPr>
      <w:bookmarkStart w:id="24" w:name="j)泵送剂，代号为PA；"/>
      <w:bookmarkEnd w:id="24"/>
      <w:r>
        <w:rPr>
          <w:spacing w:val="-8"/>
          <w:sz w:val="21"/>
        </w:rPr>
        <w:t xml:space="preserve">泵送剂，代号为 </w:t>
      </w:r>
      <w:r>
        <w:rPr>
          <w:sz w:val="21"/>
        </w:rPr>
        <w:t>PA；</w:t>
      </w:r>
    </w:p>
    <w:p>
      <w:pPr>
        <w:pStyle w:val="ListParagraph"/>
        <w:numPr>
          <w:ilvl w:val="3"/>
          <w:numId w:val="22"/>
        </w:numPr>
        <w:tabs>
          <w:tab w:val="left" w:pos="1248"/>
        </w:tabs>
        <w:spacing w:before="43" w:after="0" w:line="240" w:lineRule="auto"/>
        <w:ind w:left="1248" w:right="0" w:hanging="425"/>
        <w:jc w:val="left"/>
        <w:rPr>
          <w:sz w:val="21"/>
        </w:rPr>
      </w:pPr>
      <w:bookmarkStart w:id="25" w:name="k)早强剂，代号为Ac；"/>
      <w:bookmarkEnd w:id="25"/>
      <w:r>
        <w:rPr>
          <w:spacing w:val="-8"/>
          <w:sz w:val="21"/>
        </w:rPr>
        <w:t xml:space="preserve">早强剂，代号为 </w:t>
      </w:r>
      <w:r>
        <w:rPr>
          <w:sz w:val="21"/>
        </w:rPr>
        <w:t>Ac；</w:t>
      </w:r>
    </w:p>
    <w:p>
      <w:pPr>
        <w:pStyle w:val="ListParagraph"/>
        <w:numPr>
          <w:ilvl w:val="3"/>
          <w:numId w:val="22"/>
        </w:numPr>
        <w:tabs>
          <w:tab w:val="left" w:pos="1248"/>
        </w:tabs>
        <w:spacing w:before="42" w:after="0" w:line="240" w:lineRule="auto"/>
        <w:ind w:left="1248" w:right="0" w:hanging="425"/>
        <w:jc w:val="left"/>
        <w:rPr>
          <w:sz w:val="21"/>
        </w:rPr>
      </w:pPr>
      <w:bookmarkStart w:id="26" w:name="l)缓凝剂，代号为Re；"/>
      <w:bookmarkEnd w:id="26"/>
      <w:r>
        <w:rPr>
          <w:spacing w:val="-8"/>
          <w:sz w:val="21"/>
        </w:rPr>
        <w:t xml:space="preserve">缓凝剂，代号为 </w:t>
      </w:r>
      <w:r>
        <w:rPr>
          <w:sz w:val="21"/>
        </w:rPr>
        <w:t>Re；</w:t>
      </w:r>
    </w:p>
    <w:p>
      <w:pPr>
        <w:pStyle w:val="ListParagraph"/>
        <w:numPr>
          <w:ilvl w:val="3"/>
          <w:numId w:val="22"/>
        </w:numPr>
        <w:tabs>
          <w:tab w:val="left" w:pos="1248"/>
        </w:tabs>
        <w:spacing w:before="43" w:after="0" w:line="240" w:lineRule="auto"/>
        <w:ind w:left="1248" w:right="0" w:hanging="425"/>
        <w:jc w:val="left"/>
        <w:rPr>
          <w:sz w:val="21"/>
        </w:rPr>
      </w:pPr>
      <w:bookmarkStart w:id="27" w:name="m)引气剂，代号为AE；"/>
      <w:bookmarkEnd w:id="27"/>
      <w:r>
        <w:rPr>
          <w:spacing w:val="-8"/>
          <w:sz w:val="21"/>
        </w:rPr>
        <w:t xml:space="preserve">引气剂，代号为 </w:t>
      </w:r>
      <w:r>
        <w:rPr>
          <w:sz w:val="21"/>
        </w:rPr>
        <w:t>AE；</w:t>
      </w:r>
    </w:p>
    <w:p>
      <w:pPr>
        <w:pStyle w:val="ListParagraph"/>
        <w:numPr>
          <w:ilvl w:val="3"/>
          <w:numId w:val="22"/>
        </w:numPr>
        <w:tabs>
          <w:tab w:val="left" w:pos="1248"/>
        </w:tabs>
        <w:spacing w:before="43" w:after="0" w:line="240" w:lineRule="auto"/>
        <w:ind w:left="1248" w:right="0" w:hanging="425"/>
        <w:jc w:val="left"/>
        <w:rPr>
          <w:sz w:val="21"/>
        </w:rPr>
      </w:pPr>
      <w:bookmarkStart w:id="28" w:name="n)混凝土防水剂，代号为WrA-C；"/>
      <w:bookmarkEnd w:id="28"/>
      <w:r>
        <w:rPr>
          <w:spacing w:val="-5"/>
          <w:sz w:val="21"/>
        </w:rPr>
        <w:t xml:space="preserve">混凝土防水剂，代号为 </w:t>
      </w:r>
      <w:r>
        <w:rPr>
          <w:sz w:val="21"/>
        </w:rPr>
        <w:t>WrA-C；</w:t>
      </w:r>
    </w:p>
    <w:p>
      <w:pPr>
        <w:pStyle w:val="ListParagraph"/>
        <w:numPr>
          <w:ilvl w:val="3"/>
          <w:numId w:val="22"/>
        </w:numPr>
        <w:tabs>
          <w:tab w:val="left" w:pos="1248"/>
        </w:tabs>
        <w:spacing w:before="43" w:after="0" w:line="240" w:lineRule="auto"/>
        <w:ind w:left="1248" w:right="0" w:hanging="425"/>
        <w:jc w:val="left"/>
        <w:rPr>
          <w:sz w:val="21"/>
        </w:rPr>
      </w:pPr>
      <w:bookmarkStart w:id="29" w:name="o)规定温度为-5 ℃的防冻剂，代号为AfA(-5)；"/>
      <w:bookmarkEnd w:id="29"/>
      <w:r>
        <w:rPr>
          <w:sz w:val="21"/>
        </w:rPr>
        <w:t>规定温度为-</w:t>
      </w:r>
      <w:r>
        <w:rPr>
          <w:sz w:val="21"/>
        </w:rPr>
        <w:t>5</w:t>
      </w:r>
      <w:r>
        <w:rPr>
          <w:spacing w:val="-6"/>
          <w:sz w:val="21"/>
        </w:rPr>
        <w:t xml:space="preserve"> ℃的防冻剂，代号为 </w:t>
      </w:r>
      <w:r>
        <w:rPr>
          <w:sz w:val="21"/>
        </w:rPr>
        <w:t>AfA(-5)；</w:t>
      </w:r>
    </w:p>
    <w:p>
      <w:pPr>
        <w:pStyle w:val="ListParagraph"/>
        <w:numPr>
          <w:ilvl w:val="3"/>
          <w:numId w:val="22"/>
        </w:numPr>
        <w:tabs>
          <w:tab w:val="left" w:pos="1248"/>
        </w:tabs>
        <w:spacing w:before="43" w:after="0" w:line="240" w:lineRule="auto"/>
        <w:ind w:left="1248" w:right="0" w:hanging="425"/>
        <w:jc w:val="left"/>
        <w:rPr>
          <w:sz w:val="21"/>
        </w:rPr>
      </w:pPr>
      <w:bookmarkStart w:id="30" w:name="p)规定温度为-10 ℃的防冻剂，代号为AfA(-10)；"/>
      <w:bookmarkEnd w:id="30"/>
      <w:r>
        <w:rPr>
          <w:sz w:val="21"/>
        </w:rPr>
        <w:t>规定温度为-</w:t>
      </w:r>
      <w:r>
        <w:rPr>
          <w:sz w:val="21"/>
        </w:rPr>
        <w:t>10</w:t>
      </w:r>
      <w:r>
        <w:rPr>
          <w:spacing w:val="-8"/>
          <w:sz w:val="21"/>
        </w:rPr>
        <w:t xml:space="preserve"> ℃的防冻剂，代号为 </w:t>
      </w:r>
      <w:r>
        <w:rPr>
          <w:sz w:val="21"/>
        </w:rPr>
        <w:t>AfA(-10)；</w:t>
      </w:r>
    </w:p>
    <w:p>
      <w:pPr>
        <w:pStyle w:val="ListParagraph"/>
        <w:numPr>
          <w:ilvl w:val="3"/>
          <w:numId w:val="22"/>
        </w:numPr>
        <w:tabs>
          <w:tab w:val="left" w:pos="1248"/>
        </w:tabs>
        <w:spacing w:before="43" w:after="0" w:line="240" w:lineRule="auto"/>
        <w:ind w:left="1248" w:right="0" w:hanging="425"/>
        <w:jc w:val="left"/>
        <w:rPr>
          <w:sz w:val="21"/>
        </w:rPr>
      </w:pPr>
      <w:bookmarkStart w:id="31" w:name="q)规定温度为-15 ℃的防冻剂，代号为AfA(-15)。"/>
      <w:bookmarkEnd w:id="31"/>
      <w:r>
        <w:rPr>
          <w:sz w:val="21"/>
        </w:rPr>
        <w:t>规定温度为-</w:t>
      </w:r>
      <w:r>
        <w:rPr>
          <w:sz w:val="21"/>
        </w:rPr>
        <w:t>15</w:t>
      </w:r>
      <w:r>
        <w:rPr>
          <w:spacing w:val="-8"/>
          <w:sz w:val="21"/>
        </w:rPr>
        <w:t xml:space="preserve"> ℃的防冻剂，代号为 </w:t>
      </w:r>
      <w:r>
        <w:rPr>
          <w:sz w:val="21"/>
        </w:rPr>
        <w:t>AfA(-15)。</w:t>
      </w:r>
    </w:p>
    <w:p>
      <w:pPr>
        <w:pStyle w:val="BodyText"/>
        <w:spacing w:before="7"/>
        <w:rPr>
          <w:sz w:val="15"/>
        </w:rPr>
      </w:pPr>
    </w:p>
    <w:p>
      <w:pPr>
        <w:pStyle w:val="ListParagraph"/>
        <w:numPr>
          <w:ilvl w:val="1"/>
          <w:numId w:val="22"/>
        </w:numPr>
        <w:tabs>
          <w:tab w:val="left" w:pos="924"/>
        </w:tabs>
        <w:spacing w:before="0" w:after="0" w:line="240" w:lineRule="auto"/>
        <w:ind w:left="924" w:right="0" w:hanging="526"/>
        <w:jc w:val="left"/>
        <w:rPr>
          <w:rFonts w:ascii="黑体" w:eastAsia="黑体" w:hint="eastAsia"/>
          <w:sz w:val="21"/>
        </w:rPr>
      </w:pPr>
      <w:bookmarkStart w:id="32" w:name="4.2　标记"/>
      <w:bookmarkEnd w:id="32"/>
      <w:bookmarkStart w:id="33" w:name="_bookmark5"/>
      <w:bookmarkEnd w:id="33"/>
      <w:r>
        <w:rPr>
          <w:rFonts w:ascii="黑体" w:eastAsia="黑体" w:hint="eastAsia"/>
          <w:sz w:val="21"/>
        </w:rPr>
        <w:t>标记</w:t>
      </w:r>
    </w:p>
    <w:p>
      <w:pPr>
        <w:pStyle w:val="BodyText"/>
        <w:spacing w:before="6"/>
        <w:rPr>
          <w:rFonts w:ascii="黑体"/>
          <w:sz w:val="15"/>
        </w:rPr>
      </w:pPr>
    </w:p>
    <w:p>
      <w:pPr>
        <w:pStyle w:val="BodyText"/>
        <w:spacing w:before="1"/>
        <w:ind w:left="818"/>
      </w:pPr>
      <w:r>
        <w:t>外加剂按产品代号、执行文件编号依次标记。</w:t>
      </w:r>
    </w:p>
    <w:p>
      <w:pPr>
        <w:spacing w:before="61"/>
        <w:ind w:left="760" w:right="0" w:firstLine="0"/>
        <w:jc w:val="left"/>
        <w:rPr>
          <w:sz w:val="18"/>
        </w:rPr>
      </w:pPr>
      <w:r>
        <w:rPr>
          <w:rFonts w:ascii="黑体" w:eastAsia="黑体" w:hint="eastAsia"/>
          <w:sz w:val="18"/>
        </w:rPr>
        <w:t>示例 1：</w:t>
      </w:r>
      <w:r>
        <w:rPr>
          <w:sz w:val="18"/>
        </w:rPr>
        <w:t>符合本文件的早强型高性能减水剂标记为：</w:t>
      </w:r>
    </w:p>
    <w:p>
      <w:pPr>
        <w:spacing w:before="81"/>
        <w:ind w:left="443" w:right="0" w:firstLine="0"/>
        <w:jc w:val="center"/>
        <w:rPr>
          <w:rFonts w:ascii="Times New Roman" w:hAnsi="Times New Roman"/>
          <w:sz w:val="18"/>
        </w:rPr>
      </w:pPr>
      <w:bookmarkStart w:id="34" w:name="HPWR-A-GB/T 8076—202×"/>
      <w:bookmarkEnd w:id="34"/>
      <w:r>
        <w:rPr>
          <w:sz w:val="18"/>
        </w:rPr>
        <w:t>HPWR-A-GB/T 8076</w:t>
      </w:r>
      <w:r>
        <w:rPr>
          <w:rFonts w:ascii="Times New Roman" w:hAnsi="Times New Roman"/>
          <w:sz w:val="18"/>
        </w:rPr>
        <w:t>—</w:t>
      </w:r>
      <w:r>
        <w:rPr>
          <w:sz w:val="18"/>
        </w:rPr>
        <w:t>202</w:t>
      </w:r>
      <w:r>
        <w:rPr>
          <w:rFonts w:ascii="Times New Roman" w:hAnsi="Times New Roman"/>
          <w:sz w:val="18"/>
        </w:rPr>
        <w:t>×</w:t>
      </w:r>
    </w:p>
    <w:p>
      <w:pPr>
        <w:spacing w:before="81"/>
        <w:ind w:left="760" w:right="0" w:firstLine="0"/>
        <w:jc w:val="left"/>
        <w:rPr>
          <w:sz w:val="18"/>
        </w:rPr>
      </w:pPr>
      <w:r>
        <w:rPr>
          <w:rFonts w:ascii="黑体" w:eastAsia="黑体" w:hint="eastAsia"/>
          <w:sz w:val="18"/>
        </w:rPr>
        <w:t>示例 2：</w:t>
      </w:r>
      <w:r>
        <w:rPr>
          <w:sz w:val="18"/>
        </w:rPr>
        <w:t>符合本文件的混凝土防水剂标记为：</w:t>
      </w:r>
    </w:p>
    <w:p>
      <w:pPr>
        <w:spacing w:before="82"/>
        <w:ind w:left="445" w:right="0" w:firstLine="0"/>
        <w:jc w:val="center"/>
        <w:rPr>
          <w:rFonts w:ascii="Times New Roman" w:hAnsi="Times New Roman"/>
          <w:sz w:val="18"/>
        </w:rPr>
      </w:pPr>
      <w:bookmarkStart w:id="35" w:name="WrA-C-GB/T 8076—202×"/>
      <w:bookmarkEnd w:id="35"/>
      <w:r>
        <w:rPr>
          <w:sz w:val="18"/>
        </w:rPr>
        <w:t>WrA-C-GB/T 8076—202</w:t>
      </w:r>
      <w:r>
        <w:rPr>
          <w:rFonts w:ascii="Times New Roman" w:hAnsi="Times New Roman"/>
          <w:sz w:val="18"/>
        </w:rPr>
        <w:t>×</w:t>
      </w:r>
    </w:p>
    <w:p>
      <w:pPr>
        <w:spacing w:before="81"/>
        <w:ind w:left="760" w:right="0" w:firstLine="0"/>
        <w:jc w:val="left"/>
        <w:rPr>
          <w:sz w:val="18"/>
        </w:rPr>
      </w:pPr>
      <w:r>
        <w:rPr>
          <w:rFonts w:ascii="黑体" w:eastAsia="黑体" w:hAnsi="黑体" w:hint="eastAsia"/>
          <w:sz w:val="18"/>
        </w:rPr>
        <w:t>示例 3：</w:t>
      </w:r>
      <w:r>
        <w:rPr>
          <w:sz w:val="18"/>
        </w:rPr>
        <w:t xml:space="preserve">符合本文件的规定温度为-15 </w:t>
      </w:r>
      <w:r>
        <w:rPr>
          <w:rFonts w:ascii="Times New Roman" w:eastAsia="Times New Roman" w:hAnsi="Times New Roman"/>
          <w:sz w:val="18"/>
        </w:rPr>
        <w:t>℃</w:t>
      </w:r>
      <w:r>
        <w:rPr>
          <w:sz w:val="18"/>
        </w:rPr>
        <w:t>的防冻剂标记为：</w:t>
      </w:r>
    </w:p>
    <w:p>
      <w:pPr>
        <w:spacing w:before="81"/>
        <w:ind w:left="443" w:right="0" w:firstLine="0"/>
        <w:jc w:val="center"/>
        <w:rPr>
          <w:rFonts w:ascii="Times New Roman" w:hAnsi="Times New Roman"/>
          <w:sz w:val="18"/>
        </w:rPr>
      </w:pPr>
      <w:bookmarkStart w:id="36" w:name="AfA(-15)-GB/T 8076—202×"/>
      <w:bookmarkEnd w:id="36"/>
      <w:r>
        <w:rPr>
          <w:sz w:val="18"/>
        </w:rPr>
        <w:t>AfA(-15)-GB/T 8076</w:t>
      </w:r>
      <w:r>
        <w:rPr>
          <w:rFonts w:ascii="Times New Roman" w:hAnsi="Times New Roman"/>
          <w:sz w:val="18"/>
        </w:rPr>
        <w:t>—</w:t>
      </w:r>
      <w:r>
        <w:rPr>
          <w:sz w:val="18"/>
        </w:rPr>
        <w:t>202</w:t>
      </w:r>
      <w:r>
        <w:rPr>
          <w:rFonts w:ascii="Times New Roman" w:hAnsi="Times New Roman"/>
          <w:sz w:val="18"/>
        </w:rPr>
        <w:t>×</w:t>
      </w:r>
    </w:p>
    <w:p>
      <w:pPr>
        <w:pStyle w:val="BodyText"/>
        <w:rPr>
          <w:rFonts w:ascii="Times New Roman"/>
          <w:sz w:val="20"/>
        </w:rPr>
      </w:pPr>
    </w:p>
    <w:p>
      <w:pPr>
        <w:pStyle w:val="ListParagraph"/>
        <w:numPr>
          <w:ilvl w:val="0"/>
          <w:numId w:val="22"/>
        </w:numPr>
        <w:tabs>
          <w:tab w:val="left" w:pos="713"/>
        </w:tabs>
        <w:spacing w:before="146" w:after="0" w:line="240" w:lineRule="auto"/>
        <w:ind w:left="712" w:right="0" w:hanging="315"/>
        <w:jc w:val="left"/>
        <w:rPr>
          <w:rFonts w:ascii="黑体" w:eastAsia="黑体" w:hint="eastAsia"/>
          <w:sz w:val="21"/>
        </w:rPr>
      </w:pPr>
      <w:bookmarkStart w:id="37" w:name="5　技术要求"/>
      <w:bookmarkEnd w:id="37"/>
      <w:bookmarkStart w:id="38" w:name="_bookmark6"/>
      <w:bookmarkEnd w:id="38"/>
      <w:r>
        <w:rPr>
          <w:rFonts w:ascii="黑体" w:eastAsia="黑体" w:hint="eastAsia"/>
          <w:sz w:val="21"/>
        </w:rPr>
        <w:t>技术要求</w:t>
      </w:r>
    </w:p>
    <w:p>
      <w:pPr>
        <w:pStyle w:val="BodyText"/>
        <w:spacing w:before="9"/>
        <w:rPr>
          <w:rFonts w:ascii="黑体"/>
          <w:sz w:val="27"/>
        </w:rPr>
      </w:pPr>
    </w:p>
    <w:p>
      <w:pPr>
        <w:pStyle w:val="ListParagraph"/>
        <w:numPr>
          <w:ilvl w:val="1"/>
          <w:numId w:val="22"/>
        </w:numPr>
        <w:tabs>
          <w:tab w:val="left" w:pos="924"/>
        </w:tabs>
        <w:spacing w:before="0" w:after="0" w:line="240" w:lineRule="auto"/>
        <w:ind w:left="924" w:right="0" w:hanging="526"/>
        <w:jc w:val="left"/>
        <w:rPr>
          <w:rFonts w:ascii="黑体" w:eastAsia="黑体" w:hint="eastAsia"/>
          <w:sz w:val="21"/>
        </w:rPr>
      </w:pPr>
      <w:bookmarkStart w:id="39" w:name="5.1　理化性能"/>
      <w:bookmarkEnd w:id="39"/>
      <w:r>
        <w:rPr>
          <w:rFonts w:ascii="黑体" w:eastAsia="黑体" w:hint="eastAsia"/>
          <w:sz w:val="21"/>
        </w:rPr>
        <w:t>理化性能</w:t>
      </w:r>
    </w:p>
    <w:p>
      <w:pPr>
        <w:pStyle w:val="BodyText"/>
        <w:spacing w:before="6"/>
        <w:rPr>
          <w:rFonts w:ascii="黑体"/>
          <w:sz w:val="15"/>
        </w:rPr>
      </w:pPr>
    </w:p>
    <w:p>
      <w:pPr>
        <w:pStyle w:val="BodyText"/>
        <w:spacing w:before="1"/>
        <w:ind w:left="818"/>
      </w:pPr>
      <w:r>
        <w:t>外加剂的理化性能应符合表1的要求。</w:t>
      </w:r>
    </w:p>
    <w:p>
      <w:pPr>
        <w:pStyle w:val="BodyText"/>
        <w:spacing w:before="6"/>
        <w:rPr>
          <w:sz w:val="15"/>
        </w:rPr>
      </w:pPr>
    </w:p>
    <w:p>
      <w:pPr>
        <w:pStyle w:val="BodyText"/>
        <w:ind w:left="80"/>
        <w:jc w:val="center"/>
        <w:rPr>
          <w:rFonts w:ascii="黑体" w:eastAsia="黑体" w:hint="eastAsia"/>
        </w:rPr>
      </w:pPr>
      <w:r>
        <w:rPr>
          <w:rFonts w:ascii="黑体" w:eastAsia="黑体" w:hint="eastAsia"/>
        </w:rPr>
        <w:t>表 1 外加剂的理化性能要求</w:t>
      </w:r>
    </w:p>
    <w:p>
      <w:pPr>
        <w:pStyle w:val="BodyText"/>
        <w:spacing w:before="11"/>
        <w:rPr>
          <w:rFonts w:ascii="黑体"/>
          <w:sz w:val="13"/>
        </w:rPr>
      </w:pPr>
    </w:p>
    <w:tbl>
      <w:tblPr>
        <w:tblStyle w:val="TableNormal2"/>
        <w:tblW w:w="0" w:type="auto"/>
        <w:jc w:val="left"/>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78"/>
        <w:gridCol w:w="2160"/>
        <w:gridCol w:w="3355"/>
        <w:gridCol w:w="3357"/>
      </w:tblGrid>
      <w:tr>
        <w:tblPrEx>
          <w:tblW w:w="0" w:type="auto"/>
          <w:jc w:val="left"/>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30"/>
          <w:jc w:val="left"/>
        </w:trPr>
        <w:tc>
          <w:tcPr>
            <w:tcW w:w="578" w:type="dxa"/>
            <w:tcBorders>
              <w:right w:val="single" w:sz="4" w:space="0" w:color="000000"/>
            </w:tcBorders>
          </w:tcPr>
          <w:p>
            <w:pPr>
              <w:pStyle w:val="TableParagraph"/>
              <w:spacing w:before="99"/>
              <w:ind w:left="87" w:right="70"/>
              <w:rPr>
                <w:sz w:val="18"/>
              </w:rPr>
            </w:pPr>
            <w:r>
              <w:rPr>
                <w:sz w:val="18"/>
              </w:rPr>
              <w:t>序号</w:t>
            </w:r>
          </w:p>
        </w:tc>
        <w:tc>
          <w:tcPr>
            <w:tcW w:w="2160" w:type="dxa"/>
            <w:tcBorders>
              <w:left w:val="single" w:sz="4" w:space="0" w:color="000000"/>
              <w:right w:val="single" w:sz="4" w:space="0" w:color="000000"/>
            </w:tcBorders>
          </w:tcPr>
          <w:p>
            <w:pPr>
              <w:pStyle w:val="TableParagraph"/>
              <w:spacing w:before="99"/>
              <w:ind w:left="321" w:right="301"/>
              <w:rPr>
                <w:sz w:val="18"/>
              </w:rPr>
            </w:pPr>
            <w:r>
              <w:rPr>
                <w:sz w:val="18"/>
              </w:rPr>
              <w:t>项目</w:t>
            </w:r>
          </w:p>
        </w:tc>
        <w:tc>
          <w:tcPr>
            <w:tcW w:w="3355" w:type="dxa"/>
            <w:tcBorders>
              <w:left w:val="single" w:sz="4" w:space="0" w:color="000000"/>
              <w:right w:val="single" w:sz="4" w:space="0" w:color="000000"/>
            </w:tcBorders>
          </w:tcPr>
          <w:p>
            <w:pPr>
              <w:pStyle w:val="TableParagraph"/>
              <w:spacing w:before="99"/>
              <w:ind w:left="1480" w:right="1464"/>
              <w:rPr>
                <w:sz w:val="18"/>
              </w:rPr>
            </w:pPr>
            <w:r>
              <w:rPr>
                <w:sz w:val="18"/>
              </w:rPr>
              <w:t>液体</w:t>
            </w:r>
          </w:p>
        </w:tc>
        <w:tc>
          <w:tcPr>
            <w:tcW w:w="3357" w:type="dxa"/>
            <w:tcBorders>
              <w:left w:val="single" w:sz="4" w:space="0" w:color="000000"/>
            </w:tcBorders>
          </w:tcPr>
          <w:p>
            <w:pPr>
              <w:pStyle w:val="TableParagraph"/>
              <w:spacing w:before="99"/>
              <w:ind w:left="1480" w:right="1461"/>
              <w:rPr>
                <w:sz w:val="18"/>
              </w:rPr>
            </w:pPr>
            <w:r>
              <w:rPr>
                <w:sz w:val="18"/>
              </w:rPr>
              <w:t>固体</w:t>
            </w:r>
          </w:p>
        </w:tc>
      </w:tr>
      <w:tr>
        <w:tblPrEx>
          <w:tblW w:w="0" w:type="auto"/>
          <w:jc w:val="left"/>
          <w:tblInd w:w="360" w:type="dxa"/>
          <w:tblLayout w:type="fixed"/>
          <w:tblCellMar>
            <w:top w:w="0" w:type="dxa"/>
            <w:left w:w="0" w:type="dxa"/>
            <w:bottom w:w="0" w:type="dxa"/>
            <w:right w:w="0" w:type="dxa"/>
          </w:tblCellMar>
          <w:tblLook w:val="01E0"/>
        </w:tblPrEx>
        <w:trPr>
          <w:trHeight w:val="467"/>
          <w:jc w:val="left"/>
        </w:trPr>
        <w:tc>
          <w:tcPr>
            <w:tcW w:w="578" w:type="dxa"/>
            <w:tcBorders>
              <w:bottom w:val="single" w:sz="4" w:space="0" w:color="000000"/>
              <w:right w:val="single" w:sz="4" w:space="0" w:color="000000"/>
            </w:tcBorders>
          </w:tcPr>
          <w:p>
            <w:pPr>
              <w:pStyle w:val="TableParagraph"/>
              <w:spacing w:before="117"/>
              <w:ind w:left="16"/>
              <w:rPr>
                <w:sz w:val="18"/>
              </w:rPr>
            </w:pPr>
            <w:r>
              <w:rPr>
                <w:sz w:val="18"/>
              </w:rPr>
              <w:t>1</w:t>
            </w:r>
          </w:p>
        </w:tc>
        <w:tc>
          <w:tcPr>
            <w:tcW w:w="2160" w:type="dxa"/>
            <w:tcBorders>
              <w:left w:val="single" w:sz="4" w:space="0" w:color="000000"/>
              <w:bottom w:val="single" w:sz="4" w:space="0" w:color="000000"/>
              <w:right w:val="single" w:sz="4" w:space="0" w:color="000000"/>
            </w:tcBorders>
          </w:tcPr>
          <w:p>
            <w:pPr>
              <w:pStyle w:val="TableParagraph"/>
              <w:spacing w:before="2"/>
              <w:ind w:left="321" w:right="303"/>
              <w:rPr>
                <w:sz w:val="18"/>
              </w:rPr>
            </w:pPr>
            <w:r>
              <w:rPr>
                <w:sz w:val="18"/>
              </w:rPr>
              <w:t>氯离子含量</w:t>
            </w:r>
          </w:p>
          <w:p>
            <w:pPr>
              <w:pStyle w:val="TableParagraph"/>
              <w:spacing w:before="2" w:line="212" w:lineRule="exact"/>
              <w:ind w:left="321" w:right="304"/>
              <w:rPr>
                <w:sz w:val="9"/>
              </w:rPr>
            </w:pPr>
            <w:r>
              <w:rPr>
                <w:sz w:val="18"/>
              </w:rPr>
              <w:t>（以质量分数计）</w:t>
            </w:r>
            <w:r>
              <w:rPr>
                <w:position w:val="9"/>
                <w:sz w:val="9"/>
              </w:rPr>
              <w:t>a</w:t>
            </w:r>
          </w:p>
        </w:tc>
        <w:tc>
          <w:tcPr>
            <w:tcW w:w="6712" w:type="dxa"/>
            <w:gridSpan w:val="2"/>
            <w:tcBorders>
              <w:left w:val="single" w:sz="4" w:space="0" w:color="000000"/>
              <w:bottom w:val="single" w:sz="4" w:space="0" w:color="000000"/>
            </w:tcBorders>
          </w:tcPr>
          <w:p>
            <w:pPr>
              <w:pStyle w:val="TableParagraph"/>
              <w:spacing w:before="117"/>
              <w:ind w:left="2331" w:right="2316"/>
              <w:rPr>
                <w:sz w:val="18"/>
              </w:rPr>
            </w:pPr>
            <w:r>
              <w:rPr>
                <w:sz w:val="18"/>
              </w:rPr>
              <w:t>≤0.10%</w:t>
            </w:r>
          </w:p>
        </w:tc>
      </w:tr>
      <w:tr>
        <w:tblPrEx>
          <w:tblW w:w="0" w:type="auto"/>
          <w:jc w:val="left"/>
          <w:tblInd w:w="360" w:type="dxa"/>
          <w:tblLayout w:type="fixed"/>
          <w:tblCellMar>
            <w:top w:w="0" w:type="dxa"/>
            <w:left w:w="0" w:type="dxa"/>
            <w:bottom w:w="0" w:type="dxa"/>
            <w:right w:w="0" w:type="dxa"/>
          </w:tblCellMar>
          <w:tblLook w:val="01E0"/>
        </w:tblPrEx>
        <w:trPr>
          <w:trHeight w:val="466"/>
          <w:jc w:val="left"/>
        </w:trPr>
        <w:tc>
          <w:tcPr>
            <w:tcW w:w="578" w:type="dxa"/>
            <w:tcBorders>
              <w:top w:val="single" w:sz="4" w:space="0" w:color="000000"/>
              <w:right w:val="single" w:sz="4" w:space="0" w:color="000000"/>
            </w:tcBorders>
          </w:tcPr>
          <w:p>
            <w:pPr>
              <w:pStyle w:val="TableParagraph"/>
              <w:spacing w:before="118"/>
              <w:ind w:left="16"/>
              <w:rPr>
                <w:sz w:val="18"/>
              </w:rPr>
            </w:pPr>
            <w:r>
              <w:rPr>
                <w:sz w:val="18"/>
              </w:rPr>
              <w:t>2</w:t>
            </w:r>
          </w:p>
        </w:tc>
        <w:tc>
          <w:tcPr>
            <w:tcW w:w="2160" w:type="dxa"/>
            <w:tcBorders>
              <w:top w:val="single" w:sz="4" w:space="0" w:color="000000"/>
              <w:left w:val="single" w:sz="4" w:space="0" w:color="000000"/>
              <w:right w:val="single" w:sz="4" w:space="0" w:color="000000"/>
            </w:tcBorders>
          </w:tcPr>
          <w:p>
            <w:pPr>
              <w:pStyle w:val="TableParagraph"/>
              <w:ind w:left="321" w:right="303"/>
              <w:rPr>
                <w:sz w:val="18"/>
              </w:rPr>
            </w:pPr>
            <w:r>
              <w:rPr>
                <w:sz w:val="18"/>
              </w:rPr>
              <w:t>释放氨的量</w:t>
            </w:r>
          </w:p>
          <w:p>
            <w:pPr>
              <w:pStyle w:val="TableParagraph"/>
              <w:spacing w:before="2" w:line="214" w:lineRule="exact"/>
              <w:ind w:left="321" w:right="304"/>
              <w:rPr>
                <w:sz w:val="9"/>
              </w:rPr>
            </w:pPr>
            <w:r>
              <w:rPr>
                <w:sz w:val="18"/>
              </w:rPr>
              <w:t>（以质量分数计）</w:t>
            </w:r>
            <w:r>
              <w:rPr>
                <w:position w:val="9"/>
                <w:sz w:val="9"/>
              </w:rPr>
              <w:t>b</w:t>
            </w:r>
          </w:p>
        </w:tc>
        <w:tc>
          <w:tcPr>
            <w:tcW w:w="6712" w:type="dxa"/>
            <w:gridSpan w:val="2"/>
            <w:tcBorders>
              <w:top w:val="single" w:sz="4" w:space="0" w:color="000000"/>
              <w:left w:val="single" w:sz="4" w:space="0" w:color="000000"/>
            </w:tcBorders>
          </w:tcPr>
          <w:p>
            <w:pPr>
              <w:pStyle w:val="TableParagraph"/>
              <w:spacing w:before="118"/>
              <w:ind w:left="2331" w:right="2316"/>
              <w:rPr>
                <w:sz w:val="18"/>
              </w:rPr>
            </w:pPr>
            <w:r>
              <w:rPr>
                <w:sz w:val="18"/>
              </w:rPr>
              <w:t>≤0.10%</w:t>
            </w:r>
          </w:p>
        </w:tc>
      </w:tr>
    </w:tbl>
    <w:p>
      <w:pPr>
        <w:spacing w:after="0"/>
        <w:rPr>
          <w:sz w:val="18"/>
        </w:rPr>
        <w:sectPr>
          <w:footerReference w:type="even" r:id="rId11"/>
          <w:footerReference w:type="default" r:id="rId12"/>
          <w:pgSz w:w="11910" w:h="16840"/>
          <w:pgMar w:top="1380" w:right="820" w:bottom="1280" w:left="1020" w:header="0" w:footer="857"/>
          <w:pgNumType w:start="3"/>
          <w:cols w:space="708"/>
        </w:sectPr>
      </w:pPr>
    </w:p>
    <w:p>
      <w:pPr>
        <w:pStyle w:val="BodyText"/>
        <w:spacing w:before="57"/>
        <w:ind w:left="82"/>
        <w:jc w:val="center"/>
      </w:pPr>
      <w:r>
        <w:rPr>
          <w:rFonts w:ascii="黑体" w:eastAsia="黑体" w:hint="eastAsia"/>
        </w:rPr>
        <w:t>表1 外加剂的理化性能要求</w:t>
      </w:r>
      <w:r>
        <w:t>（续）</w:t>
      </w:r>
    </w:p>
    <w:p>
      <w:pPr>
        <w:pStyle w:val="BodyText"/>
        <w:spacing w:before="10"/>
        <w:rPr>
          <w:sz w:val="13"/>
        </w:rPr>
      </w:pPr>
    </w:p>
    <w:tbl>
      <w:tblPr>
        <w:tblStyle w:val="TableNormal3"/>
        <w:tblW w:w="0" w:type="auto"/>
        <w:jc w:val="left"/>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78"/>
        <w:gridCol w:w="2160"/>
        <w:gridCol w:w="3355"/>
        <w:gridCol w:w="3357"/>
      </w:tblGrid>
      <w:tr>
        <w:tblPrEx>
          <w:tblW w:w="0" w:type="auto"/>
          <w:jc w:val="left"/>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68"/>
          <w:jc w:val="left"/>
        </w:trPr>
        <w:tc>
          <w:tcPr>
            <w:tcW w:w="578" w:type="dxa"/>
            <w:tcBorders>
              <w:right w:val="single" w:sz="4" w:space="0" w:color="000000"/>
            </w:tcBorders>
          </w:tcPr>
          <w:p>
            <w:pPr>
              <w:pStyle w:val="TableParagraph"/>
              <w:spacing w:before="68"/>
              <w:ind w:left="87" w:right="70"/>
              <w:rPr>
                <w:sz w:val="18"/>
              </w:rPr>
            </w:pPr>
            <w:r>
              <w:rPr>
                <w:sz w:val="18"/>
              </w:rPr>
              <w:t>序号</w:t>
            </w:r>
          </w:p>
        </w:tc>
        <w:tc>
          <w:tcPr>
            <w:tcW w:w="2160" w:type="dxa"/>
            <w:tcBorders>
              <w:left w:val="single" w:sz="4" w:space="0" w:color="000000"/>
              <w:right w:val="single" w:sz="4" w:space="0" w:color="000000"/>
            </w:tcBorders>
          </w:tcPr>
          <w:p>
            <w:pPr>
              <w:pStyle w:val="TableParagraph"/>
              <w:spacing w:before="68"/>
              <w:ind w:left="321" w:right="301"/>
              <w:rPr>
                <w:sz w:val="18"/>
              </w:rPr>
            </w:pPr>
            <w:r>
              <w:rPr>
                <w:sz w:val="18"/>
              </w:rPr>
              <w:t>项目</w:t>
            </w:r>
          </w:p>
        </w:tc>
        <w:tc>
          <w:tcPr>
            <w:tcW w:w="3355" w:type="dxa"/>
            <w:tcBorders>
              <w:left w:val="single" w:sz="4" w:space="0" w:color="000000"/>
              <w:right w:val="single" w:sz="4" w:space="0" w:color="000000"/>
            </w:tcBorders>
          </w:tcPr>
          <w:p>
            <w:pPr>
              <w:pStyle w:val="TableParagraph"/>
              <w:spacing w:before="68"/>
              <w:ind w:right="1482"/>
              <w:jc w:val="right"/>
              <w:rPr>
                <w:sz w:val="18"/>
              </w:rPr>
            </w:pPr>
            <w:r>
              <w:rPr>
                <w:sz w:val="18"/>
              </w:rPr>
              <w:t>液体</w:t>
            </w:r>
          </w:p>
        </w:tc>
        <w:tc>
          <w:tcPr>
            <w:tcW w:w="3357" w:type="dxa"/>
            <w:tcBorders>
              <w:left w:val="single" w:sz="4" w:space="0" w:color="000000"/>
            </w:tcBorders>
          </w:tcPr>
          <w:p>
            <w:pPr>
              <w:pStyle w:val="TableParagraph"/>
              <w:spacing w:before="68"/>
              <w:ind w:left="1480" w:right="1461"/>
              <w:rPr>
                <w:sz w:val="18"/>
              </w:rPr>
            </w:pPr>
            <w:r>
              <w:rPr>
                <w:sz w:val="18"/>
              </w:rPr>
              <w:t>固体</w:t>
            </w:r>
          </w:p>
        </w:tc>
      </w:tr>
      <w:tr>
        <w:tblPrEx>
          <w:tblW w:w="0" w:type="auto"/>
          <w:jc w:val="left"/>
          <w:tblInd w:w="360" w:type="dxa"/>
          <w:tblLayout w:type="fixed"/>
          <w:tblCellMar>
            <w:top w:w="0" w:type="dxa"/>
            <w:left w:w="0" w:type="dxa"/>
            <w:bottom w:w="0" w:type="dxa"/>
            <w:right w:w="0" w:type="dxa"/>
          </w:tblCellMar>
          <w:tblLook w:val="01E0"/>
        </w:tblPrEx>
        <w:trPr>
          <w:trHeight w:val="467"/>
          <w:jc w:val="left"/>
        </w:trPr>
        <w:tc>
          <w:tcPr>
            <w:tcW w:w="578" w:type="dxa"/>
            <w:tcBorders>
              <w:bottom w:val="single" w:sz="4" w:space="0" w:color="000000"/>
              <w:right w:val="single" w:sz="4" w:space="0" w:color="000000"/>
            </w:tcBorders>
          </w:tcPr>
          <w:p>
            <w:pPr>
              <w:pStyle w:val="TableParagraph"/>
              <w:spacing w:before="118"/>
              <w:ind w:left="16"/>
              <w:rPr>
                <w:sz w:val="18"/>
              </w:rPr>
            </w:pPr>
            <w:r>
              <w:rPr>
                <w:sz w:val="18"/>
              </w:rPr>
              <w:t>3</w:t>
            </w:r>
          </w:p>
        </w:tc>
        <w:tc>
          <w:tcPr>
            <w:tcW w:w="2160" w:type="dxa"/>
            <w:tcBorders>
              <w:left w:val="single" w:sz="4" w:space="0" w:color="000000"/>
              <w:bottom w:val="single" w:sz="4" w:space="0" w:color="000000"/>
              <w:right w:val="single" w:sz="4" w:space="0" w:color="000000"/>
            </w:tcBorders>
          </w:tcPr>
          <w:p>
            <w:pPr>
              <w:pStyle w:val="TableParagraph"/>
              <w:spacing w:before="3"/>
              <w:ind w:left="321" w:right="301"/>
              <w:rPr>
                <w:sz w:val="18"/>
              </w:rPr>
            </w:pPr>
            <w:r>
              <w:rPr>
                <w:sz w:val="18"/>
              </w:rPr>
              <w:t>残留甲醛的量</w:t>
            </w:r>
          </w:p>
          <w:p>
            <w:pPr>
              <w:pStyle w:val="TableParagraph"/>
              <w:spacing w:before="2" w:line="211" w:lineRule="exact"/>
              <w:ind w:left="321" w:right="304"/>
              <w:rPr>
                <w:sz w:val="9"/>
              </w:rPr>
            </w:pPr>
            <w:r>
              <w:rPr>
                <w:sz w:val="18"/>
              </w:rPr>
              <w:t>（以折固含量计）</w:t>
            </w:r>
            <w:r>
              <w:rPr>
                <w:position w:val="9"/>
                <w:sz w:val="9"/>
              </w:rPr>
              <w:t>b</w:t>
            </w:r>
          </w:p>
        </w:tc>
        <w:tc>
          <w:tcPr>
            <w:tcW w:w="6712" w:type="dxa"/>
            <w:gridSpan w:val="2"/>
            <w:tcBorders>
              <w:left w:val="single" w:sz="4" w:space="0" w:color="000000"/>
              <w:bottom w:val="single" w:sz="4" w:space="0" w:color="000000"/>
            </w:tcBorders>
          </w:tcPr>
          <w:p>
            <w:pPr>
              <w:pStyle w:val="TableParagraph"/>
              <w:spacing w:before="118"/>
              <w:ind w:left="2331" w:right="2316"/>
              <w:rPr>
                <w:sz w:val="18"/>
              </w:rPr>
            </w:pPr>
            <w:r>
              <w:rPr>
                <w:sz w:val="18"/>
              </w:rPr>
              <w:t>≤500 mg/kg</w:t>
            </w:r>
          </w:p>
        </w:tc>
      </w:tr>
      <w:tr>
        <w:tblPrEx>
          <w:tblW w:w="0" w:type="auto"/>
          <w:jc w:val="left"/>
          <w:tblInd w:w="360" w:type="dxa"/>
          <w:tblLayout w:type="fixed"/>
          <w:tblCellMar>
            <w:top w:w="0" w:type="dxa"/>
            <w:left w:w="0" w:type="dxa"/>
            <w:bottom w:w="0" w:type="dxa"/>
            <w:right w:w="0" w:type="dxa"/>
          </w:tblCellMar>
          <w:tblLook w:val="01E0"/>
        </w:tblPrEx>
        <w:trPr>
          <w:trHeight w:val="369"/>
          <w:jc w:val="left"/>
        </w:trPr>
        <w:tc>
          <w:tcPr>
            <w:tcW w:w="578" w:type="dxa"/>
            <w:tcBorders>
              <w:top w:val="single" w:sz="4" w:space="0" w:color="000000"/>
              <w:bottom w:val="single" w:sz="4" w:space="0" w:color="000000"/>
              <w:right w:val="single" w:sz="4" w:space="0" w:color="000000"/>
            </w:tcBorders>
          </w:tcPr>
          <w:p>
            <w:pPr>
              <w:pStyle w:val="TableParagraph"/>
              <w:spacing w:before="68"/>
              <w:ind w:left="16"/>
              <w:rPr>
                <w:sz w:val="18"/>
              </w:rPr>
            </w:pPr>
            <w:r>
              <w:rPr>
                <w:sz w:val="18"/>
              </w:rPr>
              <w:t>4</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68"/>
              <w:ind w:left="321" w:right="303"/>
              <w:rPr>
                <w:sz w:val="18"/>
              </w:rPr>
            </w:pPr>
            <w:r>
              <w:rPr>
                <w:sz w:val="18"/>
              </w:rPr>
              <w:t>碱含量</w:t>
            </w:r>
          </w:p>
        </w:tc>
        <w:tc>
          <w:tcPr>
            <w:tcW w:w="6712" w:type="dxa"/>
            <w:gridSpan w:val="2"/>
            <w:tcBorders>
              <w:top w:val="single" w:sz="4" w:space="0" w:color="000000"/>
              <w:left w:val="single" w:sz="4" w:space="0" w:color="000000"/>
              <w:bottom w:val="single" w:sz="4" w:space="0" w:color="000000"/>
            </w:tcBorders>
          </w:tcPr>
          <w:p>
            <w:pPr>
              <w:pStyle w:val="TableParagraph"/>
              <w:spacing w:before="68"/>
              <w:ind w:left="2541" w:right="2313"/>
              <w:rPr>
                <w:sz w:val="18"/>
              </w:rPr>
            </w:pPr>
            <w:r>
              <w:rPr>
                <w:sz w:val="18"/>
              </w:rPr>
              <w:t>不超过生产厂控制值</w:t>
            </w:r>
          </w:p>
        </w:tc>
      </w:tr>
      <w:tr>
        <w:tblPrEx>
          <w:tblW w:w="0" w:type="auto"/>
          <w:jc w:val="left"/>
          <w:tblInd w:w="360" w:type="dxa"/>
          <w:tblLayout w:type="fixed"/>
          <w:tblCellMar>
            <w:top w:w="0" w:type="dxa"/>
            <w:left w:w="0" w:type="dxa"/>
            <w:bottom w:w="0" w:type="dxa"/>
            <w:right w:w="0" w:type="dxa"/>
          </w:tblCellMar>
          <w:tblLook w:val="01E0"/>
        </w:tblPrEx>
        <w:trPr>
          <w:trHeight w:val="368"/>
          <w:jc w:val="left"/>
        </w:trPr>
        <w:tc>
          <w:tcPr>
            <w:tcW w:w="578" w:type="dxa"/>
            <w:tcBorders>
              <w:top w:val="single" w:sz="4" w:space="0" w:color="000000"/>
              <w:bottom w:val="single" w:sz="4" w:space="0" w:color="000000"/>
              <w:right w:val="single" w:sz="4" w:space="0" w:color="000000"/>
            </w:tcBorders>
          </w:tcPr>
          <w:p>
            <w:pPr>
              <w:pStyle w:val="TableParagraph"/>
              <w:spacing w:before="68"/>
              <w:ind w:left="16"/>
              <w:rPr>
                <w:sz w:val="18"/>
              </w:rPr>
            </w:pPr>
            <w:r>
              <w:rPr>
                <w:sz w:val="18"/>
              </w:rPr>
              <w:t>5</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68"/>
              <w:ind w:left="321" w:right="303"/>
              <w:rPr>
                <w:sz w:val="18"/>
              </w:rPr>
            </w:pPr>
            <w:r>
              <w:rPr>
                <w:sz w:val="18"/>
              </w:rPr>
              <w:t>硫酸钠含量</w:t>
            </w:r>
          </w:p>
        </w:tc>
        <w:tc>
          <w:tcPr>
            <w:tcW w:w="6712" w:type="dxa"/>
            <w:gridSpan w:val="2"/>
            <w:tcBorders>
              <w:top w:val="single" w:sz="4" w:space="0" w:color="000000"/>
              <w:left w:val="single" w:sz="4" w:space="0" w:color="000000"/>
              <w:bottom w:val="single" w:sz="4" w:space="0" w:color="000000"/>
            </w:tcBorders>
          </w:tcPr>
          <w:p>
            <w:pPr>
              <w:pStyle w:val="TableParagraph"/>
              <w:spacing w:before="68"/>
              <w:ind w:left="2541" w:right="2313"/>
              <w:rPr>
                <w:sz w:val="18"/>
              </w:rPr>
            </w:pPr>
            <w:r>
              <w:rPr>
                <w:sz w:val="18"/>
              </w:rPr>
              <w:t>不超过生产厂控制值</w:t>
            </w:r>
          </w:p>
        </w:tc>
      </w:tr>
      <w:tr>
        <w:tblPrEx>
          <w:tblW w:w="0" w:type="auto"/>
          <w:jc w:val="left"/>
          <w:tblInd w:w="360" w:type="dxa"/>
          <w:tblLayout w:type="fixed"/>
          <w:tblCellMar>
            <w:top w:w="0" w:type="dxa"/>
            <w:left w:w="0" w:type="dxa"/>
            <w:bottom w:w="0" w:type="dxa"/>
            <w:right w:w="0" w:type="dxa"/>
          </w:tblCellMar>
          <w:tblLook w:val="01E0"/>
        </w:tblPrEx>
        <w:trPr>
          <w:trHeight w:val="369"/>
          <w:jc w:val="left"/>
        </w:trPr>
        <w:tc>
          <w:tcPr>
            <w:tcW w:w="578" w:type="dxa"/>
            <w:tcBorders>
              <w:top w:val="single" w:sz="4" w:space="0" w:color="000000"/>
              <w:bottom w:val="single" w:sz="4" w:space="0" w:color="000000"/>
              <w:right w:val="single" w:sz="4" w:space="0" w:color="000000"/>
            </w:tcBorders>
          </w:tcPr>
          <w:p>
            <w:pPr>
              <w:pStyle w:val="TableParagraph"/>
              <w:spacing w:before="69"/>
              <w:ind w:left="16"/>
              <w:rPr>
                <w:sz w:val="18"/>
              </w:rPr>
            </w:pPr>
            <w:r>
              <w:rPr>
                <w:sz w:val="18"/>
              </w:rPr>
              <w:t>6</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69"/>
              <w:ind w:left="321" w:right="303"/>
              <w:rPr>
                <w:sz w:val="18"/>
              </w:rPr>
            </w:pPr>
            <w:r>
              <w:rPr>
                <w:sz w:val="18"/>
              </w:rPr>
              <w:t>pH 值</w:t>
            </w:r>
          </w:p>
        </w:tc>
        <w:tc>
          <w:tcPr>
            <w:tcW w:w="6712" w:type="dxa"/>
            <w:gridSpan w:val="2"/>
            <w:tcBorders>
              <w:top w:val="single" w:sz="4" w:space="0" w:color="000000"/>
              <w:left w:val="single" w:sz="4" w:space="0" w:color="000000"/>
              <w:bottom w:val="single" w:sz="4" w:space="0" w:color="000000"/>
            </w:tcBorders>
          </w:tcPr>
          <w:p>
            <w:pPr>
              <w:pStyle w:val="TableParagraph"/>
              <w:spacing w:before="69"/>
              <w:ind w:left="2541" w:right="2316"/>
              <w:rPr>
                <w:sz w:val="18"/>
              </w:rPr>
            </w:pPr>
            <w:r>
              <w:rPr>
                <w:sz w:val="18"/>
              </w:rPr>
              <w:t>应在生产厂控制范围内</w:t>
            </w:r>
          </w:p>
        </w:tc>
      </w:tr>
      <w:tr>
        <w:tblPrEx>
          <w:tblW w:w="0" w:type="auto"/>
          <w:jc w:val="left"/>
          <w:tblInd w:w="360" w:type="dxa"/>
          <w:tblLayout w:type="fixed"/>
          <w:tblCellMar>
            <w:top w:w="0" w:type="dxa"/>
            <w:left w:w="0" w:type="dxa"/>
            <w:bottom w:w="0" w:type="dxa"/>
            <w:right w:w="0" w:type="dxa"/>
          </w:tblCellMar>
          <w:tblLook w:val="01E0"/>
        </w:tblPrEx>
        <w:trPr>
          <w:trHeight w:val="467"/>
          <w:jc w:val="left"/>
        </w:trPr>
        <w:tc>
          <w:tcPr>
            <w:tcW w:w="578" w:type="dxa"/>
            <w:tcBorders>
              <w:top w:val="single" w:sz="4" w:space="0" w:color="000000"/>
              <w:bottom w:val="single" w:sz="4" w:space="0" w:color="000000"/>
              <w:right w:val="single" w:sz="4" w:space="0" w:color="000000"/>
            </w:tcBorders>
          </w:tcPr>
          <w:p>
            <w:pPr>
              <w:pStyle w:val="TableParagraph"/>
              <w:spacing w:before="117"/>
              <w:ind w:left="16"/>
              <w:rPr>
                <w:sz w:val="18"/>
              </w:rPr>
            </w:pPr>
            <w:r>
              <w:rPr>
                <w:sz w:val="18"/>
              </w:rPr>
              <w:t>7</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117"/>
              <w:ind w:left="321" w:right="303"/>
              <w:rPr>
                <w:sz w:val="18"/>
              </w:rPr>
            </w:pPr>
            <w:r>
              <w:rPr>
                <w:sz w:val="18"/>
              </w:rPr>
              <w:t>含固量</w:t>
            </w:r>
          </w:p>
        </w:tc>
        <w:tc>
          <w:tcPr>
            <w:tcW w:w="3355" w:type="dxa"/>
            <w:tcBorders>
              <w:top w:val="single" w:sz="4" w:space="0" w:color="000000"/>
              <w:left w:val="single" w:sz="4" w:space="0" w:color="000000"/>
              <w:bottom w:val="single" w:sz="4" w:space="0" w:color="000000"/>
              <w:right w:val="single" w:sz="4" w:space="0" w:color="000000"/>
            </w:tcBorders>
          </w:tcPr>
          <w:p>
            <w:pPr>
              <w:pStyle w:val="TableParagraph"/>
              <w:spacing w:before="2"/>
              <w:ind w:left="310"/>
              <w:jc w:val="left"/>
              <w:rPr>
                <w:sz w:val="18"/>
              </w:rPr>
            </w:pPr>
            <w:r>
              <w:rPr>
                <w:sz w:val="18"/>
              </w:rPr>
              <w:t>S＞25</w:t>
            </w:r>
            <w:r>
              <w:rPr>
                <w:spacing w:val="-7"/>
                <w:sz w:val="18"/>
              </w:rPr>
              <w:t xml:space="preserve">%时，应控制在 </w:t>
            </w:r>
            <w:r>
              <w:rPr>
                <w:sz w:val="18"/>
              </w:rPr>
              <w:t>0.95S～1.05S</w:t>
            </w:r>
          </w:p>
          <w:p>
            <w:pPr>
              <w:pStyle w:val="TableParagraph"/>
              <w:spacing w:before="2" w:line="212" w:lineRule="exact"/>
              <w:ind w:left="310"/>
              <w:jc w:val="left"/>
              <w:rPr>
                <w:sz w:val="18"/>
              </w:rPr>
            </w:pPr>
            <w:r>
              <w:rPr>
                <w:sz w:val="18"/>
              </w:rPr>
              <w:t>S≤25</w:t>
            </w:r>
            <w:r>
              <w:rPr>
                <w:spacing w:val="-7"/>
                <w:sz w:val="18"/>
              </w:rPr>
              <w:t xml:space="preserve">%时，应控制在 </w:t>
            </w:r>
            <w:r>
              <w:rPr>
                <w:sz w:val="18"/>
              </w:rPr>
              <w:t>0.90S～1.10S</w:t>
            </w:r>
          </w:p>
        </w:tc>
        <w:tc>
          <w:tcPr>
            <w:tcW w:w="3357" w:type="dxa"/>
            <w:tcBorders>
              <w:top w:val="single" w:sz="4" w:space="0" w:color="000000"/>
              <w:left w:val="single" w:sz="4" w:space="0" w:color="000000"/>
              <w:bottom w:val="single" w:sz="4" w:space="0" w:color="000000"/>
            </w:tcBorders>
          </w:tcPr>
          <w:p>
            <w:pPr>
              <w:pStyle w:val="TableParagraph"/>
              <w:spacing w:before="117"/>
              <w:ind w:left="228"/>
              <w:rPr>
                <w:sz w:val="18"/>
              </w:rPr>
            </w:pPr>
            <w:r>
              <w:rPr>
                <w:sz w:val="18"/>
              </w:rPr>
              <w:t>—</w:t>
            </w:r>
          </w:p>
        </w:tc>
      </w:tr>
      <w:tr>
        <w:tblPrEx>
          <w:tblW w:w="0" w:type="auto"/>
          <w:jc w:val="left"/>
          <w:tblInd w:w="360" w:type="dxa"/>
          <w:tblLayout w:type="fixed"/>
          <w:tblCellMar>
            <w:top w:w="0" w:type="dxa"/>
            <w:left w:w="0" w:type="dxa"/>
            <w:bottom w:w="0" w:type="dxa"/>
            <w:right w:w="0" w:type="dxa"/>
          </w:tblCellMar>
          <w:tblLook w:val="01E0"/>
        </w:tblPrEx>
        <w:trPr>
          <w:trHeight w:val="467"/>
          <w:jc w:val="left"/>
        </w:trPr>
        <w:tc>
          <w:tcPr>
            <w:tcW w:w="578" w:type="dxa"/>
            <w:tcBorders>
              <w:top w:val="single" w:sz="4" w:space="0" w:color="000000"/>
              <w:bottom w:val="single" w:sz="4" w:space="0" w:color="000000"/>
              <w:right w:val="single" w:sz="4" w:space="0" w:color="000000"/>
            </w:tcBorders>
          </w:tcPr>
          <w:p>
            <w:pPr>
              <w:pStyle w:val="TableParagraph"/>
              <w:spacing w:before="117"/>
              <w:ind w:left="16"/>
              <w:rPr>
                <w:sz w:val="18"/>
              </w:rPr>
            </w:pPr>
            <w:r>
              <w:rPr>
                <w:sz w:val="18"/>
              </w:rPr>
              <w:t>8</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117"/>
              <w:ind w:left="321" w:right="301"/>
              <w:rPr>
                <w:sz w:val="18"/>
              </w:rPr>
            </w:pPr>
            <w:r>
              <w:rPr>
                <w:sz w:val="18"/>
              </w:rPr>
              <w:t>密度</w:t>
            </w:r>
          </w:p>
        </w:tc>
        <w:tc>
          <w:tcPr>
            <w:tcW w:w="3355" w:type="dxa"/>
            <w:tcBorders>
              <w:top w:val="single" w:sz="4" w:space="0" w:color="000000"/>
              <w:left w:val="single" w:sz="4" w:space="0" w:color="000000"/>
              <w:bottom w:val="single" w:sz="4" w:space="0" w:color="000000"/>
              <w:right w:val="single" w:sz="4" w:space="0" w:color="000000"/>
            </w:tcBorders>
          </w:tcPr>
          <w:p>
            <w:pPr>
              <w:pStyle w:val="TableParagraph"/>
              <w:ind w:left="276"/>
              <w:jc w:val="left"/>
              <w:rPr>
                <w:sz w:val="18"/>
              </w:rPr>
            </w:pPr>
            <w:r>
              <w:rPr>
                <w:sz w:val="18"/>
              </w:rPr>
              <w:t>D＞1.1</w:t>
            </w:r>
            <w:r>
              <w:rPr>
                <w:spacing w:val="-5"/>
                <w:sz w:val="18"/>
              </w:rPr>
              <w:t xml:space="preserve"> </w:t>
            </w:r>
            <w:r>
              <w:rPr>
                <w:sz w:val="18"/>
              </w:rPr>
              <w:t>g/cm</w:t>
            </w:r>
            <w:r>
              <w:rPr>
                <w:position w:val="9"/>
                <w:sz w:val="9"/>
              </w:rPr>
              <w:t>3</w:t>
            </w:r>
            <w:r>
              <w:rPr>
                <w:spacing w:val="-24"/>
                <w:position w:val="9"/>
                <w:sz w:val="9"/>
              </w:rPr>
              <w:t xml:space="preserve"> </w:t>
            </w:r>
            <w:r>
              <w:rPr>
                <w:spacing w:val="-7"/>
                <w:sz w:val="18"/>
              </w:rPr>
              <w:t xml:space="preserve">时，应控制在 </w:t>
            </w:r>
            <w:r>
              <w:rPr>
                <w:sz w:val="18"/>
              </w:rPr>
              <w:t>D±0.03</w:t>
            </w:r>
          </w:p>
          <w:p>
            <w:pPr>
              <w:pStyle w:val="TableParagraph"/>
              <w:spacing w:before="4" w:line="212" w:lineRule="exact"/>
              <w:ind w:left="276"/>
              <w:jc w:val="left"/>
              <w:rPr>
                <w:sz w:val="18"/>
              </w:rPr>
            </w:pPr>
            <w:r>
              <w:rPr>
                <w:sz w:val="18"/>
              </w:rPr>
              <w:t>D≤1.1</w:t>
            </w:r>
            <w:r>
              <w:rPr>
                <w:spacing w:val="-5"/>
                <w:sz w:val="18"/>
              </w:rPr>
              <w:t xml:space="preserve"> </w:t>
            </w:r>
            <w:r>
              <w:rPr>
                <w:sz w:val="18"/>
              </w:rPr>
              <w:t>g/cm</w:t>
            </w:r>
            <w:r>
              <w:rPr>
                <w:position w:val="9"/>
                <w:sz w:val="9"/>
              </w:rPr>
              <w:t>3</w:t>
            </w:r>
            <w:r>
              <w:rPr>
                <w:spacing w:val="-24"/>
                <w:position w:val="9"/>
                <w:sz w:val="9"/>
              </w:rPr>
              <w:t xml:space="preserve"> </w:t>
            </w:r>
            <w:r>
              <w:rPr>
                <w:spacing w:val="-7"/>
                <w:sz w:val="18"/>
              </w:rPr>
              <w:t xml:space="preserve">时，应控制在 </w:t>
            </w:r>
            <w:r>
              <w:rPr>
                <w:sz w:val="18"/>
              </w:rPr>
              <w:t>D±0.02</w:t>
            </w:r>
          </w:p>
        </w:tc>
        <w:tc>
          <w:tcPr>
            <w:tcW w:w="3357" w:type="dxa"/>
            <w:tcBorders>
              <w:top w:val="single" w:sz="4" w:space="0" w:color="000000"/>
              <w:left w:val="single" w:sz="4" w:space="0" w:color="000000"/>
              <w:bottom w:val="single" w:sz="4" w:space="0" w:color="000000"/>
            </w:tcBorders>
          </w:tcPr>
          <w:p>
            <w:pPr>
              <w:pStyle w:val="TableParagraph"/>
              <w:spacing w:before="117"/>
              <w:ind w:left="228"/>
              <w:rPr>
                <w:sz w:val="18"/>
              </w:rPr>
            </w:pPr>
            <w:r>
              <w:rPr>
                <w:sz w:val="18"/>
              </w:rPr>
              <w:t>—</w:t>
            </w:r>
          </w:p>
        </w:tc>
      </w:tr>
      <w:tr>
        <w:tblPrEx>
          <w:tblW w:w="0" w:type="auto"/>
          <w:jc w:val="left"/>
          <w:tblInd w:w="360" w:type="dxa"/>
          <w:tblLayout w:type="fixed"/>
          <w:tblCellMar>
            <w:top w:w="0" w:type="dxa"/>
            <w:left w:w="0" w:type="dxa"/>
            <w:bottom w:w="0" w:type="dxa"/>
            <w:right w:w="0" w:type="dxa"/>
          </w:tblCellMar>
          <w:tblLook w:val="01E0"/>
        </w:tblPrEx>
        <w:trPr>
          <w:trHeight w:val="466"/>
          <w:jc w:val="left"/>
        </w:trPr>
        <w:tc>
          <w:tcPr>
            <w:tcW w:w="578" w:type="dxa"/>
            <w:tcBorders>
              <w:top w:val="single" w:sz="4" w:space="0" w:color="000000"/>
              <w:bottom w:val="single" w:sz="4" w:space="0" w:color="000000"/>
              <w:right w:val="single" w:sz="4" w:space="0" w:color="000000"/>
            </w:tcBorders>
          </w:tcPr>
          <w:p>
            <w:pPr>
              <w:pStyle w:val="TableParagraph"/>
              <w:spacing w:before="118"/>
              <w:ind w:left="16"/>
              <w:rPr>
                <w:sz w:val="18"/>
              </w:rPr>
            </w:pPr>
            <w:r>
              <w:rPr>
                <w:sz w:val="18"/>
              </w:rPr>
              <w:t>9</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118"/>
              <w:ind w:left="321" w:right="303"/>
              <w:rPr>
                <w:sz w:val="18"/>
              </w:rPr>
            </w:pPr>
            <w:r>
              <w:rPr>
                <w:sz w:val="18"/>
              </w:rPr>
              <w:t>含水率</w:t>
            </w:r>
          </w:p>
        </w:tc>
        <w:tc>
          <w:tcPr>
            <w:tcW w:w="3355" w:type="dxa"/>
            <w:tcBorders>
              <w:top w:val="single" w:sz="4" w:space="0" w:color="000000"/>
              <w:left w:val="single" w:sz="4" w:space="0" w:color="000000"/>
              <w:bottom w:val="single" w:sz="4" w:space="0" w:color="000000"/>
              <w:right w:val="single" w:sz="4" w:space="0" w:color="000000"/>
            </w:tcBorders>
          </w:tcPr>
          <w:p>
            <w:pPr>
              <w:pStyle w:val="TableParagraph"/>
              <w:spacing w:before="118"/>
              <w:ind w:right="1465"/>
              <w:jc w:val="right"/>
              <w:rPr>
                <w:sz w:val="18"/>
              </w:rPr>
            </w:pPr>
            <w:r>
              <w:rPr>
                <w:sz w:val="18"/>
              </w:rPr>
              <w:t>—</w:t>
            </w:r>
          </w:p>
        </w:tc>
        <w:tc>
          <w:tcPr>
            <w:tcW w:w="3357" w:type="dxa"/>
            <w:tcBorders>
              <w:top w:val="single" w:sz="4" w:space="0" w:color="000000"/>
              <w:left w:val="single" w:sz="4" w:space="0" w:color="000000"/>
              <w:bottom w:val="single" w:sz="4" w:space="0" w:color="000000"/>
            </w:tcBorders>
          </w:tcPr>
          <w:p>
            <w:pPr>
              <w:pStyle w:val="TableParagraph"/>
              <w:ind w:left="353"/>
              <w:jc w:val="left"/>
              <w:rPr>
                <w:sz w:val="18"/>
              </w:rPr>
            </w:pPr>
            <w:r>
              <w:rPr>
                <w:sz w:val="18"/>
              </w:rPr>
              <w:t>W＞5</w:t>
            </w:r>
            <w:r>
              <w:rPr>
                <w:spacing w:val="-7"/>
                <w:sz w:val="18"/>
              </w:rPr>
              <w:t xml:space="preserve">%时，应控制在 </w:t>
            </w:r>
            <w:r>
              <w:rPr>
                <w:sz w:val="18"/>
              </w:rPr>
              <w:t>0.90W～1.10W</w:t>
            </w:r>
          </w:p>
          <w:p>
            <w:pPr>
              <w:pStyle w:val="TableParagraph"/>
              <w:spacing w:before="2" w:line="214" w:lineRule="exact"/>
              <w:ind w:left="353"/>
              <w:jc w:val="left"/>
              <w:rPr>
                <w:sz w:val="18"/>
              </w:rPr>
            </w:pPr>
            <w:r>
              <w:rPr>
                <w:sz w:val="18"/>
              </w:rPr>
              <w:t>W≤5</w:t>
            </w:r>
            <w:r>
              <w:rPr>
                <w:spacing w:val="-7"/>
                <w:sz w:val="18"/>
              </w:rPr>
              <w:t xml:space="preserve">%时，应控制在 </w:t>
            </w:r>
            <w:r>
              <w:rPr>
                <w:sz w:val="18"/>
              </w:rPr>
              <w:t>0.80W～1.20W</w:t>
            </w:r>
          </w:p>
        </w:tc>
      </w:tr>
      <w:tr>
        <w:tblPrEx>
          <w:tblW w:w="0" w:type="auto"/>
          <w:jc w:val="left"/>
          <w:tblInd w:w="360" w:type="dxa"/>
          <w:tblLayout w:type="fixed"/>
          <w:tblCellMar>
            <w:top w:w="0" w:type="dxa"/>
            <w:left w:w="0" w:type="dxa"/>
            <w:bottom w:w="0" w:type="dxa"/>
            <w:right w:w="0" w:type="dxa"/>
          </w:tblCellMar>
          <w:tblLook w:val="01E0"/>
        </w:tblPrEx>
        <w:trPr>
          <w:trHeight w:val="369"/>
          <w:jc w:val="left"/>
        </w:trPr>
        <w:tc>
          <w:tcPr>
            <w:tcW w:w="578" w:type="dxa"/>
            <w:tcBorders>
              <w:top w:val="single" w:sz="4" w:space="0" w:color="000000"/>
              <w:bottom w:val="single" w:sz="4" w:space="0" w:color="000000"/>
              <w:right w:val="single" w:sz="4" w:space="0" w:color="000000"/>
            </w:tcBorders>
          </w:tcPr>
          <w:p>
            <w:pPr>
              <w:pStyle w:val="TableParagraph"/>
              <w:spacing w:before="68"/>
              <w:ind w:left="87" w:right="68"/>
              <w:rPr>
                <w:sz w:val="18"/>
              </w:rPr>
            </w:pPr>
            <w:r>
              <w:rPr>
                <w:sz w:val="18"/>
              </w:rPr>
              <w:t>10</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68"/>
              <w:ind w:left="321" w:right="301"/>
              <w:rPr>
                <w:sz w:val="18"/>
              </w:rPr>
            </w:pPr>
            <w:r>
              <w:rPr>
                <w:sz w:val="18"/>
              </w:rPr>
              <w:t>细度</w:t>
            </w:r>
          </w:p>
        </w:tc>
        <w:tc>
          <w:tcPr>
            <w:tcW w:w="3355" w:type="dxa"/>
            <w:tcBorders>
              <w:top w:val="single" w:sz="4" w:space="0" w:color="000000"/>
              <w:left w:val="single" w:sz="4" w:space="0" w:color="000000"/>
              <w:bottom w:val="single" w:sz="4" w:space="0" w:color="000000"/>
              <w:right w:val="single" w:sz="4" w:space="0" w:color="000000"/>
            </w:tcBorders>
          </w:tcPr>
          <w:p>
            <w:pPr>
              <w:pStyle w:val="TableParagraph"/>
              <w:spacing w:before="68"/>
              <w:ind w:right="1465"/>
              <w:jc w:val="right"/>
              <w:rPr>
                <w:sz w:val="18"/>
              </w:rPr>
            </w:pPr>
            <w:r>
              <w:rPr>
                <w:sz w:val="18"/>
              </w:rPr>
              <w:t>—</w:t>
            </w:r>
          </w:p>
        </w:tc>
        <w:tc>
          <w:tcPr>
            <w:tcW w:w="3357" w:type="dxa"/>
            <w:tcBorders>
              <w:top w:val="single" w:sz="4" w:space="0" w:color="000000"/>
              <w:left w:val="single" w:sz="4" w:space="0" w:color="000000"/>
              <w:bottom w:val="single" w:sz="4" w:space="0" w:color="000000"/>
            </w:tcBorders>
          </w:tcPr>
          <w:p>
            <w:pPr>
              <w:pStyle w:val="TableParagraph"/>
              <w:spacing w:before="68"/>
              <w:ind w:left="886"/>
              <w:jc w:val="left"/>
              <w:rPr>
                <w:sz w:val="18"/>
              </w:rPr>
            </w:pPr>
            <w:r>
              <w:rPr>
                <w:sz w:val="18"/>
              </w:rPr>
              <w:t>应在生产厂控制范围内</w:t>
            </w:r>
          </w:p>
        </w:tc>
      </w:tr>
      <w:tr>
        <w:tblPrEx>
          <w:tblW w:w="0" w:type="auto"/>
          <w:jc w:val="left"/>
          <w:tblInd w:w="360" w:type="dxa"/>
          <w:tblLayout w:type="fixed"/>
          <w:tblCellMar>
            <w:top w:w="0" w:type="dxa"/>
            <w:left w:w="0" w:type="dxa"/>
            <w:bottom w:w="0" w:type="dxa"/>
            <w:right w:w="0" w:type="dxa"/>
          </w:tblCellMar>
          <w:tblLook w:val="01E0"/>
        </w:tblPrEx>
        <w:trPr>
          <w:trHeight w:val="624"/>
          <w:jc w:val="left"/>
        </w:trPr>
        <w:tc>
          <w:tcPr>
            <w:tcW w:w="9450" w:type="dxa"/>
            <w:gridSpan w:val="4"/>
            <w:tcBorders>
              <w:top w:val="single" w:sz="4" w:space="0" w:color="000000"/>
              <w:bottom w:val="single" w:sz="4" w:space="0" w:color="000000"/>
            </w:tcBorders>
          </w:tcPr>
          <w:p>
            <w:pPr>
              <w:pStyle w:val="TableParagraph"/>
              <w:spacing w:before="40"/>
              <w:ind w:left="369"/>
              <w:jc w:val="left"/>
              <w:rPr>
                <w:sz w:val="18"/>
              </w:rPr>
            </w:pPr>
            <w:r>
              <w:rPr>
                <w:rFonts w:ascii="黑体" w:eastAsia="黑体" w:hint="eastAsia"/>
                <w:sz w:val="18"/>
              </w:rPr>
              <w:t>注 1：</w:t>
            </w:r>
            <w:r>
              <w:rPr>
                <w:sz w:val="18"/>
              </w:rPr>
              <w:t>生产厂控制值和生产厂控制范围由生产厂在相关技术资料中明示。</w:t>
            </w:r>
          </w:p>
          <w:p>
            <w:pPr>
              <w:pStyle w:val="TableParagraph"/>
              <w:spacing w:before="81"/>
              <w:ind w:left="369"/>
              <w:jc w:val="left"/>
              <w:rPr>
                <w:sz w:val="18"/>
              </w:rPr>
            </w:pPr>
            <w:r>
              <w:rPr>
                <w:rFonts w:ascii="黑体" w:eastAsia="黑体" w:hint="eastAsia"/>
                <w:spacing w:val="-23"/>
                <w:sz w:val="18"/>
              </w:rPr>
              <w:t xml:space="preserve">注 </w:t>
            </w:r>
            <w:r>
              <w:rPr>
                <w:rFonts w:ascii="黑体" w:eastAsia="黑体" w:hint="eastAsia"/>
                <w:spacing w:val="-2"/>
                <w:sz w:val="18"/>
              </w:rPr>
              <w:t>2</w:t>
            </w:r>
            <w:r>
              <w:rPr>
                <w:rFonts w:ascii="黑体" w:eastAsia="黑体" w:hint="eastAsia"/>
                <w:sz w:val="18"/>
              </w:rPr>
              <w:t>：</w:t>
            </w:r>
            <w:r>
              <w:rPr>
                <w:spacing w:val="-12"/>
                <w:sz w:val="18"/>
              </w:rPr>
              <w:t xml:space="preserve">表中的 </w:t>
            </w:r>
            <w:r>
              <w:rPr>
                <w:spacing w:val="-2"/>
                <w:sz w:val="18"/>
              </w:rPr>
              <w:t>S</w:t>
            </w:r>
            <w:r>
              <w:rPr>
                <w:sz w:val="18"/>
              </w:rPr>
              <w:t>、D</w:t>
            </w:r>
            <w:r>
              <w:rPr>
                <w:spacing w:val="-1"/>
                <w:sz w:val="18"/>
              </w:rPr>
              <w:t xml:space="preserve"> 和</w:t>
            </w:r>
            <w:r>
              <w:rPr>
                <w:sz w:val="18"/>
              </w:rPr>
              <w:t>W</w:t>
            </w:r>
            <w:r>
              <w:rPr>
                <w:spacing w:val="-7"/>
                <w:sz w:val="18"/>
              </w:rPr>
              <w:t xml:space="preserve"> 分别为生产厂提供的外加剂含固量</w:t>
            </w:r>
            <w:r>
              <w:rPr>
                <w:sz w:val="18"/>
              </w:rPr>
              <w:t>（</w:t>
            </w:r>
            <w:r>
              <w:rPr>
                <w:spacing w:val="-2"/>
                <w:sz w:val="18"/>
              </w:rPr>
              <w:t>%</w:t>
            </w:r>
            <w:r>
              <w:rPr>
                <w:spacing w:val="-89"/>
                <w:sz w:val="18"/>
              </w:rPr>
              <w:t>）</w:t>
            </w:r>
            <w:r>
              <w:rPr>
                <w:sz w:val="18"/>
              </w:rPr>
              <w:t>、密度（</w:t>
            </w:r>
            <w:r>
              <w:rPr>
                <w:spacing w:val="1"/>
                <w:sz w:val="18"/>
              </w:rPr>
              <w:t>g</w:t>
            </w:r>
            <w:r>
              <w:rPr>
                <w:spacing w:val="-2"/>
                <w:sz w:val="18"/>
              </w:rPr>
              <w:t>/</w:t>
            </w:r>
            <w:r>
              <w:rPr>
                <w:spacing w:val="1"/>
                <w:sz w:val="18"/>
              </w:rPr>
              <w:t>c</w:t>
            </w:r>
            <w:r>
              <w:rPr>
                <w:spacing w:val="-2"/>
                <w:sz w:val="18"/>
              </w:rPr>
              <w:t>m</w:t>
            </w:r>
            <w:r>
              <w:rPr>
                <w:spacing w:val="-2"/>
                <w:w w:val="98"/>
                <w:position w:val="9"/>
                <w:sz w:val="9"/>
              </w:rPr>
              <w:t>3</w:t>
            </w:r>
            <w:r>
              <w:rPr>
                <w:sz w:val="18"/>
              </w:rPr>
              <w:t>）和含水率（</w:t>
            </w:r>
            <w:r>
              <w:rPr>
                <w:spacing w:val="1"/>
                <w:sz w:val="18"/>
              </w:rPr>
              <w:t>%</w:t>
            </w:r>
            <w:r>
              <w:rPr>
                <w:sz w:val="18"/>
              </w:rPr>
              <w:t>）的控制值。</w:t>
            </w:r>
          </w:p>
        </w:tc>
      </w:tr>
      <w:tr>
        <w:tblPrEx>
          <w:tblW w:w="0" w:type="auto"/>
          <w:jc w:val="left"/>
          <w:tblInd w:w="360" w:type="dxa"/>
          <w:tblLayout w:type="fixed"/>
          <w:tblCellMar>
            <w:top w:w="0" w:type="dxa"/>
            <w:left w:w="0" w:type="dxa"/>
            <w:bottom w:w="0" w:type="dxa"/>
            <w:right w:w="0" w:type="dxa"/>
          </w:tblCellMar>
          <w:tblLook w:val="01E0"/>
        </w:tblPrEx>
        <w:trPr>
          <w:trHeight w:val="623"/>
          <w:jc w:val="left"/>
        </w:trPr>
        <w:tc>
          <w:tcPr>
            <w:tcW w:w="9450" w:type="dxa"/>
            <w:gridSpan w:val="4"/>
            <w:tcBorders>
              <w:top w:val="single" w:sz="4" w:space="0" w:color="000000"/>
            </w:tcBorders>
          </w:tcPr>
          <w:p>
            <w:pPr>
              <w:pStyle w:val="TableParagraph"/>
              <w:spacing w:before="39"/>
              <w:ind w:left="369"/>
              <w:jc w:val="left"/>
              <w:rPr>
                <w:sz w:val="18"/>
              </w:rPr>
            </w:pPr>
            <w:r>
              <w:rPr>
                <w:position w:val="9"/>
                <w:sz w:val="9"/>
              </w:rPr>
              <w:t xml:space="preserve">a </w:t>
            </w:r>
            <w:r>
              <w:rPr>
                <w:sz w:val="18"/>
              </w:rPr>
              <w:t>钢筋混凝土结构中使用的外加剂应进行检测。</w:t>
            </w:r>
          </w:p>
          <w:p>
            <w:pPr>
              <w:pStyle w:val="TableParagraph"/>
              <w:spacing w:before="81"/>
              <w:ind w:left="369"/>
              <w:jc w:val="left"/>
              <w:rPr>
                <w:sz w:val="18"/>
              </w:rPr>
            </w:pPr>
            <w:r>
              <w:rPr>
                <w:position w:val="9"/>
                <w:sz w:val="9"/>
              </w:rPr>
              <w:t xml:space="preserve">b </w:t>
            </w:r>
            <w:r>
              <w:rPr>
                <w:sz w:val="18"/>
              </w:rPr>
              <w:t>建筑物、地铁等与人活动有关的围护结构中使用的外加剂应进行检测。</w:t>
            </w:r>
          </w:p>
        </w:tc>
      </w:tr>
    </w:tbl>
    <w:p>
      <w:pPr>
        <w:pStyle w:val="BodyText"/>
        <w:spacing w:before="5"/>
        <w:rPr>
          <w:sz w:val="8"/>
        </w:rPr>
      </w:pPr>
    </w:p>
    <w:p>
      <w:pPr>
        <w:pStyle w:val="ListParagraph"/>
        <w:numPr>
          <w:ilvl w:val="1"/>
          <w:numId w:val="27"/>
        </w:numPr>
        <w:tabs>
          <w:tab w:val="left" w:pos="924"/>
        </w:tabs>
        <w:spacing w:before="69" w:after="0" w:line="240" w:lineRule="auto"/>
        <w:ind w:left="924" w:right="0" w:hanging="526"/>
        <w:jc w:val="left"/>
        <w:rPr>
          <w:rFonts w:ascii="黑体" w:eastAsia="黑体" w:hint="eastAsia"/>
          <w:sz w:val="21"/>
        </w:rPr>
      </w:pPr>
      <w:bookmarkStart w:id="40" w:name="5.2　应用性能"/>
      <w:bookmarkEnd w:id="40"/>
      <w:bookmarkStart w:id="41" w:name="_bookmark7"/>
      <w:bookmarkEnd w:id="41"/>
      <w:r>
        <w:rPr>
          <w:rFonts w:ascii="黑体" w:eastAsia="黑体" w:hint="eastAsia"/>
          <w:sz w:val="21"/>
        </w:rPr>
        <w:t>应用性能</w:t>
      </w:r>
    </w:p>
    <w:p>
      <w:pPr>
        <w:pStyle w:val="BodyText"/>
        <w:spacing w:before="7"/>
        <w:rPr>
          <w:rFonts w:ascii="黑体"/>
          <w:sz w:val="15"/>
        </w:rPr>
      </w:pPr>
    </w:p>
    <w:p>
      <w:pPr>
        <w:pStyle w:val="ListParagraph"/>
        <w:numPr>
          <w:ilvl w:val="2"/>
          <w:numId w:val="27"/>
        </w:numPr>
        <w:tabs>
          <w:tab w:val="left" w:pos="1133"/>
        </w:tabs>
        <w:spacing w:before="0" w:after="0" w:line="240" w:lineRule="auto"/>
        <w:ind w:left="1132" w:right="0" w:hanging="735"/>
        <w:jc w:val="left"/>
        <w:rPr>
          <w:rFonts w:ascii="黑体" w:eastAsia="黑体" w:hint="eastAsia"/>
          <w:sz w:val="21"/>
        </w:rPr>
      </w:pPr>
      <w:bookmarkStart w:id="42" w:name="5.2.1　高性能减水剂"/>
      <w:bookmarkEnd w:id="42"/>
      <w:bookmarkStart w:id="43" w:name="_bookmark8"/>
      <w:bookmarkEnd w:id="43"/>
      <w:r>
        <w:rPr>
          <w:rFonts w:ascii="黑体" w:eastAsia="黑体" w:hint="eastAsia"/>
          <w:sz w:val="21"/>
        </w:rPr>
        <w:t>高性能减水剂</w:t>
      </w:r>
    </w:p>
    <w:p>
      <w:pPr>
        <w:pStyle w:val="BodyText"/>
        <w:spacing w:before="7"/>
        <w:rPr>
          <w:rFonts w:ascii="黑体"/>
          <w:sz w:val="15"/>
        </w:rPr>
      </w:pPr>
    </w:p>
    <w:p>
      <w:pPr>
        <w:pStyle w:val="BodyText"/>
        <w:ind w:left="818"/>
      </w:pPr>
      <w:r>
        <w:t>高性能减水剂的应用性能应符合表2的要求。</w:t>
      </w:r>
    </w:p>
    <w:p>
      <w:pPr>
        <w:pStyle w:val="BodyText"/>
        <w:spacing w:before="6"/>
        <w:rPr>
          <w:sz w:val="15"/>
        </w:rPr>
      </w:pPr>
    </w:p>
    <w:p>
      <w:pPr>
        <w:pStyle w:val="BodyText"/>
        <w:spacing w:before="1"/>
        <w:ind w:left="82"/>
        <w:jc w:val="center"/>
        <w:rPr>
          <w:rFonts w:ascii="黑体" w:eastAsia="黑体" w:hint="eastAsia"/>
        </w:rPr>
      </w:pPr>
      <w:r>
        <w:rPr>
          <w:rFonts w:ascii="黑体" w:eastAsia="黑体" w:hint="eastAsia"/>
        </w:rPr>
        <w:t>表 2 高性能减水剂应用性能要求</w:t>
      </w:r>
    </w:p>
    <w:p>
      <w:pPr>
        <w:pStyle w:val="BodyText"/>
        <w:spacing w:before="11" w:after="1"/>
        <w:rPr>
          <w:rFonts w:ascii="黑体"/>
          <w:sz w:val="13"/>
        </w:rPr>
      </w:pPr>
    </w:p>
    <w:tbl>
      <w:tblPr>
        <w:tblStyle w:val="TableNormal3"/>
        <w:tblW w:w="0" w:type="auto"/>
        <w:jc w:val="left"/>
        <w:tblInd w:w="2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60"/>
        <w:gridCol w:w="1103"/>
        <w:gridCol w:w="1592"/>
        <w:gridCol w:w="4699"/>
        <w:gridCol w:w="1424"/>
      </w:tblGrid>
      <w:tr>
        <w:tblPrEx>
          <w:tblW w:w="0" w:type="auto"/>
          <w:jc w:val="left"/>
          <w:tblInd w:w="2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760" w:type="dxa"/>
            <w:tcBorders>
              <w:bottom w:val="single" w:sz="4" w:space="0" w:color="000000"/>
              <w:right w:val="single" w:sz="4" w:space="0" w:color="000000"/>
            </w:tcBorders>
          </w:tcPr>
          <w:p>
            <w:pPr>
              <w:pStyle w:val="TableParagraph"/>
              <w:spacing w:before="78"/>
              <w:ind w:left="178" w:right="167"/>
              <w:rPr>
                <w:sz w:val="18"/>
              </w:rPr>
            </w:pPr>
            <w:r>
              <w:rPr>
                <w:sz w:val="18"/>
              </w:rPr>
              <w:t>序号</w:t>
            </w:r>
          </w:p>
        </w:tc>
        <w:tc>
          <w:tcPr>
            <w:tcW w:w="1103" w:type="dxa"/>
            <w:tcBorders>
              <w:left w:val="single" w:sz="4" w:space="0" w:color="000000"/>
              <w:bottom w:val="single" w:sz="4" w:space="0" w:color="000000"/>
              <w:right w:val="single" w:sz="4" w:space="0" w:color="000000"/>
            </w:tcBorders>
          </w:tcPr>
          <w:p>
            <w:pPr>
              <w:pStyle w:val="TableParagraph"/>
              <w:spacing w:before="78"/>
              <w:ind w:left="374"/>
              <w:jc w:val="left"/>
              <w:rPr>
                <w:sz w:val="18"/>
              </w:rPr>
            </w:pPr>
            <w:r>
              <w:rPr>
                <w:sz w:val="18"/>
              </w:rPr>
              <w:t>类别</w:t>
            </w:r>
          </w:p>
        </w:tc>
        <w:tc>
          <w:tcPr>
            <w:tcW w:w="1592" w:type="dxa"/>
            <w:tcBorders>
              <w:left w:val="single" w:sz="4" w:space="0" w:color="000000"/>
              <w:bottom w:val="single" w:sz="4" w:space="0" w:color="000000"/>
              <w:right w:val="single" w:sz="4" w:space="0" w:color="000000"/>
            </w:tcBorders>
          </w:tcPr>
          <w:p>
            <w:pPr>
              <w:pStyle w:val="TableParagraph"/>
              <w:spacing w:before="78"/>
              <w:ind w:left="420" w:right="402"/>
              <w:rPr>
                <w:sz w:val="18"/>
              </w:rPr>
            </w:pPr>
            <w:r>
              <w:rPr>
                <w:sz w:val="18"/>
              </w:rPr>
              <w:t>项 目</w:t>
            </w:r>
          </w:p>
        </w:tc>
        <w:tc>
          <w:tcPr>
            <w:tcW w:w="4699" w:type="dxa"/>
            <w:tcBorders>
              <w:left w:val="single" w:sz="4" w:space="0" w:color="000000"/>
              <w:bottom w:val="single" w:sz="4" w:space="0" w:color="000000"/>
              <w:right w:val="single" w:sz="4" w:space="0" w:color="000000"/>
            </w:tcBorders>
          </w:tcPr>
          <w:p>
            <w:pPr>
              <w:pStyle w:val="TableParagraph"/>
              <w:spacing w:before="78"/>
              <w:ind w:left="15"/>
              <w:rPr>
                <w:sz w:val="18"/>
              </w:rPr>
            </w:pPr>
            <w:r>
              <w:rPr>
                <w:sz w:val="18"/>
              </w:rPr>
              <w:t>要求</w:t>
            </w:r>
          </w:p>
        </w:tc>
        <w:tc>
          <w:tcPr>
            <w:tcW w:w="1424" w:type="dxa"/>
            <w:tcBorders>
              <w:left w:val="single" w:sz="4" w:space="0" w:color="000000"/>
              <w:bottom w:val="single" w:sz="4" w:space="0" w:color="000000"/>
            </w:tcBorders>
          </w:tcPr>
          <w:p>
            <w:pPr>
              <w:pStyle w:val="TableParagraph"/>
              <w:spacing w:before="78"/>
              <w:ind w:left="333" w:right="316"/>
              <w:rPr>
                <w:sz w:val="18"/>
              </w:rPr>
            </w:pPr>
            <w:r>
              <w:rPr>
                <w:sz w:val="18"/>
              </w:rPr>
              <w:t>试验方法</w:t>
            </w:r>
          </w:p>
        </w:tc>
      </w:tr>
      <w:tr>
        <w:tblPrEx>
          <w:tblW w:w="0" w:type="auto"/>
          <w:jc w:val="left"/>
          <w:tblInd w:w="296" w:type="dxa"/>
          <w:tblLayout w:type="fixed"/>
          <w:tblCellMar>
            <w:top w:w="0" w:type="dxa"/>
            <w:left w:w="0" w:type="dxa"/>
            <w:bottom w:w="0" w:type="dxa"/>
            <w:right w:w="0" w:type="dxa"/>
          </w:tblCellMar>
          <w:tblLook w:val="01E0"/>
        </w:tblPrEx>
        <w:trPr>
          <w:trHeight w:val="391"/>
          <w:jc w:val="left"/>
        </w:trPr>
        <w:tc>
          <w:tcPr>
            <w:tcW w:w="760" w:type="dxa"/>
            <w:tcBorders>
              <w:top w:val="single" w:sz="4" w:space="0" w:color="000000"/>
              <w:bottom w:val="single" w:sz="4" w:space="0" w:color="000000"/>
              <w:right w:val="single" w:sz="4" w:space="0" w:color="000000"/>
            </w:tcBorders>
          </w:tcPr>
          <w:p>
            <w:pPr>
              <w:pStyle w:val="TableParagraph"/>
              <w:spacing w:before="78"/>
              <w:ind w:left="15"/>
              <w:rPr>
                <w:sz w:val="18"/>
              </w:rPr>
            </w:pPr>
            <w:r>
              <w:rPr>
                <w:sz w:val="18"/>
              </w:rPr>
              <w:t>1</w:t>
            </w:r>
          </w:p>
        </w:tc>
        <w:tc>
          <w:tcPr>
            <w:tcW w:w="1103"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9"/>
              </w:rPr>
            </w:pPr>
          </w:p>
          <w:p>
            <w:pPr>
              <w:pStyle w:val="TableParagraph"/>
              <w:spacing w:before="1" w:line="242" w:lineRule="auto"/>
              <w:ind w:left="285" w:right="265"/>
              <w:jc w:val="both"/>
              <w:rPr>
                <w:sz w:val="18"/>
              </w:rPr>
            </w:pPr>
            <w:r>
              <w:rPr>
                <w:sz w:val="18"/>
              </w:rPr>
              <w:t>混凝土拌合物性能</w:t>
            </w:r>
          </w:p>
        </w:tc>
        <w:tc>
          <w:tcPr>
            <w:tcW w:w="1592" w:type="dxa"/>
            <w:tcBorders>
              <w:top w:val="single" w:sz="4" w:space="0" w:color="000000"/>
              <w:left w:val="single" w:sz="4" w:space="0" w:color="000000"/>
              <w:bottom w:val="single" w:sz="4" w:space="0" w:color="000000"/>
              <w:right w:val="single" w:sz="4" w:space="0" w:color="000000"/>
            </w:tcBorders>
          </w:tcPr>
          <w:p>
            <w:pPr>
              <w:pStyle w:val="TableParagraph"/>
              <w:spacing w:before="78"/>
              <w:ind w:left="420" w:right="399"/>
              <w:rPr>
                <w:sz w:val="18"/>
              </w:rPr>
            </w:pPr>
            <w:r>
              <w:rPr>
                <w:sz w:val="18"/>
              </w:rPr>
              <w:t>减水率</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8"/>
              <w:ind w:left="19"/>
              <w:rPr>
                <w:sz w:val="18"/>
              </w:rPr>
            </w:pPr>
            <w:r>
              <w:rPr>
                <w:sz w:val="18"/>
              </w:rPr>
              <w:t>≥25%</w:t>
            </w:r>
          </w:p>
        </w:tc>
        <w:tc>
          <w:tcPr>
            <w:tcW w:w="1424" w:type="dxa"/>
            <w:tcBorders>
              <w:top w:val="single" w:sz="4" w:space="0" w:color="000000"/>
              <w:left w:val="single" w:sz="4" w:space="0" w:color="000000"/>
              <w:bottom w:val="single" w:sz="4" w:space="0" w:color="000000"/>
            </w:tcBorders>
          </w:tcPr>
          <w:p>
            <w:pPr>
              <w:pStyle w:val="TableParagraph"/>
              <w:spacing w:before="78"/>
              <w:ind w:left="332" w:right="316"/>
              <w:rPr>
                <w:sz w:val="18"/>
              </w:rPr>
            </w:pPr>
            <w:r>
              <w:rPr>
                <w:sz w:val="18"/>
              </w:rPr>
              <w:t>6.2.8</w:t>
            </w:r>
          </w:p>
        </w:tc>
      </w:tr>
      <w:tr>
        <w:tblPrEx>
          <w:tblW w:w="0" w:type="auto"/>
          <w:jc w:val="left"/>
          <w:tblInd w:w="296" w:type="dxa"/>
          <w:tblLayout w:type="fixed"/>
          <w:tblCellMar>
            <w:top w:w="0" w:type="dxa"/>
            <w:left w:w="0" w:type="dxa"/>
            <w:bottom w:w="0" w:type="dxa"/>
            <w:right w:w="0" w:type="dxa"/>
          </w:tblCellMar>
          <w:tblLook w:val="01E0"/>
        </w:tblPrEx>
        <w:trPr>
          <w:trHeight w:val="391"/>
          <w:jc w:val="left"/>
        </w:trPr>
        <w:tc>
          <w:tcPr>
            <w:tcW w:w="760" w:type="dxa"/>
            <w:tcBorders>
              <w:top w:val="single" w:sz="4" w:space="0" w:color="000000"/>
              <w:bottom w:val="single" w:sz="4" w:space="0" w:color="000000"/>
              <w:right w:val="single" w:sz="4" w:space="0" w:color="000000"/>
            </w:tcBorders>
          </w:tcPr>
          <w:p>
            <w:pPr>
              <w:pStyle w:val="TableParagraph"/>
              <w:spacing w:before="78"/>
              <w:ind w:left="15"/>
              <w:rPr>
                <w:sz w:val="18"/>
              </w:rPr>
            </w:pPr>
            <w:r>
              <w:rPr>
                <w:sz w:val="18"/>
              </w:rPr>
              <w:t>2</w:t>
            </w:r>
          </w:p>
        </w:tc>
        <w:tc>
          <w:tcPr>
            <w:tcW w:w="1103" w:type="dxa"/>
            <w:vMerge/>
            <w:tcBorders>
              <w:top w:val="nil"/>
              <w:left w:val="single" w:sz="4" w:space="0" w:color="000000"/>
              <w:bottom w:val="single" w:sz="4" w:space="0" w:color="000000"/>
              <w:right w:val="single" w:sz="4" w:space="0" w:color="000000"/>
            </w:tcBorders>
          </w:tcPr>
          <w:p>
            <w:pPr>
              <w:rPr>
                <w:sz w:val="2"/>
                <w:szCs w:val="2"/>
              </w:rPr>
            </w:pPr>
          </w:p>
        </w:tc>
        <w:tc>
          <w:tcPr>
            <w:tcW w:w="1592" w:type="dxa"/>
            <w:tcBorders>
              <w:top w:val="single" w:sz="4" w:space="0" w:color="000000"/>
              <w:left w:val="single" w:sz="4" w:space="0" w:color="000000"/>
              <w:bottom w:val="single" w:sz="4" w:space="0" w:color="000000"/>
              <w:right w:val="single" w:sz="4" w:space="0" w:color="000000"/>
            </w:tcBorders>
          </w:tcPr>
          <w:p>
            <w:pPr>
              <w:pStyle w:val="TableParagraph"/>
              <w:spacing w:before="78"/>
              <w:ind w:left="420" w:right="402"/>
              <w:rPr>
                <w:sz w:val="18"/>
              </w:rPr>
            </w:pPr>
            <w:r>
              <w:rPr>
                <w:sz w:val="18"/>
              </w:rPr>
              <w:t>泌水率比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8"/>
              <w:ind w:left="19"/>
              <w:rPr>
                <w:sz w:val="18"/>
              </w:rPr>
            </w:pPr>
            <w:r>
              <w:rPr>
                <w:sz w:val="18"/>
              </w:rPr>
              <w:t>早强型≤50%，标准型≤60%，缓凝型≤70%</w:t>
            </w:r>
          </w:p>
        </w:tc>
        <w:tc>
          <w:tcPr>
            <w:tcW w:w="1424" w:type="dxa"/>
            <w:tcBorders>
              <w:top w:val="single" w:sz="4" w:space="0" w:color="000000"/>
              <w:left w:val="single" w:sz="4" w:space="0" w:color="000000"/>
              <w:bottom w:val="single" w:sz="4" w:space="0" w:color="000000"/>
            </w:tcBorders>
          </w:tcPr>
          <w:p>
            <w:pPr>
              <w:pStyle w:val="TableParagraph"/>
              <w:spacing w:before="78"/>
              <w:ind w:left="332" w:right="316"/>
              <w:rPr>
                <w:sz w:val="18"/>
              </w:rPr>
            </w:pPr>
            <w:r>
              <w:rPr>
                <w:sz w:val="18"/>
              </w:rPr>
              <w:t>6.2.9</w:t>
            </w:r>
          </w:p>
        </w:tc>
      </w:tr>
      <w:tr>
        <w:tblPrEx>
          <w:tblW w:w="0" w:type="auto"/>
          <w:jc w:val="left"/>
          <w:tblInd w:w="296" w:type="dxa"/>
          <w:tblLayout w:type="fixed"/>
          <w:tblCellMar>
            <w:top w:w="0" w:type="dxa"/>
            <w:left w:w="0" w:type="dxa"/>
            <w:bottom w:w="0" w:type="dxa"/>
            <w:right w:w="0" w:type="dxa"/>
          </w:tblCellMar>
          <w:tblLook w:val="01E0"/>
        </w:tblPrEx>
        <w:trPr>
          <w:trHeight w:val="390"/>
          <w:jc w:val="left"/>
        </w:trPr>
        <w:tc>
          <w:tcPr>
            <w:tcW w:w="760" w:type="dxa"/>
            <w:tcBorders>
              <w:top w:val="single" w:sz="4" w:space="0" w:color="000000"/>
              <w:bottom w:val="single" w:sz="4" w:space="0" w:color="000000"/>
              <w:right w:val="single" w:sz="4" w:space="0" w:color="000000"/>
            </w:tcBorders>
          </w:tcPr>
          <w:p>
            <w:pPr>
              <w:pStyle w:val="TableParagraph"/>
              <w:spacing w:before="78"/>
              <w:ind w:left="15"/>
              <w:rPr>
                <w:sz w:val="18"/>
              </w:rPr>
            </w:pPr>
            <w:r>
              <w:rPr>
                <w:sz w:val="18"/>
              </w:rPr>
              <w:t>3</w:t>
            </w:r>
          </w:p>
        </w:tc>
        <w:tc>
          <w:tcPr>
            <w:tcW w:w="1103" w:type="dxa"/>
            <w:vMerge/>
            <w:tcBorders>
              <w:top w:val="nil"/>
              <w:left w:val="single" w:sz="4" w:space="0" w:color="000000"/>
              <w:bottom w:val="single" w:sz="4" w:space="0" w:color="000000"/>
              <w:right w:val="single" w:sz="4" w:space="0" w:color="000000"/>
            </w:tcBorders>
          </w:tcPr>
          <w:p>
            <w:pPr>
              <w:rPr>
                <w:sz w:val="2"/>
                <w:szCs w:val="2"/>
              </w:rPr>
            </w:pPr>
          </w:p>
        </w:tc>
        <w:tc>
          <w:tcPr>
            <w:tcW w:w="1592" w:type="dxa"/>
            <w:tcBorders>
              <w:top w:val="single" w:sz="4" w:space="0" w:color="000000"/>
              <w:left w:val="single" w:sz="4" w:space="0" w:color="000000"/>
              <w:bottom w:val="single" w:sz="4" w:space="0" w:color="000000"/>
              <w:right w:val="single" w:sz="4" w:space="0" w:color="000000"/>
            </w:tcBorders>
          </w:tcPr>
          <w:p>
            <w:pPr>
              <w:pStyle w:val="TableParagraph"/>
              <w:spacing w:before="78"/>
              <w:ind w:left="420" w:right="399"/>
              <w:rPr>
                <w:sz w:val="18"/>
              </w:rPr>
            </w:pPr>
            <w:r>
              <w:rPr>
                <w:sz w:val="18"/>
              </w:rPr>
              <w:t>含气量</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8"/>
              <w:ind w:left="19"/>
              <w:rPr>
                <w:sz w:val="18"/>
              </w:rPr>
            </w:pPr>
            <w:r>
              <w:rPr>
                <w:sz w:val="18"/>
              </w:rPr>
              <w:t>≤6.0%</w:t>
            </w:r>
          </w:p>
        </w:tc>
        <w:tc>
          <w:tcPr>
            <w:tcW w:w="1424" w:type="dxa"/>
            <w:tcBorders>
              <w:top w:val="single" w:sz="4" w:space="0" w:color="000000"/>
              <w:left w:val="single" w:sz="4" w:space="0" w:color="000000"/>
              <w:bottom w:val="single" w:sz="4" w:space="0" w:color="000000"/>
            </w:tcBorders>
          </w:tcPr>
          <w:p>
            <w:pPr>
              <w:pStyle w:val="TableParagraph"/>
              <w:spacing w:before="78"/>
              <w:ind w:left="333" w:right="312"/>
              <w:rPr>
                <w:sz w:val="18"/>
              </w:rPr>
            </w:pPr>
            <w:r>
              <w:rPr>
                <w:sz w:val="18"/>
              </w:rPr>
              <w:t>6.2.11</w:t>
            </w:r>
          </w:p>
        </w:tc>
      </w:tr>
      <w:tr>
        <w:tblPrEx>
          <w:tblW w:w="0" w:type="auto"/>
          <w:jc w:val="left"/>
          <w:tblInd w:w="296" w:type="dxa"/>
          <w:tblLayout w:type="fixed"/>
          <w:tblCellMar>
            <w:top w:w="0" w:type="dxa"/>
            <w:left w:w="0" w:type="dxa"/>
            <w:bottom w:w="0" w:type="dxa"/>
            <w:right w:w="0" w:type="dxa"/>
          </w:tblCellMar>
          <w:tblLook w:val="01E0"/>
        </w:tblPrEx>
        <w:trPr>
          <w:trHeight w:val="487"/>
          <w:jc w:val="left"/>
        </w:trPr>
        <w:tc>
          <w:tcPr>
            <w:tcW w:w="760" w:type="dxa"/>
            <w:vMerge w:val="restart"/>
            <w:tcBorders>
              <w:top w:val="single" w:sz="4" w:space="0" w:color="000000"/>
              <w:bottom w:val="single" w:sz="4" w:space="0" w:color="000000"/>
              <w:right w:val="single" w:sz="4" w:space="0" w:color="000000"/>
            </w:tcBorders>
          </w:tcPr>
          <w:p>
            <w:pPr>
              <w:pStyle w:val="TableParagraph"/>
              <w:spacing w:before="7"/>
              <w:jc w:val="left"/>
              <w:rPr>
                <w:rFonts w:ascii="黑体"/>
                <w:sz w:val="25"/>
              </w:rPr>
            </w:pPr>
          </w:p>
          <w:p>
            <w:pPr>
              <w:pStyle w:val="TableParagraph"/>
              <w:ind w:left="15"/>
              <w:rPr>
                <w:sz w:val="18"/>
              </w:rPr>
            </w:pPr>
            <w:r>
              <w:rPr>
                <w:sz w:val="18"/>
              </w:rPr>
              <w:t>4</w:t>
            </w:r>
          </w:p>
        </w:tc>
        <w:tc>
          <w:tcPr>
            <w:tcW w:w="1103" w:type="dxa"/>
            <w:vMerge/>
            <w:tcBorders>
              <w:top w:val="nil"/>
              <w:left w:val="single" w:sz="4" w:space="0" w:color="000000"/>
              <w:bottom w:val="single" w:sz="4" w:space="0" w:color="000000"/>
              <w:right w:val="single" w:sz="4" w:space="0" w:color="000000"/>
            </w:tcBorders>
          </w:tcPr>
          <w:p>
            <w:pPr>
              <w:rPr>
                <w:sz w:val="2"/>
                <w:szCs w:val="2"/>
              </w:rPr>
            </w:pPr>
          </w:p>
        </w:tc>
        <w:tc>
          <w:tcPr>
            <w:tcW w:w="159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7"/>
              <w:jc w:val="left"/>
              <w:rPr>
                <w:rFonts w:ascii="黑体"/>
                <w:sz w:val="25"/>
              </w:rPr>
            </w:pPr>
          </w:p>
          <w:p>
            <w:pPr>
              <w:pStyle w:val="TableParagraph"/>
              <w:ind w:left="260"/>
              <w:jc w:val="left"/>
              <w:rPr>
                <w:sz w:val="18"/>
              </w:rPr>
            </w:pPr>
            <w:r>
              <w:rPr>
                <w:sz w:val="18"/>
              </w:rPr>
              <w:t>凝结时间之差</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13"/>
              <w:ind w:left="118"/>
              <w:jc w:val="left"/>
              <w:rPr>
                <w:sz w:val="18"/>
              </w:rPr>
            </w:pPr>
            <w:r>
              <w:rPr>
                <w:spacing w:val="-11"/>
                <w:sz w:val="18"/>
              </w:rPr>
              <w:t>初凝：早强型-</w:t>
            </w:r>
            <w:r>
              <w:rPr>
                <w:spacing w:val="-4"/>
                <w:sz w:val="18"/>
              </w:rPr>
              <w:t>90</w:t>
            </w:r>
            <w:r>
              <w:rPr>
                <w:spacing w:val="-30"/>
                <w:sz w:val="18"/>
              </w:rPr>
              <w:t xml:space="preserve"> </w:t>
            </w:r>
            <w:r>
              <w:rPr>
                <w:spacing w:val="-6"/>
                <w:sz w:val="18"/>
              </w:rPr>
              <w:t>min～+60</w:t>
            </w:r>
            <w:r>
              <w:rPr>
                <w:spacing w:val="-30"/>
                <w:sz w:val="18"/>
              </w:rPr>
              <w:t xml:space="preserve"> </w:t>
            </w:r>
            <w:r>
              <w:rPr>
                <w:spacing w:val="-8"/>
                <w:sz w:val="18"/>
              </w:rPr>
              <w:t>min</w:t>
            </w:r>
            <w:r>
              <w:rPr>
                <w:spacing w:val="-11"/>
                <w:sz w:val="18"/>
              </w:rPr>
              <w:t>，标准型-</w:t>
            </w:r>
            <w:r>
              <w:rPr>
                <w:spacing w:val="-4"/>
                <w:sz w:val="18"/>
              </w:rPr>
              <w:t>90</w:t>
            </w:r>
            <w:r>
              <w:rPr>
                <w:spacing w:val="-27"/>
                <w:sz w:val="18"/>
              </w:rPr>
              <w:t xml:space="preserve"> </w:t>
            </w:r>
            <w:r>
              <w:rPr>
                <w:spacing w:val="-6"/>
                <w:sz w:val="18"/>
              </w:rPr>
              <w:t>min～+120</w:t>
            </w:r>
            <w:r>
              <w:rPr>
                <w:spacing w:val="-27"/>
                <w:sz w:val="18"/>
              </w:rPr>
              <w:t xml:space="preserve"> </w:t>
            </w:r>
            <w:r>
              <w:rPr>
                <w:spacing w:val="-8"/>
                <w:sz w:val="18"/>
              </w:rPr>
              <w:t>min，</w:t>
            </w:r>
          </w:p>
          <w:p>
            <w:pPr>
              <w:pStyle w:val="TableParagraph"/>
              <w:spacing w:before="2" w:line="222" w:lineRule="exact"/>
              <w:ind w:left="2013"/>
              <w:jc w:val="left"/>
              <w:rPr>
                <w:sz w:val="18"/>
              </w:rPr>
            </w:pPr>
            <w:r>
              <w:rPr>
                <w:sz w:val="18"/>
              </w:rPr>
              <w:t>缓凝型＞+90 min</w:t>
            </w:r>
          </w:p>
        </w:tc>
        <w:tc>
          <w:tcPr>
            <w:tcW w:w="1424" w:type="dxa"/>
            <w:vMerge w:val="restart"/>
            <w:tcBorders>
              <w:top w:val="single" w:sz="4" w:space="0" w:color="000000"/>
              <w:left w:val="single" w:sz="4" w:space="0" w:color="000000"/>
              <w:bottom w:val="single" w:sz="4" w:space="0" w:color="000000"/>
            </w:tcBorders>
          </w:tcPr>
          <w:p>
            <w:pPr>
              <w:pStyle w:val="TableParagraph"/>
              <w:spacing w:before="7"/>
              <w:jc w:val="left"/>
              <w:rPr>
                <w:rFonts w:ascii="黑体"/>
                <w:sz w:val="25"/>
              </w:rPr>
            </w:pPr>
          </w:p>
          <w:p>
            <w:pPr>
              <w:pStyle w:val="TableParagraph"/>
              <w:ind w:left="444"/>
              <w:jc w:val="left"/>
              <w:rPr>
                <w:sz w:val="18"/>
              </w:rPr>
            </w:pPr>
            <w:r>
              <w:rPr>
                <w:sz w:val="18"/>
              </w:rPr>
              <w:t>6.2.12</w:t>
            </w:r>
          </w:p>
        </w:tc>
      </w:tr>
      <w:tr>
        <w:tblPrEx>
          <w:tblW w:w="0" w:type="auto"/>
          <w:jc w:val="left"/>
          <w:tblInd w:w="296" w:type="dxa"/>
          <w:tblLayout w:type="fixed"/>
          <w:tblCellMar>
            <w:top w:w="0" w:type="dxa"/>
            <w:left w:w="0" w:type="dxa"/>
            <w:bottom w:w="0" w:type="dxa"/>
            <w:right w:w="0" w:type="dxa"/>
          </w:tblCellMar>
          <w:tblLook w:val="01E0"/>
        </w:tblPrEx>
        <w:trPr>
          <w:trHeight w:val="391"/>
          <w:jc w:val="left"/>
        </w:trPr>
        <w:tc>
          <w:tcPr>
            <w:tcW w:w="760" w:type="dxa"/>
            <w:vMerge/>
            <w:tcBorders>
              <w:top w:val="nil"/>
              <w:bottom w:val="single" w:sz="4" w:space="0" w:color="000000"/>
              <w:right w:val="single" w:sz="4" w:space="0" w:color="000000"/>
            </w:tcBorders>
          </w:tcPr>
          <w:p>
            <w:pPr>
              <w:rPr>
                <w:sz w:val="2"/>
                <w:szCs w:val="2"/>
              </w:rPr>
            </w:pPr>
          </w:p>
        </w:tc>
        <w:tc>
          <w:tcPr>
            <w:tcW w:w="1103" w:type="dxa"/>
            <w:vMerge/>
            <w:tcBorders>
              <w:top w:val="nil"/>
              <w:left w:val="single" w:sz="4" w:space="0" w:color="000000"/>
              <w:bottom w:val="single" w:sz="4" w:space="0" w:color="000000"/>
              <w:right w:val="single" w:sz="4" w:space="0" w:color="000000"/>
            </w:tcBorders>
          </w:tcPr>
          <w:p>
            <w:pPr>
              <w:rPr>
                <w:sz w:val="2"/>
                <w:szCs w:val="2"/>
              </w:rPr>
            </w:pPr>
          </w:p>
        </w:tc>
        <w:tc>
          <w:tcPr>
            <w:tcW w:w="1592" w:type="dxa"/>
            <w:vMerge/>
            <w:tcBorders>
              <w:top w:val="nil"/>
              <w:left w:val="single" w:sz="4" w:space="0" w:color="000000"/>
              <w:bottom w:val="single" w:sz="4" w:space="0" w:color="000000"/>
              <w:right w:val="single" w:sz="4" w:space="0" w:color="000000"/>
            </w:tcBorders>
          </w:tcPr>
          <w:p>
            <w:pPr>
              <w:rPr>
                <w:sz w:val="2"/>
                <w:szCs w:val="2"/>
              </w:rPr>
            </w:pP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9"/>
              <w:rPr>
                <w:sz w:val="18"/>
              </w:rPr>
            </w:pPr>
            <w:r>
              <w:rPr>
                <w:spacing w:val="-9"/>
                <w:sz w:val="18"/>
              </w:rPr>
              <w:t>终凝：早强型-</w:t>
            </w:r>
            <w:r>
              <w:rPr>
                <w:sz w:val="18"/>
              </w:rPr>
              <w:t xml:space="preserve">90 min～+60 </w:t>
            </w:r>
            <w:r>
              <w:rPr>
                <w:spacing w:val="-15"/>
                <w:sz w:val="18"/>
              </w:rPr>
              <w:t>min</w:t>
            </w:r>
            <w:r>
              <w:rPr>
                <w:spacing w:val="-4"/>
                <w:sz w:val="18"/>
              </w:rPr>
              <w:t>，标准型-</w:t>
            </w:r>
            <w:r>
              <w:rPr>
                <w:sz w:val="18"/>
              </w:rPr>
              <w:t>90 min～+120 min</w:t>
            </w:r>
          </w:p>
        </w:tc>
        <w:tc>
          <w:tcPr>
            <w:tcW w:w="1424" w:type="dxa"/>
            <w:vMerge/>
            <w:tcBorders>
              <w:top w:val="nil"/>
              <w:left w:val="single" w:sz="4" w:space="0" w:color="000000"/>
              <w:bottom w:val="single" w:sz="4" w:space="0" w:color="000000"/>
            </w:tcBorders>
          </w:tcPr>
          <w:p>
            <w:pPr>
              <w:rPr>
                <w:sz w:val="2"/>
                <w:szCs w:val="2"/>
              </w:rPr>
            </w:pPr>
          </w:p>
        </w:tc>
      </w:tr>
      <w:tr>
        <w:tblPrEx>
          <w:tblW w:w="0" w:type="auto"/>
          <w:jc w:val="left"/>
          <w:tblInd w:w="296" w:type="dxa"/>
          <w:tblLayout w:type="fixed"/>
          <w:tblCellMar>
            <w:top w:w="0" w:type="dxa"/>
            <w:left w:w="0" w:type="dxa"/>
            <w:bottom w:w="0" w:type="dxa"/>
            <w:right w:w="0" w:type="dxa"/>
          </w:tblCellMar>
          <w:tblLook w:val="01E0"/>
        </w:tblPrEx>
        <w:trPr>
          <w:trHeight w:val="488"/>
          <w:jc w:val="left"/>
        </w:trPr>
        <w:tc>
          <w:tcPr>
            <w:tcW w:w="760" w:type="dxa"/>
            <w:tcBorders>
              <w:top w:val="single" w:sz="4" w:space="0" w:color="000000"/>
              <w:bottom w:val="single" w:sz="4" w:space="0" w:color="000000"/>
              <w:right w:val="single" w:sz="4" w:space="0" w:color="000000"/>
            </w:tcBorders>
          </w:tcPr>
          <w:p>
            <w:pPr>
              <w:pStyle w:val="TableParagraph"/>
              <w:spacing w:before="129"/>
              <w:ind w:left="15"/>
              <w:rPr>
                <w:sz w:val="18"/>
              </w:rPr>
            </w:pPr>
            <w:r>
              <w:rPr>
                <w:sz w:val="18"/>
              </w:rPr>
              <w:t>5</w:t>
            </w:r>
          </w:p>
        </w:tc>
        <w:tc>
          <w:tcPr>
            <w:tcW w:w="1103" w:type="dxa"/>
            <w:vMerge/>
            <w:tcBorders>
              <w:top w:val="nil"/>
              <w:left w:val="single" w:sz="4" w:space="0" w:color="000000"/>
              <w:bottom w:val="single" w:sz="4" w:space="0" w:color="000000"/>
              <w:right w:val="single" w:sz="4" w:space="0" w:color="000000"/>
            </w:tcBorders>
          </w:tcPr>
          <w:p>
            <w:pPr>
              <w:rPr>
                <w:sz w:val="2"/>
                <w:szCs w:val="2"/>
              </w:rPr>
            </w:pPr>
          </w:p>
        </w:tc>
        <w:tc>
          <w:tcPr>
            <w:tcW w:w="1592" w:type="dxa"/>
            <w:tcBorders>
              <w:top w:val="single" w:sz="4" w:space="0" w:color="000000"/>
              <w:left w:val="single" w:sz="4" w:space="0" w:color="000000"/>
              <w:bottom w:val="single" w:sz="4" w:space="0" w:color="000000"/>
              <w:right w:val="single" w:sz="4" w:space="0" w:color="000000"/>
            </w:tcBorders>
          </w:tcPr>
          <w:p>
            <w:pPr>
              <w:pStyle w:val="TableParagraph"/>
              <w:spacing w:before="7" w:line="230" w:lineRule="atLeast"/>
              <w:ind w:left="620" w:right="59" w:hanging="540"/>
              <w:jc w:val="left"/>
              <w:rPr>
                <w:sz w:val="18"/>
              </w:rPr>
            </w:pPr>
            <w:r>
              <w:rPr>
                <w:spacing w:val="-12"/>
                <w:sz w:val="18"/>
              </w:rPr>
              <w:t xml:space="preserve">坍落度 </w:t>
            </w:r>
            <w:r>
              <w:rPr>
                <w:sz w:val="18"/>
              </w:rPr>
              <w:t>1 h</w:t>
            </w:r>
            <w:r>
              <w:rPr>
                <w:spacing w:val="-16"/>
                <w:sz w:val="18"/>
              </w:rPr>
              <w:t xml:space="preserve"> 经时变</w:t>
            </w:r>
            <w:r>
              <w:rPr>
                <w:sz w:val="18"/>
              </w:rPr>
              <w:t>化量</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129"/>
              <w:ind w:left="16"/>
              <w:rPr>
                <w:sz w:val="18"/>
              </w:rPr>
            </w:pPr>
            <w:r>
              <w:rPr>
                <w:sz w:val="18"/>
              </w:rPr>
              <w:t>标准型≤80 mm，缓凝型≤60 mm</w:t>
            </w:r>
          </w:p>
        </w:tc>
        <w:tc>
          <w:tcPr>
            <w:tcW w:w="1424" w:type="dxa"/>
            <w:tcBorders>
              <w:top w:val="single" w:sz="4" w:space="0" w:color="000000"/>
              <w:left w:val="single" w:sz="4" w:space="0" w:color="000000"/>
              <w:bottom w:val="single" w:sz="4" w:space="0" w:color="000000"/>
            </w:tcBorders>
          </w:tcPr>
          <w:p>
            <w:pPr>
              <w:pStyle w:val="TableParagraph"/>
              <w:spacing w:before="129"/>
              <w:ind w:left="332" w:right="316"/>
              <w:rPr>
                <w:sz w:val="18"/>
              </w:rPr>
            </w:pPr>
            <w:r>
              <w:rPr>
                <w:sz w:val="18"/>
              </w:rPr>
              <w:t>6.2.7</w:t>
            </w:r>
          </w:p>
        </w:tc>
      </w:tr>
      <w:tr>
        <w:tblPrEx>
          <w:tblW w:w="0" w:type="auto"/>
          <w:jc w:val="left"/>
          <w:tblInd w:w="296" w:type="dxa"/>
          <w:tblLayout w:type="fixed"/>
          <w:tblCellMar>
            <w:top w:w="0" w:type="dxa"/>
            <w:left w:w="0" w:type="dxa"/>
            <w:bottom w:w="0" w:type="dxa"/>
            <w:right w:w="0" w:type="dxa"/>
          </w:tblCellMar>
          <w:tblLook w:val="01E0"/>
        </w:tblPrEx>
        <w:trPr>
          <w:trHeight w:val="386"/>
          <w:jc w:val="left"/>
        </w:trPr>
        <w:tc>
          <w:tcPr>
            <w:tcW w:w="760" w:type="dxa"/>
            <w:vMerge w:val="restart"/>
            <w:tcBorders>
              <w:top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15"/>
              <w:rPr>
                <w:sz w:val="18"/>
              </w:rPr>
            </w:pPr>
            <w:r>
              <w:rPr>
                <w:sz w:val="18"/>
              </w:rPr>
              <w:t>6</w:t>
            </w:r>
          </w:p>
        </w:tc>
        <w:tc>
          <w:tcPr>
            <w:tcW w:w="1103" w:type="dxa"/>
            <w:vMerge w:val="restart"/>
            <w:tcBorders>
              <w:top w:val="single" w:sz="4" w:space="0" w:color="000000"/>
              <w:left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7"/>
              </w:rPr>
            </w:pPr>
          </w:p>
          <w:p>
            <w:pPr>
              <w:pStyle w:val="TableParagraph"/>
              <w:spacing w:line="242" w:lineRule="auto"/>
              <w:ind w:left="285" w:right="265" w:hanging="3"/>
              <w:rPr>
                <w:sz w:val="18"/>
              </w:rPr>
            </w:pPr>
            <w:r>
              <w:rPr>
                <w:sz w:val="18"/>
              </w:rPr>
              <w:t>硬 化 混凝土性能</w:t>
            </w:r>
          </w:p>
        </w:tc>
        <w:tc>
          <w:tcPr>
            <w:tcW w:w="1592" w:type="dxa"/>
            <w:vMerge w:val="restart"/>
            <w:tcBorders>
              <w:top w:val="single" w:sz="4" w:space="0" w:color="000000"/>
              <w:left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351"/>
              <w:jc w:val="left"/>
              <w:rPr>
                <w:sz w:val="18"/>
              </w:rPr>
            </w:pPr>
            <w:r>
              <w:rPr>
                <w:sz w:val="18"/>
              </w:rPr>
              <w:t>抗压强度比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7"/>
              <w:rPr>
                <w:sz w:val="18"/>
              </w:rPr>
            </w:pPr>
            <w:r>
              <w:rPr>
                <w:sz w:val="18"/>
              </w:rPr>
              <w:t>1 d：早强型≥185%，标准型≥175%</w:t>
            </w:r>
          </w:p>
        </w:tc>
        <w:tc>
          <w:tcPr>
            <w:tcW w:w="1424" w:type="dxa"/>
            <w:vMerge w:val="restart"/>
            <w:tcBorders>
              <w:top w:val="single" w:sz="4" w:space="0" w:color="000000"/>
              <w:lef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444"/>
              <w:jc w:val="left"/>
              <w:rPr>
                <w:sz w:val="18"/>
              </w:rPr>
            </w:pPr>
            <w:r>
              <w:rPr>
                <w:sz w:val="18"/>
              </w:rPr>
              <w:t>6.2.13</w:t>
            </w:r>
          </w:p>
        </w:tc>
      </w:tr>
      <w:tr>
        <w:tblPrEx>
          <w:tblW w:w="0" w:type="auto"/>
          <w:jc w:val="left"/>
          <w:tblInd w:w="296" w:type="dxa"/>
          <w:tblLayout w:type="fixed"/>
          <w:tblCellMar>
            <w:top w:w="0" w:type="dxa"/>
            <w:left w:w="0" w:type="dxa"/>
            <w:bottom w:w="0" w:type="dxa"/>
            <w:right w:w="0" w:type="dxa"/>
          </w:tblCellMar>
          <w:tblLook w:val="01E0"/>
        </w:tblPrEx>
        <w:trPr>
          <w:trHeight w:val="380"/>
          <w:jc w:val="left"/>
        </w:trPr>
        <w:tc>
          <w:tcPr>
            <w:tcW w:w="760" w:type="dxa"/>
            <w:vMerge/>
            <w:tcBorders>
              <w:top w:val="nil"/>
              <w:right w:val="single" w:sz="4" w:space="0" w:color="000000"/>
            </w:tcBorders>
          </w:tcPr>
          <w:p>
            <w:pPr>
              <w:rPr>
                <w:sz w:val="2"/>
                <w:szCs w:val="2"/>
              </w:rPr>
            </w:pPr>
          </w:p>
        </w:tc>
        <w:tc>
          <w:tcPr>
            <w:tcW w:w="1103" w:type="dxa"/>
            <w:vMerge/>
            <w:tcBorders>
              <w:top w:val="nil"/>
              <w:left w:val="single" w:sz="4" w:space="0" w:color="000000"/>
              <w:right w:val="single" w:sz="4" w:space="0" w:color="000000"/>
            </w:tcBorders>
          </w:tcPr>
          <w:p>
            <w:pPr>
              <w:rPr>
                <w:sz w:val="2"/>
                <w:szCs w:val="2"/>
              </w:rPr>
            </w:pPr>
          </w:p>
        </w:tc>
        <w:tc>
          <w:tcPr>
            <w:tcW w:w="1592" w:type="dxa"/>
            <w:vMerge/>
            <w:tcBorders>
              <w:top w:val="nil"/>
              <w:left w:val="single" w:sz="4" w:space="0" w:color="000000"/>
              <w:right w:val="single" w:sz="4" w:space="0" w:color="000000"/>
            </w:tcBorders>
          </w:tcPr>
          <w:p>
            <w:pPr>
              <w:rPr>
                <w:sz w:val="2"/>
                <w:szCs w:val="2"/>
              </w:rPr>
            </w:pP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6"/>
              <w:ind w:left="17"/>
              <w:rPr>
                <w:sz w:val="18"/>
              </w:rPr>
            </w:pPr>
            <w:r>
              <w:rPr>
                <w:sz w:val="18"/>
              </w:rPr>
              <w:t>3 d：早强型≥175%，标准型≥165%</w:t>
            </w:r>
          </w:p>
        </w:tc>
        <w:tc>
          <w:tcPr>
            <w:tcW w:w="1424" w:type="dxa"/>
            <w:vMerge/>
            <w:tcBorders>
              <w:top w:val="nil"/>
              <w:left w:val="single" w:sz="4" w:space="0" w:color="000000"/>
            </w:tcBorders>
          </w:tcPr>
          <w:p>
            <w:pPr>
              <w:rPr>
                <w:sz w:val="2"/>
                <w:szCs w:val="2"/>
              </w:rPr>
            </w:pPr>
          </w:p>
        </w:tc>
      </w:tr>
      <w:tr>
        <w:tblPrEx>
          <w:tblW w:w="0" w:type="auto"/>
          <w:jc w:val="left"/>
          <w:tblInd w:w="296" w:type="dxa"/>
          <w:tblLayout w:type="fixed"/>
          <w:tblCellMar>
            <w:top w:w="0" w:type="dxa"/>
            <w:left w:w="0" w:type="dxa"/>
            <w:bottom w:w="0" w:type="dxa"/>
            <w:right w:w="0" w:type="dxa"/>
          </w:tblCellMar>
          <w:tblLook w:val="01E0"/>
        </w:tblPrEx>
        <w:trPr>
          <w:trHeight w:val="380"/>
          <w:jc w:val="left"/>
        </w:trPr>
        <w:tc>
          <w:tcPr>
            <w:tcW w:w="760" w:type="dxa"/>
            <w:vMerge/>
            <w:tcBorders>
              <w:top w:val="nil"/>
              <w:right w:val="single" w:sz="4" w:space="0" w:color="000000"/>
            </w:tcBorders>
          </w:tcPr>
          <w:p>
            <w:pPr>
              <w:rPr>
                <w:sz w:val="2"/>
                <w:szCs w:val="2"/>
              </w:rPr>
            </w:pPr>
          </w:p>
        </w:tc>
        <w:tc>
          <w:tcPr>
            <w:tcW w:w="1103" w:type="dxa"/>
            <w:vMerge/>
            <w:tcBorders>
              <w:top w:val="nil"/>
              <w:left w:val="single" w:sz="4" w:space="0" w:color="000000"/>
              <w:right w:val="single" w:sz="4" w:space="0" w:color="000000"/>
            </w:tcBorders>
          </w:tcPr>
          <w:p>
            <w:pPr>
              <w:rPr>
                <w:sz w:val="2"/>
                <w:szCs w:val="2"/>
              </w:rPr>
            </w:pPr>
          </w:p>
        </w:tc>
        <w:tc>
          <w:tcPr>
            <w:tcW w:w="1592" w:type="dxa"/>
            <w:vMerge/>
            <w:tcBorders>
              <w:top w:val="nil"/>
              <w:left w:val="single" w:sz="4" w:space="0" w:color="000000"/>
              <w:right w:val="single" w:sz="4" w:space="0" w:color="000000"/>
            </w:tcBorders>
          </w:tcPr>
          <w:p>
            <w:pPr>
              <w:rPr>
                <w:sz w:val="2"/>
                <w:szCs w:val="2"/>
              </w:rPr>
            </w:pP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6"/>
              <w:ind w:left="19"/>
              <w:rPr>
                <w:sz w:val="18"/>
              </w:rPr>
            </w:pPr>
            <w:r>
              <w:rPr>
                <w:sz w:val="18"/>
              </w:rPr>
              <w:t>7 d：早强型≥150%，标准型≥155%，缓凝型≥145%</w:t>
            </w:r>
          </w:p>
        </w:tc>
        <w:tc>
          <w:tcPr>
            <w:tcW w:w="1424" w:type="dxa"/>
            <w:vMerge/>
            <w:tcBorders>
              <w:top w:val="nil"/>
              <w:left w:val="single" w:sz="4" w:space="0" w:color="000000"/>
            </w:tcBorders>
          </w:tcPr>
          <w:p>
            <w:pPr>
              <w:rPr>
                <w:sz w:val="2"/>
                <w:szCs w:val="2"/>
              </w:rPr>
            </w:pPr>
          </w:p>
        </w:tc>
      </w:tr>
      <w:tr>
        <w:tblPrEx>
          <w:tblW w:w="0" w:type="auto"/>
          <w:jc w:val="left"/>
          <w:tblInd w:w="296" w:type="dxa"/>
          <w:tblLayout w:type="fixed"/>
          <w:tblCellMar>
            <w:top w:w="0" w:type="dxa"/>
            <w:left w:w="0" w:type="dxa"/>
            <w:bottom w:w="0" w:type="dxa"/>
            <w:right w:w="0" w:type="dxa"/>
          </w:tblCellMar>
          <w:tblLook w:val="01E0"/>
        </w:tblPrEx>
        <w:trPr>
          <w:trHeight w:val="385"/>
          <w:jc w:val="left"/>
        </w:trPr>
        <w:tc>
          <w:tcPr>
            <w:tcW w:w="760" w:type="dxa"/>
            <w:vMerge/>
            <w:tcBorders>
              <w:top w:val="nil"/>
              <w:right w:val="single" w:sz="4" w:space="0" w:color="000000"/>
            </w:tcBorders>
          </w:tcPr>
          <w:p>
            <w:pPr>
              <w:rPr>
                <w:sz w:val="2"/>
                <w:szCs w:val="2"/>
              </w:rPr>
            </w:pPr>
          </w:p>
        </w:tc>
        <w:tc>
          <w:tcPr>
            <w:tcW w:w="1103" w:type="dxa"/>
            <w:vMerge/>
            <w:tcBorders>
              <w:top w:val="nil"/>
              <w:left w:val="single" w:sz="4" w:space="0" w:color="000000"/>
              <w:right w:val="single" w:sz="4" w:space="0" w:color="000000"/>
            </w:tcBorders>
          </w:tcPr>
          <w:p>
            <w:pPr>
              <w:rPr>
                <w:sz w:val="2"/>
                <w:szCs w:val="2"/>
              </w:rPr>
            </w:pPr>
          </w:p>
        </w:tc>
        <w:tc>
          <w:tcPr>
            <w:tcW w:w="1592" w:type="dxa"/>
            <w:vMerge/>
            <w:tcBorders>
              <w:top w:val="nil"/>
              <w:left w:val="single" w:sz="4" w:space="0" w:color="000000"/>
              <w:right w:val="single" w:sz="4" w:space="0" w:color="000000"/>
            </w:tcBorders>
          </w:tcPr>
          <w:p>
            <w:pPr>
              <w:rPr>
                <w:sz w:val="2"/>
                <w:szCs w:val="2"/>
              </w:rPr>
            </w:pPr>
          </w:p>
        </w:tc>
        <w:tc>
          <w:tcPr>
            <w:tcW w:w="4699" w:type="dxa"/>
            <w:tcBorders>
              <w:top w:val="single" w:sz="4" w:space="0" w:color="000000"/>
              <w:left w:val="single" w:sz="4" w:space="0" w:color="000000"/>
              <w:right w:val="single" w:sz="4" w:space="0" w:color="000000"/>
            </w:tcBorders>
          </w:tcPr>
          <w:p>
            <w:pPr>
              <w:pStyle w:val="TableParagraph"/>
              <w:spacing w:before="76"/>
              <w:ind w:left="17"/>
              <w:rPr>
                <w:sz w:val="18"/>
              </w:rPr>
            </w:pPr>
            <w:r>
              <w:rPr>
                <w:sz w:val="18"/>
              </w:rPr>
              <w:t>28 d：早强型≥135%，标准型≥145%，缓凝型≥135%</w:t>
            </w:r>
          </w:p>
        </w:tc>
        <w:tc>
          <w:tcPr>
            <w:tcW w:w="1424" w:type="dxa"/>
            <w:vMerge/>
            <w:tcBorders>
              <w:top w:val="nil"/>
              <w:left w:val="single" w:sz="4" w:space="0" w:color="000000"/>
            </w:tcBorders>
          </w:tcPr>
          <w:p>
            <w:pPr>
              <w:rPr>
                <w:sz w:val="2"/>
                <w:szCs w:val="2"/>
              </w:rPr>
            </w:pPr>
          </w:p>
        </w:tc>
      </w:tr>
    </w:tbl>
    <w:p>
      <w:pPr>
        <w:spacing w:after="0"/>
        <w:rPr>
          <w:sz w:val="2"/>
          <w:szCs w:val="2"/>
        </w:rPr>
        <w:sectPr>
          <w:footerReference w:type="even" r:id="rId13"/>
          <w:footerReference w:type="default" r:id="rId14"/>
          <w:pgSz w:w="11910" w:h="16840"/>
          <w:pgMar w:top="1520" w:right="820" w:bottom="1040" w:left="1020" w:header="0" w:footer="1092"/>
          <w:pgNumType w:start="4"/>
          <w:cols w:space="708"/>
        </w:sectPr>
      </w:pPr>
    </w:p>
    <w:p>
      <w:pPr>
        <w:pStyle w:val="BodyText"/>
        <w:spacing w:before="57"/>
        <w:ind w:left="82"/>
        <w:jc w:val="center"/>
      </w:pPr>
      <w:r>
        <w:rPr>
          <w:rFonts w:ascii="黑体" w:eastAsia="黑体" w:hint="eastAsia"/>
        </w:rPr>
        <w:t>表2 高性能减水剂应用性能要求</w:t>
      </w:r>
      <w:r>
        <w:t>（续）</w:t>
      </w:r>
    </w:p>
    <w:p>
      <w:pPr>
        <w:pStyle w:val="BodyText"/>
        <w:spacing w:before="10"/>
        <w:rPr>
          <w:sz w:val="13"/>
        </w:rPr>
      </w:pPr>
    </w:p>
    <w:tbl>
      <w:tblPr>
        <w:tblStyle w:val="TableNormal4"/>
        <w:tblW w:w="0" w:type="auto"/>
        <w:jc w:val="left"/>
        <w:tblInd w:w="2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60"/>
        <w:gridCol w:w="1103"/>
        <w:gridCol w:w="1592"/>
        <w:gridCol w:w="4699"/>
        <w:gridCol w:w="1424"/>
      </w:tblGrid>
      <w:tr>
        <w:tblPrEx>
          <w:tblW w:w="0" w:type="auto"/>
          <w:jc w:val="left"/>
          <w:tblInd w:w="2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760" w:type="dxa"/>
            <w:tcBorders>
              <w:bottom w:val="single" w:sz="4" w:space="0" w:color="000000"/>
              <w:right w:val="single" w:sz="4" w:space="0" w:color="000000"/>
            </w:tcBorders>
          </w:tcPr>
          <w:p>
            <w:pPr>
              <w:pStyle w:val="TableParagraph"/>
              <w:spacing w:before="80"/>
              <w:ind w:left="178" w:right="167"/>
              <w:rPr>
                <w:sz w:val="18"/>
              </w:rPr>
            </w:pPr>
            <w:r>
              <w:rPr>
                <w:sz w:val="18"/>
              </w:rPr>
              <w:t>序号</w:t>
            </w:r>
          </w:p>
        </w:tc>
        <w:tc>
          <w:tcPr>
            <w:tcW w:w="1103" w:type="dxa"/>
            <w:tcBorders>
              <w:left w:val="single" w:sz="4" w:space="0" w:color="000000"/>
              <w:bottom w:val="single" w:sz="4" w:space="0" w:color="000000"/>
              <w:right w:val="single" w:sz="4" w:space="0" w:color="000000"/>
            </w:tcBorders>
          </w:tcPr>
          <w:p>
            <w:pPr>
              <w:pStyle w:val="TableParagraph"/>
              <w:spacing w:before="80"/>
              <w:ind w:left="374"/>
              <w:jc w:val="left"/>
              <w:rPr>
                <w:sz w:val="18"/>
              </w:rPr>
            </w:pPr>
            <w:r>
              <w:rPr>
                <w:sz w:val="18"/>
              </w:rPr>
              <w:t>类别</w:t>
            </w:r>
          </w:p>
        </w:tc>
        <w:tc>
          <w:tcPr>
            <w:tcW w:w="1592" w:type="dxa"/>
            <w:tcBorders>
              <w:left w:val="single" w:sz="4" w:space="0" w:color="000000"/>
              <w:bottom w:val="single" w:sz="4" w:space="0" w:color="000000"/>
              <w:right w:val="single" w:sz="4" w:space="0" w:color="000000"/>
            </w:tcBorders>
          </w:tcPr>
          <w:p>
            <w:pPr>
              <w:pStyle w:val="TableParagraph"/>
              <w:spacing w:before="80"/>
              <w:ind w:left="420" w:right="402"/>
              <w:rPr>
                <w:sz w:val="18"/>
              </w:rPr>
            </w:pPr>
            <w:r>
              <w:rPr>
                <w:sz w:val="18"/>
              </w:rPr>
              <w:t>项 目</w:t>
            </w:r>
          </w:p>
        </w:tc>
        <w:tc>
          <w:tcPr>
            <w:tcW w:w="4699" w:type="dxa"/>
            <w:tcBorders>
              <w:left w:val="single" w:sz="4" w:space="0" w:color="000000"/>
              <w:bottom w:val="single" w:sz="4" w:space="0" w:color="000000"/>
              <w:right w:val="single" w:sz="4" w:space="0" w:color="000000"/>
            </w:tcBorders>
          </w:tcPr>
          <w:p>
            <w:pPr>
              <w:pStyle w:val="TableParagraph"/>
              <w:spacing w:before="80"/>
              <w:ind w:left="15"/>
              <w:rPr>
                <w:sz w:val="18"/>
              </w:rPr>
            </w:pPr>
            <w:r>
              <w:rPr>
                <w:sz w:val="18"/>
              </w:rPr>
              <w:t>要求</w:t>
            </w:r>
          </w:p>
        </w:tc>
        <w:tc>
          <w:tcPr>
            <w:tcW w:w="1424" w:type="dxa"/>
            <w:tcBorders>
              <w:left w:val="single" w:sz="4" w:space="0" w:color="000000"/>
              <w:bottom w:val="single" w:sz="4" w:space="0" w:color="000000"/>
            </w:tcBorders>
          </w:tcPr>
          <w:p>
            <w:pPr>
              <w:pStyle w:val="TableParagraph"/>
              <w:spacing w:before="80"/>
              <w:ind w:left="333" w:right="316"/>
              <w:rPr>
                <w:sz w:val="18"/>
              </w:rPr>
            </w:pPr>
            <w:r>
              <w:rPr>
                <w:sz w:val="18"/>
              </w:rPr>
              <w:t>试验方法</w:t>
            </w:r>
          </w:p>
        </w:tc>
      </w:tr>
      <w:tr>
        <w:tblPrEx>
          <w:tblW w:w="0" w:type="auto"/>
          <w:jc w:val="left"/>
          <w:tblInd w:w="296" w:type="dxa"/>
          <w:tblLayout w:type="fixed"/>
          <w:tblCellMar>
            <w:top w:w="0" w:type="dxa"/>
            <w:left w:w="0" w:type="dxa"/>
            <w:bottom w:w="0" w:type="dxa"/>
            <w:right w:w="0" w:type="dxa"/>
          </w:tblCellMar>
          <w:tblLook w:val="01E0"/>
        </w:tblPrEx>
        <w:trPr>
          <w:trHeight w:val="391"/>
          <w:jc w:val="left"/>
        </w:trPr>
        <w:tc>
          <w:tcPr>
            <w:tcW w:w="760" w:type="dxa"/>
            <w:tcBorders>
              <w:top w:val="single" w:sz="4" w:space="0" w:color="000000"/>
              <w:bottom w:val="single" w:sz="4" w:space="0" w:color="000000"/>
              <w:right w:val="single" w:sz="4" w:space="0" w:color="000000"/>
            </w:tcBorders>
          </w:tcPr>
          <w:p>
            <w:pPr>
              <w:pStyle w:val="TableParagraph"/>
              <w:spacing w:before="79"/>
              <w:ind w:left="15"/>
              <w:rPr>
                <w:sz w:val="18"/>
              </w:rPr>
            </w:pPr>
            <w:r>
              <w:rPr>
                <w:sz w:val="18"/>
              </w:rPr>
              <w:t>7</w:t>
            </w:r>
          </w:p>
        </w:tc>
        <w:tc>
          <w:tcPr>
            <w:tcW w:w="1103" w:type="dxa"/>
            <w:tcBorders>
              <w:top w:val="single" w:sz="4" w:space="0" w:color="000000"/>
              <w:left w:val="single" w:sz="4" w:space="0" w:color="000000"/>
              <w:bottom w:val="single" w:sz="4" w:space="0" w:color="000000"/>
              <w:right w:val="single" w:sz="4" w:space="0" w:color="000000"/>
            </w:tcBorders>
          </w:tcPr>
          <w:p>
            <w:pPr>
              <w:pStyle w:val="TableParagraph"/>
              <w:jc w:val="left"/>
              <w:rPr>
                <w:rFonts w:ascii="Times New Roman"/>
                <w:sz w:val="16"/>
              </w:rPr>
            </w:pPr>
          </w:p>
        </w:tc>
        <w:tc>
          <w:tcPr>
            <w:tcW w:w="1592" w:type="dxa"/>
            <w:tcBorders>
              <w:top w:val="single" w:sz="4" w:space="0" w:color="000000"/>
              <w:left w:val="single" w:sz="4" w:space="0" w:color="000000"/>
              <w:bottom w:val="single" w:sz="4" w:space="0" w:color="000000"/>
              <w:right w:val="single" w:sz="4" w:space="0" w:color="000000"/>
            </w:tcBorders>
          </w:tcPr>
          <w:p>
            <w:pPr>
              <w:pStyle w:val="TableParagraph"/>
              <w:spacing w:before="79"/>
              <w:ind w:left="420" w:right="402"/>
              <w:rPr>
                <w:sz w:val="18"/>
              </w:rPr>
            </w:pPr>
            <w:r>
              <w:rPr>
                <w:sz w:val="18"/>
              </w:rPr>
              <w:t>收缩率比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7"/>
              <w:rPr>
                <w:sz w:val="18"/>
              </w:rPr>
            </w:pPr>
            <w:r>
              <w:rPr>
                <w:sz w:val="18"/>
              </w:rPr>
              <w:t>≤110%</w:t>
            </w:r>
          </w:p>
        </w:tc>
        <w:tc>
          <w:tcPr>
            <w:tcW w:w="1424" w:type="dxa"/>
            <w:tcBorders>
              <w:top w:val="single" w:sz="4" w:space="0" w:color="000000"/>
              <w:left w:val="single" w:sz="4" w:space="0" w:color="000000"/>
              <w:bottom w:val="single" w:sz="4" w:space="0" w:color="000000"/>
            </w:tcBorders>
          </w:tcPr>
          <w:p>
            <w:pPr>
              <w:pStyle w:val="TableParagraph"/>
              <w:spacing w:before="79"/>
              <w:ind w:left="333" w:right="312"/>
              <w:rPr>
                <w:sz w:val="18"/>
              </w:rPr>
            </w:pPr>
            <w:r>
              <w:rPr>
                <w:sz w:val="18"/>
              </w:rPr>
              <w:t>6.2.15</w:t>
            </w:r>
          </w:p>
        </w:tc>
      </w:tr>
      <w:tr>
        <w:tblPrEx>
          <w:tblW w:w="0" w:type="auto"/>
          <w:jc w:val="left"/>
          <w:tblInd w:w="296" w:type="dxa"/>
          <w:tblLayout w:type="fixed"/>
          <w:tblCellMar>
            <w:top w:w="0" w:type="dxa"/>
            <w:left w:w="0" w:type="dxa"/>
            <w:bottom w:w="0" w:type="dxa"/>
            <w:right w:w="0" w:type="dxa"/>
          </w:tblCellMar>
          <w:tblLook w:val="01E0"/>
        </w:tblPrEx>
        <w:trPr>
          <w:trHeight w:val="1247"/>
          <w:jc w:val="left"/>
        </w:trPr>
        <w:tc>
          <w:tcPr>
            <w:tcW w:w="9578" w:type="dxa"/>
            <w:gridSpan w:val="5"/>
            <w:tcBorders>
              <w:top w:val="single" w:sz="4" w:space="0" w:color="000000"/>
            </w:tcBorders>
          </w:tcPr>
          <w:p>
            <w:pPr>
              <w:pStyle w:val="TableParagraph"/>
              <w:spacing w:before="54"/>
              <w:ind w:left="328"/>
              <w:jc w:val="left"/>
              <w:rPr>
                <w:sz w:val="16"/>
              </w:rPr>
            </w:pPr>
            <w:r>
              <w:rPr>
                <w:rFonts w:ascii="黑体" w:eastAsia="黑体" w:hint="eastAsia"/>
                <w:sz w:val="16"/>
              </w:rPr>
              <w:t>注 1：</w:t>
            </w:r>
            <w:r>
              <w:rPr>
                <w:sz w:val="16"/>
              </w:rPr>
              <w:t>高性能减水剂检验采用基准混凝土I。</w:t>
            </w:r>
          </w:p>
          <w:p>
            <w:pPr>
              <w:pStyle w:val="TableParagraph"/>
              <w:spacing w:before="107" w:line="364" w:lineRule="auto"/>
              <w:ind w:left="748" w:right="-15" w:hanging="420"/>
              <w:jc w:val="left"/>
              <w:rPr>
                <w:sz w:val="16"/>
              </w:rPr>
            </w:pPr>
            <w:r>
              <w:rPr>
                <w:rFonts w:ascii="黑体" w:eastAsia="黑体" w:hAnsi="黑体" w:hint="eastAsia"/>
                <w:spacing w:val="-19"/>
                <w:sz w:val="16"/>
              </w:rPr>
              <w:t xml:space="preserve">注 </w:t>
            </w:r>
            <w:r>
              <w:rPr>
                <w:rFonts w:ascii="黑体" w:eastAsia="黑体" w:hAnsi="黑体" w:hint="eastAsia"/>
                <w:sz w:val="16"/>
              </w:rPr>
              <w:t>2：</w:t>
            </w:r>
            <w:r>
              <w:rPr>
                <w:spacing w:val="-18"/>
                <w:sz w:val="16"/>
              </w:rPr>
              <w:t xml:space="preserve">除“减水率”、“含气量”和“坍落度 </w:t>
            </w:r>
            <w:r>
              <w:rPr>
                <w:sz w:val="16"/>
              </w:rPr>
              <w:t>1</w:t>
            </w:r>
            <w:r>
              <w:rPr>
                <w:spacing w:val="4"/>
                <w:sz w:val="16"/>
              </w:rPr>
              <w:t xml:space="preserve"> </w:t>
            </w:r>
            <w:r>
              <w:rPr>
                <w:sz w:val="16"/>
              </w:rPr>
              <w:t>h</w:t>
            </w:r>
            <w:r>
              <w:rPr>
                <w:spacing w:val="-7"/>
                <w:sz w:val="16"/>
              </w:rPr>
              <w:t xml:space="preserve"> 经时变化量”外，表中所列其他数据为受检混凝土与基准混凝土对应性能指标的差值</w:t>
            </w:r>
            <w:r>
              <w:rPr>
                <w:spacing w:val="-14"/>
                <w:sz w:val="16"/>
              </w:rPr>
              <w:t xml:space="preserve">或比值。“含气量”和“坍落度 </w:t>
            </w:r>
            <w:r>
              <w:rPr>
                <w:sz w:val="16"/>
              </w:rPr>
              <w:t>1 h</w:t>
            </w:r>
            <w:r>
              <w:rPr>
                <w:spacing w:val="-7"/>
                <w:sz w:val="16"/>
              </w:rPr>
              <w:t xml:space="preserve"> 经时变化量”为受检混凝土性能指标。</w:t>
            </w:r>
          </w:p>
          <w:p>
            <w:pPr>
              <w:pStyle w:val="TableParagraph"/>
              <w:ind w:left="328"/>
              <w:jc w:val="left"/>
              <w:rPr>
                <w:sz w:val="16"/>
              </w:rPr>
            </w:pPr>
            <w:r>
              <w:rPr>
                <w:rFonts w:ascii="黑体" w:eastAsia="黑体" w:hAnsi="黑体" w:hint="eastAsia"/>
                <w:w w:val="100"/>
                <w:sz w:val="16"/>
              </w:rPr>
              <w:t>注</w:t>
            </w:r>
            <w:r>
              <w:rPr>
                <w:rFonts w:ascii="黑体" w:eastAsia="黑体" w:hAnsi="黑体" w:hint="eastAsia"/>
                <w:spacing w:val="-40"/>
                <w:sz w:val="16"/>
              </w:rPr>
              <w:t xml:space="preserve"> </w:t>
            </w:r>
            <w:r>
              <w:rPr>
                <w:rFonts w:ascii="黑体" w:eastAsia="黑体" w:hAnsi="黑体" w:hint="eastAsia"/>
                <w:spacing w:val="-2"/>
                <w:w w:val="100"/>
                <w:sz w:val="16"/>
              </w:rPr>
              <w:t>3</w:t>
            </w:r>
            <w:r>
              <w:rPr>
                <w:rFonts w:ascii="黑体" w:eastAsia="黑体" w:hAnsi="黑体" w:hint="eastAsia"/>
                <w:spacing w:val="-82"/>
                <w:w w:val="100"/>
                <w:sz w:val="16"/>
              </w:rPr>
              <w:t>：</w:t>
            </w:r>
            <w:r>
              <w:rPr>
                <w:spacing w:val="-6"/>
                <w:w w:val="100"/>
                <w:sz w:val="16"/>
              </w:rPr>
              <w:t>“凝结时间之差”中的“–”号表示受检混凝土比基准混凝土的凝结时间提前，“+”号表示凝结时间延缓。</w:t>
            </w:r>
          </w:p>
        </w:tc>
      </w:tr>
    </w:tbl>
    <w:p>
      <w:pPr>
        <w:pStyle w:val="BodyText"/>
        <w:spacing w:before="4"/>
        <w:rPr>
          <w:sz w:val="8"/>
        </w:rPr>
      </w:pPr>
    </w:p>
    <w:p>
      <w:pPr>
        <w:pStyle w:val="ListParagraph"/>
        <w:numPr>
          <w:ilvl w:val="2"/>
          <w:numId w:val="28"/>
        </w:numPr>
        <w:tabs>
          <w:tab w:val="left" w:pos="1133"/>
        </w:tabs>
        <w:spacing w:before="70" w:after="0" w:line="240" w:lineRule="auto"/>
        <w:ind w:left="1132" w:right="0" w:hanging="735"/>
        <w:jc w:val="left"/>
        <w:rPr>
          <w:rFonts w:ascii="黑体" w:eastAsia="黑体" w:hint="eastAsia"/>
          <w:sz w:val="21"/>
        </w:rPr>
      </w:pPr>
      <w:bookmarkStart w:id="44" w:name="5.2.2　高效减水剂"/>
      <w:bookmarkEnd w:id="44"/>
      <w:bookmarkStart w:id="45" w:name="_bookmark9"/>
      <w:bookmarkEnd w:id="45"/>
      <w:r>
        <w:rPr>
          <w:rFonts w:ascii="黑体" w:eastAsia="黑体" w:hint="eastAsia"/>
          <w:sz w:val="21"/>
        </w:rPr>
        <w:t>高效减水剂</w:t>
      </w:r>
    </w:p>
    <w:p>
      <w:pPr>
        <w:pStyle w:val="BodyText"/>
        <w:spacing w:before="6"/>
        <w:rPr>
          <w:rFonts w:ascii="黑体"/>
          <w:sz w:val="15"/>
        </w:rPr>
      </w:pPr>
    </w:p>
    <w:p>
      <w:pPr>
        <w:pStyle w:val="BodyText"/>
        <w:spacing w:before="1"/>
        <w:ind w:left="818"/>
      </w:pPr>
      <w:r>
        <w:t>高效减水剂的应用性能应符合表3的要求。</w:t>
      </w:r>
    </w:p>
    <w:p>
      <w:pPr>
        <w:pStyle w:val="BodyText"/>
        <w:spacing w:before="6"/>
        <w:rPr>
          <w:sz w:val="15"/>
        </w:rPr>
      </w:pPr>
    </w:p>
    <w:p>
      <w:pPr>
        <w:pStyle w:val="BodyText"/>
        <w:ind w:left="82"/>
        <w:jc w:val="center"/>
        <w:rPr>
          <w:rFonts w:ascii="黑体" w:eastAsia="黑体" w:hint="eastAsia"/>
        </w:rPr>
      </w:pPr>
      <w:r>
        <w:rPr>
          <w:rFonts w:ascii="黑体" w:eastAsia="黑体" w:hint="eastAsia"/>
        </w:rPr>
        <w:t>表 3 高效减水剂应用性能要求</w:t>
      </w:r>
    </w:p>
    <w:p>
      <w:pPr>
        <w:pStyle w:val="BodyText"/>
        <w:rPr>
          <w:rFonts w:ascii="黑体"/>
          <w:sz w:val="14"/>
        </w:rPr>
      </w:pPr>
    </w:p>
    <w:tbl>
      <w:tblPr>
        <w:tblStyle w:val="TableNormal4"/>
        <w:tblW w:w="0" w:type="auto"/>
        <w:jc w:val="left"/>
        <w:tblInd w:w="3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00"/>
        <w:gridCol w:w="1097"/>
        <w:gridCol w:w="1602"/>
        <w:gridCol w:w="4698"/>
        <w:gridCol w:w="1425"/>
      </w:tblGrid>
      <w:tr>
        <w:tblPrEx>
          <w:tblW w:w="0" w:type="auto"/>
          <w:jc w:val="left"/>
          <w:tblInd w:w="3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00" w:type="dxa"/>
            <w:tcBorders>
              <w:bottom w:val="single" w:sz="4" w:space="0" w:color="000000"/>
              <w:right w:val="single" w:sz="4" w:space="0" w:color="000000"/>
            </w:tcBorders>
          </w:tcPr>
          <w:p>
            <w:pPr>
              <w:pStyle w:val="TableParagraph"/>
              <w:spacing w:before="80"/>
              <w:ind w:left="100" w:right="85"/>
              <w:rPr>
                <w:sz w:val="18"/>
              </w:rPr>
            </w:pPr>
            <w:r>
              <w:rPr>
                <w:sz w:val="18"/>
              </w:rPr>
              <w:t>序号</w:t>
            </w:r>
          </w:p>
        </w:tc>
        <w:tc>
          <w:tcPr>
            <w:tcW w:w="1097" w:type="dxa"/>
            <w:tcBorders>
              <w:left w:val="single" w:sz="4" w:space="0" w:color="000000"/>
              <w:bottom w:val="single" w:sz="4" w:space="0" w:color="000000"/>
              <w:right w:val="single" w:sz="4" w:space="0" w:color="000000"/>
            </w:tcBorders>
          </w:tcPr>
          <w:p>
            <w:pPr>
              <w:pStyle w:val="TableParagraph"/>
              <w:spacing w:before="80"/>
              <w:ind w:left="372"/>
              <w:jc w:val="left"/>
              <w:rPr>
                <w:sz w:val="18"/>
              </w:rPr>
            </w:pPr>
            <w:r>
              <w:rPr>
                <w:sz w:val="18"/>
              </w:rPr>
              <w:t>类别</w:t>
            </w:r>
          </w:p>
        </w:tc>
        <w:tc>
          <w:tcPr>
            <w:tcW w:w="1602" w:type="dxa"/>
            <w:tcBorders>
              <w:left w:val="single" w:sz="4" w:space="0" w:color="000000"/>
              <w:bottom w:val="single" w:sz="4" w:space="0" w:color="000000"/>
              <w:right w:val="single" w:sz="4" w:space="0" w:color="000000"/>
            </w:tcBorders>
          </w:tcPr>
          <w:p>
            <w:pPr>
              <w:pStyle w:val="TableParagraph"/>
              <w:spacing w:before="80"/>
              <w:ind w:left="424" w:right="405"/>
              <w:rPr>
                <w:sz w:val="18"/>
              </w:rPr>
            </w:pPr>
            <w:r>
              <w:rPr>
                <w:sz w:val="18"/>
              </w:rPr>
              <w:t>项 目</w:t>
            </w:r>
          </w:p>
        </w:tc>
        <w:tc>
          <w:tcPr>
            <w:tcW w:w="4698" w:type="dxa"/>
            <w:tcBorders>
              <w:left w:val="single" w:sz="4" w:space="0" w:color="000000"/>
              <w:bottom w:val="single" w:sz="4" w:space="0" w:color="000000"/>
              <w:right w:val="single" w:sz="4" w:space="0" w:color="000000"/>
            </w:tcBorders>
          </w:tcPr>
          <w:p>
            <w:pPr>
              <w:pStyle w:val="TableParagraph"/>
              <w:spacing w:before="80"/>
              <w:ind w:left="262" w:right="243"/>
              <w:rPr>
                <w:sz w:val="18"/>
              </w:rPr>
            </w:pPr>
            <w:r>
              <w:rPr>
                <w:sz w:val="18"/>
              </w:rPr>
              <w:t>要求</w:t>
            </w:r>
          </w:p>
        </w:tc>
        <w:tc>
          <w:tcPr>
            <w:tcW w:w="1425" w:type="dxa"/>
            <w:tcBorders>
              <w:left w:val="single" w:sz="4" w:space="0" w:color="000000"/>
              <w:bottom w:val="single" w:sz="4" w:space="0" w:color="000000"/>
            </w:tcBorders>
          </w:tcPr>
          <w:p>
            <w:pPr>
              <w:pStyle w:val="TableParagraph"/>
              <w:spacing w:before="80"/>
              <w:ind w:left="335" w:right="314"/>
              <w:rPr>
                <w:sz w:val="18"/>
              </w:rPr>
            </w:pPr>
            <w:r>
              <w:rPr>
                <w:sz w:val="18"/>
              </w:rPr>
              <w:t>试验方法</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tcBorders>
              <w:top w:val="single" w:sz="4" w:space="0" w:color="000000"/>
              <w:bottom w:val="single" w:sz="4" w:space="0" w:color="000000"/>
              <w:right w:val="single" w:sz="4" w:space="0" w:color="000000"/>
            </w:tcBorders>
          </w:tcPr>
          <w:p>
            <w:pPr>
              <w:pStyle w:val="TableParagraph"/>
              <w:spacing w:before="80"/>
              <w:ind w:left="14"/>
              <w:rPr>
                <w:sz w:val="18"/>
              </w:rPr>
            </w:pPr>
            <w:r>
              <w:rPr>
                <w:sz w:val="18"/>
              </w:rPr>
              <w:t>1</w:t>
            </w:r>
          </w:p>
        </w:tc>
        <w:tc>
          <w:tcPr>
            <w:tcW w:w="1097"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4"/>
              </w:rPr>
            </w:pPr>
          </w:p>
          <w:p>
            <w:pPr>
              <w:pStyle w:val="TableParagraph"/>
              <w:spacing w:line="242" w:lineRule="auto"/>
              <w:ind w:left="281" w:right="263"/>
              <w:jc w:val="both"/>
              <w:rPr>
                <w:sz w:val="18"/>
              </w:rPr>
            </w:pPr>
            <w:r>
              <w:rPr>
                <w:sz w:val="18"/>
              </w:rPr>
              <w:t>混凝土拌合物性能</w:t>
            </w:r>
          </w:p>
        </w:tc>
        <w:tc>
          <w:tcPr>
            <w:tcW w:w="1602" w:type="dxa"/>
            <w:tcBorders>
              <w:top w:val="single" w:sz="4" w:space="0" w:color="000000"/>
              <w:left w:val="single" w:sz="4" w:space="0" w:color="000000"/>
              <w:bottom w:val="single" w:sz="4" w:space="0" w:color="000000"/>
              <w:right w:val="single" w:sz="4" w:space="0" w:color="000000"/>
            </w:tcBorders>
          </w:tcPr>
          <w:p>
            <w:pPr>
              <w:pStyle w:val="TableParagraph"/>
              <w:spacing w:before="80"/>
              <w:ind w:left="424" w:right="405"/>
              <w:rPr>
                <w:sz w:val="18"/>
              </w:rPr>
            </w:pPr>
            <w:r>
              <w:rPr>
                <w:sz w:val="18"/>
              </w:rPr>
              <w:t>减水率</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80"/>
              <w:ind w:left="262" w:right="245"/>
              <w:rPr>
                <w:sz w:val="18"/>
              </w:rPr>
            </w:pPr>
            <w:r>
              <w:rPr>
                <w:sz w:val="18"/>
              </w:rPr>
              <w:t>≥14%</w:t>
            </w:r>
          </w:p>
        </w:tc>
        <w:tc>
          <w:tcPr>
            <w:tcW w:w="1425" w:type="dxa"/>
            <w:tcBorders>
              <w:top w:val="single" w:sz="4" w:space="0" w:color="000000"/>
              <w:left w:val="single" w:sz="4" w:space="0" w:color="000000"/>
              <w:bottom w:val="single" w:sz="4" w:space="0" w:color="000000"/>
            </w:tcBorders>
          </w:tcPr>
          <w:p>
            <w:pPr>
              <w:pStyle w:val="TableParagraph"/>
              <w:spacing w:before="80"/>
              <w:ind w:left="333" w:right="314"/>
              <w:rPr>
                <w:sz w:val="18"/>
              </w:rPr>
            </w:pPr>
            <w:r>
              <w:rPr>
                <w:sz w:val="18"/>
              </w:rPr>
              <w:t>6.2.8</w:t>
            </w: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00" w:type="dxa"/>
            <w:tcBorders>
              <w:top w:val="single" w:sz="4" w:space="0" w:color="000000"/>
              <w:bottom w:val="single" w:sz="4" w:space="0" w:color="000000"/>
              <w:right w:val="single" w:sz="4" w:space="0" w:color="000000"/>
            </w:tcBorders>
          </w:tcPr>
          <w:p>
            <w:pPr>
              <w:pStyle w:val="TableParagraph"/>
              <w:spacing w:before="80"/>
              <w:ind w:left="14"/>
              <w:rPr>
                <w:sz w:val="18"/>
              </w:rPr>
            </w:pPr>
            <w:r>
              <w:rPr>
                <w:sz w:val="18"/>
              </w:rPr>
              <w:t>2</w:t>
            </w: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tcBorders>
              <w:top w:val="single" w:sz="4" w:space="0" w:color="000000"/>
              <w:left w:val="single" w:sz="4" w:space="0" w:color="000000"/>
              <w:bottom w:val="single" w:sz="4" w:space="0" w:color="000000"/>
              <w:right w:val="single" w:sz="4" w:space="0" w:color="000000"/>
            </w:tcBorders>
          </w:tcPr>
          <w:p>
            <w:pPr>
              <w:pStyle w:val="TableParagraph"/>
              <w:spacing w:before="80"/>
              <w:ind w:left="424" w:right="408"/>
              <w:rPr>
                <w:sz w:val="18"/>
              </w:rPr>
            </w:pPr>
            <w:r>
              <w:rPr>
                <w:sz w:val="18"/>
              </w:rPr>
              <w:t>泌水率比</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80"/>
              <w:ind w:left="262" w:right="244"/>
              <w:rPr>
                <w:sz w:val="18"/>
              </w:rPr>
            </w:pPr>
            <w:r>
              <w:rPr>
                <w:sz w:val="18"/>
              </w:rPr>
              <w:t>标准型≤60%，缓凝型≤70%</w:t>
            </w:r>
          </w:p>
        </w:tc>
        <w:tc>
          <w:tcPr>
            <w:tcW w:w="1425" w:type="dxa"/>
            <w:tcBorders>
              <w:top w:val="single" w:sz="4" w:space="0" w:color="000000"/>
              <w:left w:val="single" w:sz="4" w:space="0" w:color="000000"/>
              <w:bottom w:val="single" w:sz="4" w:space="0" w:color="000000"/>
            </w:tcBorders>
          </w:tcPr>
          <w:p>
            <w:pPr>
              <w:pStyle w:val="TableParagraph"/>
              <w:spacing w:before="80"/>
              <w:ind w:left="333" w:right="314"/>
              <w:rPr>
                <w:sz w:val="18"/>
              </w:rPr>
            </w:pPr>
            <w:r>
              <w:rPr>
                <w:sz w:val="18"/>
              </w:rPr>
              <w:t>6.2.9</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tcBorders>
              <w:top w:val="single" w:sz="4" w:space="0" w:color="000000"/>
              <w:bottom w:val="single" w:sz="4" w:space="0" w:color="000000"/>
              <w:right w:val="single" w:sz="4" w:space="0" w:color="000000"/>
            </w:tcBorders>
          </w:tcPr>
          <w:p>
            <w:pPr>
              <w:pStyle w:val="TableParagraph"/>
              <w:spacing w:before="79"/>
              <w:ind w:left="14"/>
              <w:rPr>
                <w:sz w:val="18"/>
              </w:rPr>
            </w:pPr>
            <w:r>
              <w:rPr>
                <w:sz w:val="18"/>
              </w:rPr>
              <w:t>3</w:t>
            </w: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tcBorders>
              <w:top w:val="single" w:sz="4" w:space="0" w:color="000000"/>
              <w:left w:val="single" w:sz="4" w:space="0" w:color="000000"/>
              <w:bottom w:val="single" w:sz="4" w:space="0" w:color="000000"/>
              <w:right w:val="single" w:sz="4" w:space="0" w:color="000000"/>
            </w:tcBorders>
          </w:tcPr>
          <w:p>
            <w:pPr>
              <w:pStyle w:val="TableParagraph"/>
              <w:spacing w:before="79"/>
              <w:ind w:left="424" w:right="405"/>
              <w:rPr>
                <w:sz w:val="18"/>
              </w:rPr>
            </w:pPr>
            <w:r>
              <w:rPr>
                <w:sz w:val="18"/>
              </w:rPr>
              <w:t>含气量</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79"/>
              <w:ind w:left="262" w:right="245"/>
              <w:rPr>
                <w:sz w:val="18"/>
              </w:rPr>
            </w:pPr>
            <w:r>
              <w:rPr>
                <w:sz w:val="18"/>
              </w:rPr>
              <w:t>标准型≤3.0%，缓凝型≤4.5%</w:t>
            </w:r>
          </w:p>
        </w:tc>
        <w:tc>
          <w:tcPr>
            <w:tcW w:w="1425" w:type="dxa"/>
            <w:tcBorders>
              <w:top w:val="single" w:sz="4" w:space="0" w:color="000000"/>
              <w:left w:val="single" w:sz="4" w:space="0" w:color="000000"/>
              <w:bottom w:val="single" w:sz="4" w:space="0" w:color="000000"/>
            </w:tcBorders>
          </w:tcPr>
          <w:p>
            <w:pPr>
              <w:pStyle w:val="TableParagraph"/>
              <w:spacing w:before="79"/>
              <w:ind w:left="334" w:right="314"/>
              <w:rPr>
                <w:sz w:val="18"/>
              </w:rPr>
            </w:pPr>
            <w:r>
              <w:rPr>
                <w:sz w:val="18"/>
              </w:rPr>
              <w:t>6.2.11</w:t>
            </w: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00" w:type="dxa"/>
            <w:vMerge w:val="restart"/>
            <w:tcBorders>
              <w:top w:val="single" w:sz="4" w:space="0" w:color="000000"/>
              <w:bottom w:val="single" w:sz="4" w:space="0" w:color="000000"/>
              <w:right w:val="single" w:sz="4" w:space="0" w:color="000000"/>
            </w:tcBorders>
          </w:tcPr>
          <w:p>
            <w:pPr>
              <w:pStyle w:val="TableParagraph"/>
              <w:spacing w:before="12"/>
              <w:jc w:val="left"/>
              <w:rPr>
                <w:rFonts w:ascii="黑体"/>
                <w:sz w:val="21"/>
              </w:rPr>
            </w:pPr>
          </w:p>
          <w:p>
            <w:pPr>
              <w:pStyle w:val="TableParagraph"/>
              <w:ind w:left="14"/>
              <w:rPr>
                <w:sz w:val="18"/>
              </w:rPr>
            </w:pPr>
            <w:r>
              <w:rPr>
                <w:sz w:val="18"/>
              </w:rPr>
              <w:t>4</w:t>
            </w: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
              <w:jc w:val="left"/>
              <w:rPr>
                <w:rFonts w:ascii="黑体"/>
                <w:sz w:val="21"/>
              </w:rPr>
            </w:pPr>
          </w:p>
          <w:p>
            <w:pPr>
              <w:pStyle w:val="TableParagraph"/>
              <w:ind w:left="264"/>
              <w:jc w:val="left"/>
              <w:rPr>
                <w:sz w:val="18"/>
              </w:rPr>
            </w:pPr>
            <w:r>
              <w:rPr>
                <w:sz w:val="18"/>
              </w:rPr>
              <w:t>凝结时间之差</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79"/>
              <w:ind w:left="262" w:right="245"/>
              <w:rPr>
                <w:sz w:val="18"/>
              </w:rPr>
            </w:pPr>
            <w:r>
              <w:rPr>
                <w:sz w:val="18"/>
              </w:rPr>
              <w:t>初凝：标准型-90 min～+120 min，缓凝型＞+90 min</w:t>
            </w:r>
          </w:p>
        </w:tc>
        <w:tc>
          <w:tcPr>
            <w:tcW w:w="1425" w:type="dxa"/>
            <w:vMerge w:val="restart"/>
            <w:tcBorders>
              <w:top w:val="single" w:sz="4" w:space="0" w:color="000000"/>
              <w:left w:val="single" w:sz="4" w:space="0" w:color="000000"/>
              <w:bottom w:val="single" w:sz="4" w:space="0" w:color="000000"/>
            </w:tcBorders>
          </w:tcPr>
          <w:p>
            <w:pPr>
              <w:pStyle w:val="TableParagraph"/>
              <w:spacing w:before="12"/>
              <w:jc w:val="left"/>
              <w:rPr>
                <w:rFonts w:ascii="黑体"/>
                <w:sz w:val="21"/>
              </w:rPr>
            </w:pPr>
          </w:p>
          <w:p>
            <w:pPr>
              <w:pStyle w:val="TableParagraph"/>
              <w:ind w:left="444"/>
              <w:jc w:val="left"/>
              <w:rPr>
                <w:sz w:val="18"/>
              </w:rPr>
            </w:pPr>
            <w:r>
              <w:rPr>
                <w:sz w:val="18"/>
              </w:rPr>
              <w:t>6.2.12</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vMerge/>
            <w:tcBorders>
              <w:top w:val="nil"/>
              <w:bottom w:val="single" w:sz="4" w:space="0" w:color="000000"/>
              <w:right w:val="single" w:sz="4" w:space="0" w:color="000000"/>
            </w:tcBorders>
          </w:tcPr>
          <w:p>
            <w:pPr>
              <w:rPr>
                <w:sz w:val="2"/>
                <w:szCs w:val="2"/>
              </w:rPr>
            </w:pP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vMerge/>
            <w:tcBorders>
              <w:top w:val="nil"/>
              <w:left w:val="single" w:sz="4" w:space="0" w:color="000000"/>
              <w:bottom w:val="single" w:sz="4" w:space="0" w:color="000000"/>
              <w:right w:val="single" w:sz="4" w:space="0" w:color="000000"/>
            </w:tcBorders>
          </w:tcPr>
          <w:p>
            <w:pPr>
              <w:rPr>
                <w:sz w:val="2"/>
                <w:szCs w:val="2"/>
              </w:rPr>
            </w:pP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79"/>
              <w:ind w:left="262" w:right="245"/>
              <w:rPr>
                <w:sz w:val="18"/>
              </w:rPr>
            </w:pPr>
            <w:r>
              <w:rPr>
                <w:sz w:val="18"/>
              </w:rPr>
              <w:t>终凝：标准型-90 min～+120 min</w:t>
            </w:r>
          </w:p>
        </w:tc>
        <w:tc>
          <w:tcPr>
            <w:tcW w:w="1425"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vMerge w:val="restart"/>
            <w:tcBorders>
              <w:top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14"/>
              <w:rPr>
                <w:sz w:val="18"/>
              </w:rPr>
            </w:pPr>
            <w:r>
              <w:rPr>
                <w:sz w:val="18"/>
              </w:rPr>
              <w:t>5</w:t>
            </w:r>
          </w:p>
        </w:tc>
        <w:tc>
          <w:tcPr>
            <w:tcW w:w="1097"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7"/>
              <w:jc w:val="left"/>
              <w:rPr>
                <w:rFonts w:ascii="黑体"/>
                <w:sz w:val="14"/>
              </w:rPr>
            </w:pPr>
          </w:p>
          <w:p>
            <w:pPr>
              <w:pStyle w:val="TableParagraph"/>
              <w:spacing w:line="242" w:lineRule="auto"/>
              <w:ind w:left="281" w:right="263" w:firstLine="2"/>
              <w:rPr>
                <w:sz w:val="18"/>
              </w:rPr>
            </w:pPr>
            <w:r>
              <w:rPr>
                <w:sz w:val="18"/>
              </w:rPr>
              <w:t>硬 化 混凝土性能</w:t>
            </w:r>
          </w:p>
        </w:tc>
        <w:tc>
          <w:tcPr>
            <w:tcW w:w="1602"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355"/>
              <w:jc w:val="left"/>
              <w:rPr>
                <w:sz w:val="18"/>
              </w:rPr>
            </w:pPr>
            <w:r>
              <w:rPr>
                <w:sz w:val="18"/>
              </w:rPr>
              <w:t>抗压强度比</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79"/>
              <w:ind w:left="262" w:right="244"/>
              <w:rPr>
                <w:sz w:val="18"/>
              </w:rPr>
            </w:pPr>
            <w:r>
              <w:rPr>
                <w:sz w:val="18"/>
              </w:rPr>
              <w:t>1 d：标准型≥145%</w:t>
            </w:r>
          </w:p>
        </w:tc>
        <w:tc>
          <w:tcPr>
            <w:tcW w:w="1425" w:type="dxa"/>
            <w:vMerge w:val="restart"/>
            <w:tcBorders>
              <w:top w:val="single" w:sz="4" w:space="0" w:color="000000"/>
              <w:left w:val="single" w:sz="4" w:space="0" w:color="000000"/>
              <w:bottom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7"/>
              </w:rPr>
            </w:pPr>
          </w:p>
          <w:p>
            <w:pPr>
              <w:pStyle w:val="TableParagraph"/>
              <w:ind w:left="444"/>
              <w:jc w:val="left"/>
              <w:rPr>
                <w:sz w:val="18"/>
              </w:rPr>
            </w:pPr>
            <w:r>
              <w:rPr>
                <w:sz w:val="18"/>
              </w:rPr>
              <w:t>6.2.13</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vMerge/>
            <w:tcBorders>
              <w:top w:val="nil"/>
              <w:bottom w:val="single" w:sz="4" w:space="0" w:color="000000"/>
              <w:right w:val="single" w:sz="4" w:space="0" w:color="000000"/>
            </w:tcBorders>
          </w:tcPr>
          <w:p>
            <w:pPr>
              <w:rPr>
                <w:sz w:val="2"/>
                <w:szCs w:val="2"/>
              </w:rPr>
            </w:pP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vMerge/>
            <w:tcBorders>
              <w:top w:val="nil"/>
              <w:left w:val="single" w:sz="4" w:space="0" w:color="000000"/>
              <w:bottom w:val="single" w:sz="4" w:space="0" w:color="000000"/>
              <w:right w:val="single" w:sz="4" w:space="0" w:color="000000"/>
            </w:tcBorders>
          </w:tcPr>
          <w:p>
            <w:pPr>
              <w:rPr>
                <w:sz w:val="2"/>
                <w:szCs w:val="2"/>
              </w:rPr>
            </w:pP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79"/>
              <w:ind w:left="262" w:right="244"/>
              <w:rPr>
                <w:sz w:val="18"/>
              </w:rPr>
            </w:pPr>
            <w:r>
              <w:rPr>
                <w:sz w:val="18"/>
              </w:rPr>
              <w:t>3 d：标准型≥135%</w:t>
            </w:r>
          </w:p>
        </w:tc>
        <w:tc>
          <w:tcPr>
            <w:tcW w:w="1425"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vMerge/>
            <w:tcBorders>
              <w:top w:val="nil"/>
              <w:bottom w:val="single" w:sz="4" w:space="0" w:color="000000"/>
              <w:right w:val="single" w:sz="4" w:space="0" w:color="000000"/>
            </w:tcBorders>
          </w:tcPr>
          <w:p>
            <w:pPr>
              <w:rPr>
                <w:sz w:val="2"/>
                <w:szCs w:val="2"/>
              </w:rPr>
            </w:pP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vMerge/>
            <w:tcBorders>
              <w:top w:val="nil"/>
              <w:left w:val="single" w:sz="4" w:space="0" w:color="000000"/>
              <w:bottom w:val="single" w:sz="4" w:space="0" w:color="000000"/>
              <w:right w:val="single" w:sz="4" w:space="0" w:color="000000"/>
            </w:tcBorders>
          </w:tcPr>
          <w:p>
            <w:pPr>
              <w:rPr>
                <w:sz w:val="2"/>
                <w:szCs w:val="2"/>
              </w:rPr>
            </w:pP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81"/>
              <w:ind w:left="262" w:right="242"/>
              <w:rPr>
                <w:sz w:val="18"/>
              </w:rPr>
            </w:pPr>
            <w:r>
              <w:rPr>
                <w:sz w:val="18"/>
              </w:rPr>
              <w:t>7 d：标准型≥130%，缓凝型≥130%</w:t>
            </w:r>
          </w:p>
        </w:tc>
        <w:tc>
          <w:tcPr>
            <w:tcW w:w="1425"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00" w:type="dxa"/>
            <w:vMerge/>
            <w:tcBorders>
              <w:top w:val="nil"/>
              <w:bottom w:val="single" w:sz="4" w:space="0" w:color="000000"/>
              <w:right w:val="single" w:sz="4" w:space="0" w:color="000000"/>
            </w:tcBorders>
          </w:tcPr>
          <w:p>
            <w:pPr>
              <w:rPr>
                <w:sz w:val="2"/>
                <w:szCs w:val="2"/>
              </w:rPr>
            </w:pP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vMerge/>
            <w:tcBorders>
              <w:top w:val="nil"/>
              <w:left w:val="single" w:sz="4" w:space="0" w:color="000000"/>
              <w:bottom w:val="single" w:sz="4" w:space="0" w:color="000000"/>
              <w:right w:val="single" w:sz="4" w:space="0" w:color="000000"/>
            </w:tcBorders>
          </w:tcPr>
          <w:p>
            <w:pPr>
              <w:rPr>
                <w:sz w:val="2"/>
                <w:szCs w:val="2"/>
              </w:rPr>
            </w:pP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81"/>
              <w:ind w:left="262" w:right="244"/>
              <w:rPr>
                <w:sz w:val="18"/>
              </w:rPr>
            </w:pPr>
            <w:r>
              <w:rPr>
                <w:sz w:val="18"/>
              </w:rPr>
              <w:t>28 d：标准型≥125%，缓凝型≥125%</w:t>
            </w:r>
          </w:p>
        </w:tc>
        <w:tc>
          <w:tcPr>
            <w:tcW w:w="1425"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00" w:type="dxa"/>
            <w:tcBorders>
              <w:top w:val="single" w:sz="4" w:space="0" w:color="000000"/>
              <w:bottom w:val="single" w:sz="4" w:space="0" w:color="000000"/>
              <w:right w:val="single" w:sz="4" w:space="0" w:color="000000"/>
            </w:tcBorders>
          </w:tcPr>
          <w:p>
            <w:pPr>
              <w:pStyle w:val="TableParagraph"/>
              <w:spacing w:before="80"/>
              <w:ind w:left="14"/>
              <w:rPr>
                <w:sz w:val="18"/>
              </w:rPr>
            </w:pPr>
            <w:r>
              <w:rPr>
                <w:sz w:val="18"/>
              </w:rPr>
              <w:t>6</w:t>
            </w:r>
          </w:p>
        </w:tc>
        <w:tc>
          <w:tcPr>
            <w:tcW w:w="1097" w:type="dxa"/>
            <w:vMerge/>
            <w:tcBorders>
              <w:top w:val="nil"/>
              <w:left w:val="single" w:sz="4" w:space="0" w:color="000000"/>
              <w:bottom w:val="single" w:sz="4" w:space="0" w:color="000000"/>
              <w:right w:val="single" w:sz="4" w:space="0" w:color="000000"/>
            </w:tcBorders>
          </w:tcPr>
          <w:p>
            <w:pPr>
              <w:rPr>
                <w:sz w:val="2"/>
                <w:szCs w:val="2"/>
              </w:rPr>
            </w:pPr>
          </w:p>
        </w:tc>
        <w:tc>
          <w:tcPr>
            <w:tcW w:w="1602" w:type="dxa"/>
            <w:tcBorders>
              <w:top w:val="single" w:sz="4" w:space="0" w:color="000000"/>
              <w:left w:val="single" w:sz="4" w:space="0" w:color="000000"/>
              <w:bottom w:val="single" w:sz="4" w:space="0" w:color="000000"/>
              <w:right w:val="single" w:sz="4" w:space="0" w:color="000000"/>
            </w:tcBorders>
          </w:tcPr>
          <w:p>
            <w:pPr>
              <w:pStyle w:val="TableParagraph"/>
              <w:spacing w:before="80"/>
              <w:ind w:left="424" w:right="408"/>
              <w:rPr>
                <w:sz w:val="18"/>
              </w:rPr>
            </w:pPr>
            <w:r>
              <w:rPr>
                <w:sz w:val="18"/>
              </w:rPr>
              <w:t>收缩率比</w:t>
            </w:r>
          </w:p>
        </w:tc>
        <w:tc>
          <w:tcPr>
            <w:tcW w:w="4698" w:type="dxa"/>
            <w:tcBorders>
              <w:top w:val="single" w:sz="4" w:space="0" w:color="000000"/>
              <w:left w:val="single" w:sz="4" w:space="0" w:color="000000"/>
              <w:bottom w:val="single" w:sz="4" w:space="0" w:color="000000"/>
              <w:right w:val="single" w:sz="4" w:space="0" w:color="000000"/>
            </w:tcBorders>
          </w:tcPr>
          <w:p>
            <w:pPr>
              <w:pStyle w:val="TableParagraph"/>
              <w:spacing w:before="80"/>
              <w:ind w:left="262" w:right="244"/>
              <w:rPr>
                <w:sz w:val="18"/>
              </w:rPr>
            </w:pPr>
            <w:r>
              <w:rPr>
                <w:sz w:val="18"/>
              </w:rPr>
              <w:t>≤130%</w:t>
            </w:r>
          </w:p>
        </w:tc>
        <w:tc>
          <w:tcPr>
            <w:tcW w:w="1425" w:type="dxa"/>
            <w:tcBorders>
              <w:top w:val="single" w:sz="4" w:space="0" w:color="000000"/>
              <w:left w:val="single" w:sz="4" w:space="0" w:color="000000"/>
              <w:bottom w:val="single" w:sz="4" w:space="0" w:color="000000"/>
            </w:tcBorders>
          </w:tcPr>
          <w:p>
            <w:pPr>
              <w:pStyle w:val="TableParagraph"/>
              <w:spacing w:before="80"/>
              <w:ind w:left="334" w:right="314"/>
              <w:rPr>
                <w:sz w:val="18"/>
              </w:rPr>
            </w:pPr>
            <w:r>
              <w:rPr>
                <w:sz w:val="18"/>
              </w:rPr>
              <w:t>6.2.15</w:t>
            </w:r>
          </w:p>
        </w:tc>
      </w:tr>
      <w:tr>
        <w:tblPrEx>
          <w:tblW w:w="0" w:type="auto"/>
          <w:jc w:val="left"/>
          <w:tblInd w:w="374" w:type="dxa"/>
          <w:tblLayout w:type="fixed"/>
          <w:tblCellMar>
            <w:top w:w="0" w:type="dxa"/>
            <w:left w:w="0" w:type="dxa"/>
            <w:bottom w:w="0" w:type="dxa"/>
            <w:right w:w="0" w:type="dxa"/>
          </w:tblCellMar>
          <w:tblLook w:val="01E0"/>
        </w:tblPrEx>
        <w:trPr>
          <w:trHeight w:val="1247"/>
          <w:jc w:val="left"/>
        </w:trPr>
        <w:tc>
          <w:tcPr>
            <w:tcW w:w="9422" w:type="dxa"/>
            <w:gridSpan w:val="5"/>
            <w:tcBorders>
              <w:top w:val="single" w:sz="4" w:space="0" w:color="000000"/>
            </w:tcBorders>
          </w:tcPr>
          <w:p>
            <w:pPr>
              <w:pStyle w:val="TableParagraph"/>
              <w:spacing w:before="52"/>
              <w:ind w:left="329"/>
              <w:jc w:val="left"/>
              <w:rPr>
                <w:sz w:val="16"/>
              </w:rPr>
            </w:pPr>
            <w:r>
              <w:rPr>
                <w:rFonts w:ascii="黑体" w:eastAsia="黑体" w:hAnsi="黑体" w:hint="eastAsia"/>
                <w:sz w:val="16"/>
              </w:rPr>
              <w:t>注 1：</w:t>
            </w:r>
            <w:r>
              <w:rPr>
                <w:sz w:val="16"/>
              </w:rPr>
              <w:t>高效减水剂检验采用基准混凝土Ⅱ。</w:t>
            </w:r>
          </w:p>
          <w:p>
            <w:pPr>
              <w:pStyle w:val="TableParagraph"/>
              <w:spacing w:before="107" w:line="364" w:lineRule="auto"/>
              <w:ind w:left="768" w:right="-15" w:hanging="440"/>
              <w:jc w:val="left"/>
              <w:rPr>
                <w:sz w:val="16"/>
              </w:rPr>
            </w:pPr>
            <w:r>
              <w:rPr>
                <w:rFonts w:ascii="黑体" w:eastAsia="黑体" w:hAnsi="黑体" w:hint="eastAsia"/>
                <w:spacing w:val="-15"/>
                <w:sz w:val="16"/>
              </w:rPr>
              <w:t xml:space="preserve">注 </w:t>
            </w:r>
            <w:r>
              <w:rPr>
                <w:rFonts w:ascii="黑体" w:eastAsia="黑体" w:hAnsi="黑体" w:hint="eastAsia"/>
                <w:spacing w:val="-6"/>
                <w:sz w:val="16"/>
              </w:rPr>
              <w:t>2：</w:t>
            </w:r>
            <w:r>
              <w:rPr>
                <w:spacing w:val="-8"/>
                <w:sz w:val="16"/>
              </w:rPr>
              <w:t>除“减水率”和“含气量”外，表中所列其他数据为受检混凝土与基准混凝土对应性能指标的差值或比值</w:t>
            </w:r>
            <w:r>
              <w:rPr>
                <w:spacing w:val="-15"/>
                <w:sz w:val="16"/>
              </w:rPr>
              <w:t>。“含气量”为受检</w:t>
            </w:r>
            <w:r>
              <w:rPr>
                <w:spacing w:val="-5"/>
                <w:sz w:val="16"/>
              </w:rPr>
              <w:t>混凝土性能指标。</w:t>
            </w:r>
          </w:p>
          <w:p>
            <w:pPr>
              <w:pStyle w:val="TableParagraph"/>
              <w:spacing w:before="1"/>
              <w:ind w:left="329"/>
              <w:jc w:val="left"/>
              <w:rPr>
                <w:sz w:val="16"/>
              </w:rPr>
            </w:pPr>
            <w:r>
              <w:rPr>
                <w:rFonts w:ascii="黑体" w:eastAsia="黑体" w:hAnsi="黑体" w:hint="eastAsia"/>
                <w:w w:val="100"/>
                <w:sz w:val="16"/>
              </w:rPr>
              <w:t>注</w:t>
            </w:r>
            <w:r>
              <w:rPr>
                <w:rFonts w:ascii="黑体" w:eastAsia="黑体" w:hAnsi="黑体" w:hint="eastAsia"/>
                <w:spacing w:val="-42"/>
                <w:sz w:val="16"/>
              </w:rPr>
              <w:t xml:space="preserve"> </w:t>
            </w:r>
            <w:r>
              <w:rPr>
                <w:rFonts w:ascii="黑体" w:eastAsia="黑体" w:hAnsi="黑体" w:hint="eastAsia"/>
                <w:spacing w:val="-2"/>
                <w:w w:val="100"/>
                <w:sz w:val="16"/>
              </w:rPr>
              <w:t>3</w:t>
            </w:r>
            <w:r>
              <w:rPr>
                <w:rFonts w:ascii="黑体" w:eastAsia="黑体" w:hAnsi="黑体" w:hint="eastAsia"/>
                <w:spacing w:val="-80"/>
                <w:w w:val="100"/>
                <w:sz w:val="16"/>
              </w:rPr>
              <w:t>：</w:t>
            </w:r>
            <w:r>
              <w:rPr>
                <w:spacing w:val="-6"/>
                <w:w w:val="100"/>
                <w:sz w:val="16"/>
              </w:rPr>
              <w:t>“凝结时间之差”中的“–”号表示受检混凝土比基准混凝土的凝结时间提前，“+”号表示凝结时间延缓。</w:t>
            </w:r>
          </w:p>
        </w:tc>
      </w:tr>
    </w:tbl>
    <w:p>
      <w:pPr>
        <w:pStyle w:val="ListParagraph"/>
        <w:numPr>
          <w:ilvl w:val="2"/>
          <w:numId w:val="28"/>
        </w:numPr>
        <w:tabs>
          <w:tab w:val="left" w:pos="1133"/>
        </w:tabs>
        <w:spacing w:before="177" w:after="0" w:line="240" w:lineRule="auto"/>
        <w:ind w:left="1132" w:right="0" w:hanging="735"/>
        <w:jc w:val="left"/>
        <w:rPr>
          <w:rFonts w:ascii="黑体" w:eastAsia="黑体" w:hint="eastAsia"/>
          <w:sz w:val="21"/>
        </w:rPr>
      </w:pPr>
      <w:bookmarkStart w:id="46" w:name="5.2.3　普通减水剂"/>
      <w:bookmarkEnd w:id="46"/>
      <w:bookmarkStart w:id="47" w:name="_bookmark10"/>
      <w:bookmarkEnd w:id="47"/>
      <w:r>
        <w:rPr>
          <w:rFonts w:ascii="黑体" w:eastAsia="黑体" w:hint="eastAsia"/>
          <w:sz w:val="21"/>
        </w:rPr>
        <w:t>普通减水剂</w:t>
      </w:r>
    </w:p>
    <w:p>
      <w:pPr>
        <w:pStyle w:val="BodyText"/>
        <w:spacing w:before="7"/>
        <w:rPr>
          <w:rFonts w:ascii="黑体"/>
          <w:sz w:val="15"/>
        </w:rPr>
      </w:pPr>
    </w:p>
    <w:p>
      <w:pPr>
        <w:pStyle w:val="BodyText"/>
        <w:ind w:left="818"/>
      </w:pPr>
      <w:r>
        <w:t>普通减水剂的应用性能应符合表4的要求。</w:t>
      </w:r>
    </w:p>
    <w:p>
      <w:pPr>
        <w:pStyle w:val="BodyText"/>
        <w:spacing w:before="7"/>
        <w:rPr>
          <w:sz w:val="15"/>
        </w:rPr>
      </w:pPr>
    </w:p>
    <w:p>
      <w:pPr>
        <w:pStyle w:val="BodyText"/>
        <w:ind w:left="82"/>
        <w:jc w:val="center"/>
        <w:rPr>
          <w:rFonts w:ascii="黑体" w:eastAsia="黑体" w:hint="eastAsia"/>
        </w:rPr>
      </w:pPr>
      <w:r>
        <w:rPr>
          <w:rFonts w:ascii="黑体" w:eastAsia="黑体" w:hint="eastAsia"/>
        </w:rPr>
        <w:t>表 4 普通减水剂应用性能要求</w:t>
      </w:r>
    </w:p>
    <w:p>
      <w:pPr>
        <w:pStyle w:val="BodyText"/>
        <w:spacing w:before="11"/>
        <w:rPr>
          <w:rFonts w:ascii="黑体"/>
          <w:sz w:val="13"/>
        </w:rPr>
      </w:pPr>
    </w:p>
    <w:tbl>
      <w:tblPr>
        <w:tblStyle w:val="TableNormal4"/>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07"/>
        <w:gridCol w:w="1344"/>
        <w:gridCol w:w="1346"/>
        <w:gridCol w:w="4697"/>
        <w:gridCol w:w="1434"/>
      </w:tblGrid>
      <w:tr>
        <w:tblPrEx>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07" w:type="dxa"/>
            <w:tcBorders>
              <w:bottom w:val="single" w:sz="4" w:space="0" w:color="000000"/>
              <w:right w:val="single" w:sz="4" w:space="0" w:color="000000"/>
            </w:tcBorders>
          </w:tcPr>
          <w:p>
            <w:pPr>
              <w:pStyle w:val="TableParagraph"/>
              <w:spacing w:before="79"/>
              <w:ind w:left="103" w:right="89"/>
              <w:rPr>
                <w:sz w:val="18"/>
              </w:rPr>
            </w:pPr>
            <w:r>
              <w:rPr>
                <w:sz w:val="18"/>
              </w:rPr>
              <w:t>序号</w:t>
            </w:r>
          </w:p>
        </w:tc>
        <w:tc>
          <w:tcPr>
            <w:tcW w:w="1344" w:type="dxa"/>
            <w:tcBorders>
              <w:left w:val="single" w:sz="4" w:space="0" w:color="000000"/>
              <w:bottom w:val="single" w:sz="4" w:space="0" w:color="000000"/>
              <w:right w:val="single" w:sz="4" w:space="0" w:color="000000"/>
            </w:tcBorders>
          </w:tcPr>
          <w:p>
            <w:pPr>
              <w:pStyle w:val="TableParagraph"/>
              <w:spacing w:before="79"/>
              <w:ind w:left="115" w:right="98"/>
              <w:rPr>
                <w:sz w:val="18"/>
              </w:rPr>
            </w:pPr>
            <w:r>
              <w:rPr>
                <w:sz w:val="18"/>
              </w:rPr>
              <w:t>类别</w:t>
            </w:r>
          </w:p>
        </w:tc>
        <w:tc>
          <w:tcPr>
            <w:tcW w:w="1346" w:type="dxa"/>
            <w:tcBorders>
              <w:left w:val="single" w:sz="4" w:space="0" w:color="000000"/>
              <w:bottom w:val="single" w:sz="4" w:space="0" w:color="000000"/>
              <w:right w:val="single" w:sz="4" w:space="0" w:color="000000"/>
            </w:tcBorders>
          </w:tcPr>
          <w:p>
            <w:pPr>
              <w:pStyle w:val="TableParagraph"/>
              <w:spacing w:before="79"/>
              <w:ind w:left="296" w:right="278"/>
              <w:rPr>
                <w:sz w:val="18"/>
              </w:rPr>
            </w:pPr>
            <w:r>
              <w:rPr>
                <w:sz w:val="18"/>
              </w:rPr>
              <w:t>项 目</w:t>
            </w:r>
          </w:p>
        </w:tc>
        <w:tc>
          <w:tcPr>
            <w:tcW w:w="4697" w:type="dxa"/>
            <w:tcBorders>
              <w:left w:val="single" w:sz="4" w:space="0" w:color="000000"/>
              <w:bottom w:val="single" w:sz="4" w:space="0" w:color="000000"/>
              <w:right w:val="single" w:sz="4" w:space="0" w:color="000000"/>
            </w:tcBorders>
          </w:tcPr>
          <w:p>
            <w:pPr>
              <w:pStyle w:val="TableParagraph"/>
              <w:spacing w:before="79"/>
              <w:ind w:left="15"/>
              <w:rPr>
                <w:sz w:val="18"/>
              </w:rPr>
            </w:pPr>
            <w:r>
              <w:rPr>
                <w:sz w:val="18"/>
              </w:rPr>
              <w:t>要求</w:t>
            </w:r>
          </w:p>
        </w:tc>
        <w:tc>
          <w:tcPr>
            <w:tcW w:w="1434" w:type="dxa"/>
            <w:tcBorders>
              <w:left w:val="single" w:sz="4" w:space="0" w:color="000000"/>
              <w:bottom w:val="single" w:sz="4" w:space="0" w:color="000000"/>
            </w:tcBorders>
          </w:tcPr>
          <w:p>
            <w:pPr>
              <w:pStyle w:val="TableParagraph"/>
              <w:spacing w:before="79"/>
              <w:ind w:left="339" w:right="320"/>
              <w:rPr>
                <w:sz w:val="18"/>
              </w:rPr>
            </w:pPr>
            <w:r>
              <w:rPr>
                <w:sz w:val="18"/>
              </w:rPr>
              <w:t>试验方法</w:t>
            </w:r>
          </w:p>
        </w:tc>
      </w:tr>
      <w:tr>
        <w:tblPrEx>
          <w:tblW w:w="0" w:type="auto"/>
          <w:jc w:val="left"/>
          <w:tblInd w:w="371" w:type="dxa"/>
          <w:tblLayout w:type="fixed"/>
          <w:tblCellMar>
            <w:top w:w="0" w:type="dxa"/>
            <w:left w:w="0" w:type="dxa"/>
            <w:bottom w:w="0" w:type="dxa"/>
            <w:right w:w="0" w:type="dxa"/>
          </w:tblCellMar>
          <w:tblLook w:val="01E0"/>
        </w:tblPrEx>
        <w:trPr>
          <w:trHeight w:val="385"/>
          <w:jc w:val="left"/>
        </w:trPr>
        <w:tc>
          <w:tcPr>
            <w:tcW w:w="607" w:type="dxa"/>
            <w:tcBorders>
              <w:top w:val="single" w:sz="4" w:space="0" w:color="000000"/>
              <w:bottom w:val="single" w:sz="4" w:space="0" w:color="000000"/>
              <w:right w:val="single" w:sz="4" w:space="0" w:color="000000"/>
            </w:tcBorders>
          </w:tcPr>
          <w:p>
            <w:pPr>
              <w:pStyle w:val="TableParagraph"/>
              <w:spacing w:before="81"/>
              <w:ind w:left="13"/>
              <w:rPr>
                <w:sz w:val="18"/>
              </w:rPr>
            </w:pPr>
            <w:r>
              <w:rPr>
                <w:sz w:val="18"/>
              </w:rPr>
              <w:t>1</w:t>
            </w:r>
          </w:p>
        </w:tc>
        <w:tc>
          <w:tcPr>
            <w:tcW w:w="1344" w:type="dxa"/>
            <w:vMerge w:val="restart"/>
            <w:tcBorders>
              <w:top w:val="single" w:sz="4" w:space="0" w:color="000000"/>
              <w:left w:val="single" w:sz="4" w:space="0" w:color="000000"/>
              <w:right w:val="single" w:sz="4" w:space="0" w:color="000000"/>
            </w:tcBorders>
          </w:tcPr>
          <w:p>
            <w:pPr>
              <w:pStyle w:val="TableParagraph"/>
              <w:spacing w:before="5"/>
              <w:jc w:val="left"/>
              <w:rPr>
                <w:rFonts w:ascii="黑体"/>
                <w:sz w:val="19"/>
              </w:rPr>
            </w:pPr>
          </w:p>
          <w:p>
            <w:pPr>
              <w:pStyle w:val="TableParagraph"/>
              <w:spacing w:line="242" w:lineRule="auto"/>
              <w:ind w:left="407" w:right="386"/>
              <w:jc w:val="both"/>
              <w:rPr>
                <w:sz w:val="18"/>
              </w:rPr>
            </w:pPr>
            <w:r>
              <w:rPr>
                <w:sz w:val="18"/>
              </w:rPr>
              <w:t>混凝土拌合物性能</w:t>
            </w:r>
          </w:p>
        </w:tc>
        <w:tc>
          <w:tcPr>
            <w:tcW w:w="1346" w:type="dxa"/>
            <w:tcBorders>
              <w:top w:val="single" w:sz="4" w:space="0" w:color="000000"/>
              <w:left w:val="single" w:sz="4" w:space="0" w:color="000000"/>
              <w:bottom w:val="single" w:sz="4" w:space="0" w:color="000000"/>
              <w:right w:val="single" w:sz="4" w:space="0" w:color="000000"/>
            </w:tcBorders>
          </w:tcPr>
          <w:p>
            <w:pPr>
              <w:pStyle w:val="TableParagraph"/>
              <w:spacing w:before="81"/>
              <w:ind w:left="296" w:right="278"/>
              <w:rPr>
                <w:sz w:val="18"/>
              </w:rPr>
            </w:pPr>
            <w:r>
              <w:rPr>
                <w:sz w:val="18"/>
              </w:rPr>
              <w:t>减水率</w:t>
            </w: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81"/>
              <w:ind w:left="17"/>
              <w:rPr>
                <w:sz w:val="18"/>
              </w:rPr>
            </w:pPr>
            <w:r>
              <w:rPr>
                <w:sz w:val="18"/>
              </w:rPr>
              <w:t>≥8%</w:t>
            </w:r>
          </w:p>
        </w:tc>
        <w:tc>
          <w:tcPr>
            <w:tcW w:w="1434" w:type="dxa"/>
            <w:tcBorders>
              <w:top w:val="single" w:sz="4" w:space="0" w:color="000000"/>
              <w:left w:val="single" w:sz="4" w:space="0" w:color="000000"/>
              <w:bottom w:val="single" w:sz="4" w:space="0" w:color="000000"/>
            </w:tcBorders>
          </w:tcPr>
          <w:p>
            <w:pPr>
              <w:pStyle w:val="TableParagraph"/>
              <w:spacing w:before="81"/>
              <w:ind w:left="338" w:right="320"/>
              <w:rPr>
                <w:sz w:val="18"/>
              </w:rPr>
            </w:pPr>
            <w:r>
              <w:rPr>
                <w:sz w:val="18"/>
              </w:rPr>
              <w:t>6.2.8</w:t>
            </w:r>
          </w:p>
        </w:tc>
      </w:tr>
      <w:tr>
        <w:tblPrEx>
          <w:tblW w:w="0" w:type="auto"/>
          <w:jc w:val="left"/>
          <w:tblInd w:w="371" w:type="dxa"/>
          <w:tblLayout w:type="fixed"/>
          <w:tblCellMar>
            <w:top w:w="0" w:type="dxa"/>
            <w:left w:w="0" w:type="dxa"/>
            <w:bottom w:w="0" w:type="dxa"/>
            <w:right w:w="0" w:type="dxa"/>
          </w:tblCellMar>
          <w:tblLook w:val="01E0"/>
        </w:tblPrEx>
        <w:trPr>
          <w:trHeight w:val="381"/>
          <w:jc w:val="left"/>
        </w:trPr>
        <w:tc>
          <w:tcPr>
            <w:tcW w:w="607" w:type="dxa"/>
            <w:tcBorders>
              <w:top w:val="single" w:sz="4" w:space="0" w:color="000000"/>
              <w:bottom w:val="single" w:sz="4" w:space="0" w:color="000000"/>
              <w:right w:val="single" w:sz="4" w:space="0" w:color="000000"/>
            </w:tcBorders>
          </w:tcPr>
          <w:p>
            <w:pPr>
              <w:pStyle w:val="TableParagraph"/>
              <w:spacing w:before="76"/>
              <w:ind w:left="13"/>
              <w:rPr>
                <w:sz w:val="18"/>
              </w:rPr>
            </w:pPr>
            <w:r>
              <w:rPr>
                <w:sz w:val="18"/>
              </w:rPr>
              <w:t>2</w:t>
            </w:r>
          </w:p>
        </w:tc>
        <w:tc>
          <w:tcPr>
            <w:tcW w:w="1344" w:type="dxa"/>
            <w:vMerge/>
            <w:tcBorders>
              <w:top w:val="nil"/>
              <w:left w:val="single" w:sz="4" w:space="0" w:color="000000"/>
              <w:right w:val="single" w:sz="4" w:space="0" w:color="000000"/>
            </w:tcBorders>
          </w:tcPr>
          <w:p>
            <w:pPr>
              <w:rPr>
                <w:sz w:val="2"/>
                <w:szCs w:val="2"/>
              </w:rPr>
            </w:pPr>
          </w:p>
        </w:tc>
        <w:tc>
          <w:tcPr>
            <w:tcW w:w="1346" w:type="dxa"/>
            <w:tcBorders>
              <w:top w:val="single" w:sz="4" w:space="0" w:color="000000"/>
              <w:left w:val="single" w:sz="4" w:space="0" w:color="000000"/>
              <w:bottom w:val="single" w:sz="4" w:space="0" w:color="000000"/>
              <w:right w:val="single" w:sz="4" w:space="0" w:color="000000"/>
            </w:tcBorders>
          </w:tcPr>
          <w:p>
            <w:pPr>
              <w:pStyle w:val="TableParagraph"/>
              <w:spacing w:before="76"/>
              <w:ind w:left="298" w:right="278"/>
              <w:rPr>
                <w:sz w:val="18"/>
              </w:rPr>
            </w:pPr>
            <w:r>
              <w:rPr>
                <w:sz w:val="18"/>
              </w:rPr>
              <w:t>泌水率比</w:t>
            </w: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6"/>
              <w:ind w:left="16"/>
              <w:rPr>
                <w:sz w:val="18"/>
              </w:rPr>
            </w:pPr>
            <w:r>
              <w:rPr>
                <w:sz w:val="18"/>
              </w:rPr>
              <w:t>早强型≤95%，标准型≤100%，缓凝型≤100%</w:t>
            </w:r>
          </w:p>
        </w:tc>
        <w:tc>
          <w:tcPr>
            <w:tcW w:w="1434" w:type="dxa"/>
            <w:tcBorders>
              <w:top w:val="single" w:sz="4" w:space="0" w:color="000000"/>
              <w:left w:val="single" w:sz="4" w:space="0" w:color="000000"/>
              <w:bottom w:val="single" w:sz="4" w:space="0" w:color="000000"/>
            </w:tcBorders>
          </w:tcPr>
          <w:p>
            <w:pPr>
              <w:pStyle w:val="TableParagraph"/>
              <w:spacing w:before="76"/>
              <w:ind w:left="338" w:right="320"/>
              <w:rPr>
                <w:sz w:val="18"/>
              </w:rPr>
            </w:pPr>
            <w:r>
              <w:rPr>
                <w:sz w:val="18"/>
              </w:rPr>
              <w:t>6.2.9</w:t>
            </w:r>
          </w:p>
        </w:tc>
      </w:tr>
      <w:tr>
        <w:tblPrEx>
          <w:tblW w:w="0" w:type="auto"/>
          <w:jc w:val="left"/>
          <w:tblInd w:w="371" w:type="dxa"/>
          <w:tblLayout w:type="fixed"/>
          <w:tblCellMar>
            <w:top w:w="0" w:type="dxa"/>
            <w:left w:w="0" w:type="dxa"/>
            <w:bottom w:w="0" w:type="dxa"/>
            <w:right w:w="0" w:type="dxa"/>
          </w:tblCellMar>
          <w:tblLook w:val="01E0"/>
        </w:tblPrEx>
        <w:trPr>
          <w:trHeight w:val="385"/>
          <w:jc w:val="left"/>
        </w:trPr>
        <w:tc>
          <w:tcPr>
            <w:tcW w:w="607" w:type="dxa"/>
            <w:tcBorders>
              <w:top w:val="single" w:sz="4" w:space="0" w:color="000000"/>
              <w:right w:val="single" w:sz="4" w:space="0" w:color="000000"/>
            </w:tcBorders>
          </w:tcPr>
          <w:p>
            <w:pPr>
              <w:pStyle w:val="TableParagraph"/>
              <w:spacing w:before="75"/>
              <w:ind w:left="13"/>
              <w:rPr>
                <w:sz w:val="18"/>
              </w:rPr>
            </w:pPr>
            <w:r>
              <w:rPr>
                <w:sz w:val="18"/>
              </w:rPr>
              <w:t>3</w:t>
            </w:r>
          </w:p>
        </w:tc>
        <w:tc>
          <w:tcPr>
            <w:tcW w:w="1344" w:type="dxa"/>
            <w:vMerge/>
            <w:tcBorders>
              <w:top w:val="nil"/>
              <w:left w:val="single" w:sz="4" w:space="0" w:color="000000"/>
              <w:right w:val="single" w:sz="4" w:space="0" w:color="000000"/>
            </w:tcBorders>
          </w:tcPr>
          <w:p>
            <w:pPr>
              <w:rPr>
                <w:sz w:val="2"/>
                <w:szCs w:val="2"/>
              </w:rPr>
            </w:pPr>
          </w:p>
        </w:tc>
        <w:tc>
          <w:tcPr>
            <w:tcW w:w="1346" w:type="dxa"/>
            <w:tcBorders>
              <w:top w:val="single" w:sz="4" w:space="0" w:color="000000"/>
              <w:left w:val="single" w:sz="4" w:space="0" w:color="000000"/>
              <w:right w:val="single" w:sz="4" w:space="0" w:color="000000"/>
            </w:tcBorders>
          </w:tcPr>
          <w:p>
            <w:pPr>
              <w:pStyle w:val="TableParagraph"/>
              <w:spacing w:before="75"/>
              <w:ind w:left="296" w:right="278"/>
              <w:rPr>
                <w:sz w:val="18"/>
              </w:rPr>
            </w:pPr>
            <w:r>
              <w:rPr>
                <w:sz w:val="18"/>
              </w:rPr>
              <w:t>含气量</w:t>
            </w:r>
          </w:p>
        </w:tc>
        <w:tc>
          <w:tcPr>
            <w:tcW w:w="4697" w:type="dxa"/>
            <w:tcBorders>
              <w:top w:val="single" w:sz="4" w:space="0" w:color="000000"/>
              <w:left w:val="single" w:sz="4" w:space="0" w:color="000000"/>
              <w:right w:val="single" w:sz="4" w:space="0" w:color="000000"/>
            </w:tcBorders>
          </w:tcPr>
          <w:p>
            <w:pPr>
              <w:pStyle w:val="TableParagraph"/>
              <w:spacing w:before="75"/>
              <w:ind w:left="16"/>
              <w:rPr>
                <w:sz w:val="18"/>
              </w:rPr>
            </w:pPr>
            <w:r>
              <w:rPr>
                <w:sz w:val="18"/>
              </w:rPr>
              <w:t>早强型≤4.0%，标准型≤4.0%，缓凝型≤5.5%</w:t>
            </w:r>
          </w:p>
        </w:tc>
        <w:tc>
          <w:tcPr>
            <w:tcW w:w="1434" w:type="dxa"/>
            <w:tcBorders>
              <w:top w:val="single" w:sz="4" w:space="0" w:color="000000"/>
              <w:left w:val="single" w:sz="4" w:space="0" w:color="000000"/>
            </w:tcBorders>
          </w:tcPr>
          <w:p>
            <w:pPr>
              <w:pStyle w:val="TableParagraph"/>
              <w:spacing w:before="75"/>
              <w:ind w:left="338" w:right="320"/>
              <w:rPr>
                <w:sz w:val="18"/>
              </w:rPr>
            </w:pPr>
            <w:r>
              <w:rPr>
                <w:sz w:val="18"/>
              </w:rPr>
              <w:t>6.2.11</w:t>
            </w:r>
          </w:p>
        </w:tc>
      </w:tr>
    </w:tbl>
    <w:p>
      <w:pPr>
        <w:spacing w:after="0"/>
        <w:rPr>
          <w:sz w:val="18"/>
        </w:rPr>
        <w:sectPr>
          <w:footerReference w:type="even" r:id="rId15"/>
          <w:footerReference w:type="default" r:id="rId16"/>
          <w:pgSz w:w="11910" w:h="16840"/>
          <w:pgMar w:top="1520" w:right="820" w:bottom="1280" w:left="1020" w:header="0" w:footer="857"/>
          <w:pgNumType w:start="5"/>
          <w:cols w:space="708"/>
        </w:sectPr>
      </w:pPr>
    </w:p>
    <w:p>
      <w:pPr>
        <w:pStyle w:val="BodyText"/>
        <w:spacing w:before="57"/>
        <w:ind w:left="82"/>
        <w:jc w:val="center"/>
      </w:pPr>
      <w:r>
        <w:rPr>
          <w:rFonts w:ascii="黑体" w:eastAsia="黑体" w:hint="eastAsia"/>
        </w:rPr>
        <w:t>表4 普通减水剂应用性能要求</w:t>
      </w:r>
      <w:r>
        <w:t>（续）</w:t>
      </w:r>
    </w:p>
    <w:p>
      <w:pPr>
        <w:pStyle w:val="BodyText"/>
        <w:spacing w:before="10"/>
        <w:rPr>
          <w:sz w:val="13"/>
        </w:rPr>
      </w:pPr>
    </w:p>
    <w:tbl>
      <w:tblPr>
        <w:tblStyle w:val="TableNormal5"/>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07"/>
        <w:gridCol w:w="1344"/>
        <w:gridCol w:w="1346"/>
        <w:gridCol w:w="4697"/>
        <w:gridCol w:w="1434"/>
      </w:tblGrid>
      <w:tr>
        <w:tblPrEx>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07" w:type="dxa"/>
            <w:tcBorders>
              <w:bottom w:val="single" w:sz="4" w:space="0" w:color="000000"/>
              <w:right w:val="single" w:sz="4" w:space="0" w:color="000000"/>
            </w:tcBorders>
          </w:tcPr>
          <w:p>
            <w:pPr>
              <w:pStyle w:val="TableParagraph"/>
              <w:spacing w:before="80"/>
              <w:ind w:left="103" w:right="89"/>
              <w:rPr>
                <w:sz w:val="18"/>
              </w:rPr>
            </w:pPr>
            <w:r>
              <w:rPr>
                <w:sz w:val="18"/>
              </w:rPr>
              <w:t>序号</w:t>
            </w:r>
          </w:p>
        </w:tc>
        <w:tc>
          <w:tcPr>
            <w:tcW w:w="1344" w:type="dxa"/>
            <w:tcBorders>
              <w:left w:val="single" w:sz="4" w:space="0" w:color="000000"/>
              <w:bottom w:val="single" w:sz="4" w:space="0" w:color="000000"/>
              <w:right w:val="single" w:sz="4" w:space="0" w:color="000000"/>
            </w:tcBorders>
          </w:tcPr>
          <w:p>
            <w:pPr>
              <w:pStyle w:val="TableParagraph"/>
              <w:spacing w:before="80"/>
              <w:ind w:left="115" w:right="98"/>
              <w:rPr>
                <w:sz w:val="18"/>
              </w:rPr>
            </w:pPr>
            <w:r>
              <w:rPr>
                <w:sz w:val="18"/>
              </w:rPr>
              <w:t>类别</w:t>
            </w:r>
          </w:p>
        </w:tc>
        <w:tc>
          <w:tcPr>
            <w:tcW w:w="1346" w:type="dxa"/>
            <w:tcBorders>
              <w:left w:val="single" w:sz="4" w:space="0" w:color="000000"/>
              <w:bottom w:val="single" w:sz="4" w:space="0" w:color="000000"/>
              <w:right w:val="single" w:sz="4" w:space="0" w:color="000000"/>
            </w:tcBorders>
          </w:tcPr>
          <w:p>
            <w:pPr>
              <w:pStyle w:val="TableParagraph"/>
              <w:spacing w:before="80"/>
              <w:ind w:left="296" w:right="278"/>
              <w:rPr>
                <w:sz w:val="18"/>
              </w:rPr>
            </w:pPr>
            <w:r>
              <w:rPr>
                <w:sz w:val="18"/>
              </w:rPr>
              <w:t>项 目</w:t>
            </w:r>
          </w:p>
        </w:tc>
        <w:tc>
          <w:tcPr>
            <w:tcW w:w="4697" w:type="dxa"/>
            <w:tcBorders>
              <w:left w:val="single" w:sz="4" w:space="0" w:color="000000"/>
              <w:bottom w:val="single" w:sz="4" w:space="0" w:color="000000"/>
              <w:right w:val="single" w:sz="4" w:space="0" w:color="000000"/>
            </w:tcBorders>
          </w:tcPr>
          <w:p>
            <w:pPr>
              <w:pStyle w:val="TableParagraph"/>
              <w:spacing w:before="80"/>
              <w:ind w:left="15"/>
              <w:rPr>
                <w:sz w:val="18"/>
              </w:rPr>
            </w:pPr>
            <w:r>
              <w:rPr>
                <w:sz w:val="18"/>
              </w:rPr>
              <w:t>要求</w:t>
            </w:r>
          </w:p>
        </w:tc>
        <w:tc>
          <w:tcPr>
            <w:tcW w:w="1434" w:type="dxa"/>
            <w:tcBorders>
              <w:left w:val="single" w:sz="4" w:space="0" w:color="000000"/>
              <w:bottom w:val="single" w:sz="4" w:space="0" w:color="000000"/>
            </w:tcBorders>
          </w:tcPr>
          <w:p>
            <w:pPr>
              <w:pStyle w:val="TableParagraph"/>
              <w:spacing w:before="80"/>
              <w:ind w:left="339" w:right="320"/>
              <w:rPr>
                <w:sz w:val="18"/>
              </w:rPr>
            </w:pPr>
            <w:r>
              <w:rPr>
                <w:sz w:val="18"/>
              </w:rPr>
              <w:t>试验方法</w:t>
            </w:r>
          </w:p>
        </w:tc>
      </w:tr>
      <w:tr>
        <w:tblPrEx>
          <w:tblW w:w="0" w:type="auto"/>
          <w:jc w:val="left"/>
          <w:tblInd w:w="371" w:type="dxa"/>
          <w:tblLayout w:type="fixed"/>
          <w:tblCellMar>
            <w:top w:w="0" w:type="dxa"/>
            <w:left w:w="0" w:type="dxa"/>
            <w:bottom w:w="0" w:type="dxa"/>
            <w:right w:w="0" w:type="dxa"/>
          </w:tblCellMar>
          <w:tblLook w:val="01E0"/>
        </w:tblPrEx>
        <w:trPr>
          <w:trHeight w:val="489"/>
          <w:jc w:val="left"/>
        </w:trPr>
        <w:tc>
          <w:tcPr>
            <w:tcW w:w="607" w:type="dxa"/>
            <w:vMerge w:val="restart"/>
            <w:tcBorders>
              <w:top w:val="single" w:sz="4" w:space="0" w:color="000000"/>
              <w:bottom w:val="single" w:sz="4" w:space="0" w:color="000000"/>
              <w:right w:val="single" w:sz="4" w:space="0" w:color="000000"/>
            </w:tcBorders>
          </w:tcPr>
          <w:p>
            <w:pPr>
              <w:pStyle w:val="TableParagraph"/>
              <w:spacing w:before="9"/>
              <w:jc w:val="left"/>
              <w:rPr>
                <w:sz w:val="25"/>
              </w:rPr>
            </w:pPr>
          </w:p>
          <w:p>
            <w:pPr>
              <w:pStyle w:val="TableParagraph"/>
              <w:ind w:left="13"/>
              <w:rPr>
                <w:sz w:val="18"/>
              </w:rPr>
            </w:pPr>
            <w:r>
              <w:rPr>
                <w:sz w:val="18"/>
              </w:rPr>
              <w:t>4</w:t>
            </w:r>
          </w:p>
        </w:tc>
        <w:tc>
          <w:tcPr>
            <w:tcW w:w="1344"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Times New Roman"/>
                <w:sz w:val="16"/>
              </w:rPr>
            </w:pP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9"/>
              <w:jc w:val="left"/>
              <w:rPr>
                <w:sz w:val="25"/>
              </w:rPr>
            </w:pPr>
          </w:p>
          <w:p>
            <w:pPr>
              <w:pStyle w:val="TableParagraph"/>
              <w:ind w:left="138"/>
              <w:jc w:val="left"/>
              <w:rPr>
                <w:sz w:val="18"/>
              </w:rPr>
            </w:pPr>
            <w:r>
              <w:rPr>
                <w:sz w:val="18"/>
              </w:rPr>
              <w:t>凝结时间之差</w:t>
            </w: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 w:line="230" w:lineRule="atLeast"/>
              <w:ind w:left="1676" w:hanging="1558"/>
              <w:jc w:val="left"/>
              <w:rPr>
                <w:sz w:val="18"/>
              </w:rPr>
            </w:pPr>
            <w:r>
              <w:rPr>
                <w:spacing w:val="-7"/>
                <w:sz w:val="18"/>
              </w:rPr>
              <w:t>初凝：早强型-</w:t>
            </w:r>
            <w:r>
              <w:rPr>
                <w:spacing w:val="-4"/>
                <w:sz w:val="18"/>
              </w:rPr>
              <w:t>90</w:t>
            </w:r>
            <w:r>
              <w:rPr>
                <w:spacing w:val="-39"/>
                <w:sz w:val="18"/>
              </w:rPr>
              <w:t xml:space="preserve"> </w:t>
            </w:r>
            <w:r>
              <w:rPr>
                <w:spacing w:val="-6"/>
                <w:sz w:val="18"/>
              </w:rPr>
              <w:t>min～+90</w:t>
            </w:r>
            <w:r>
              <w:rPr>
                <w:spacing w:val="-39"/>
                <w:sz w:val="18"/>
              </w:rPr>
              <w:t xml:space="preserve"> </w:t>
            </w:r>
            <w:r>
              <w:rPr>
                <w:spacing w:val="-8"/>
                <w:sz w:val="18"/>
              </w:rPr>
              <w:t>min</w:t>
            </w:r>
            <w:r>
              <w:rPr>
                <w:spacing w:val="-11"/>
                <w:sz w:val="18"/>
              </w:rPr>
              <w:t>，标准型-</w:t>
            </w:r>
            <w:r>
              <w:rPr>
                <w:spacing w:val="-4"/>
                <w:sz w:val="18"/>
              </w:rPr>
              <w:t>90</w:t>
            </w:r>
            <w:r>
              <w:rPr>
                <w:spacing w:val="-37"/>
                <w:sz w:val="18"/>
              </w:rPr>
              <w:t xml:space="preserve"> </w:t>
            </w:r>
            <w:r>
              <w:rPr>
                <w:spacing w:val="-6"/>
                <w:sz w:val="18"/>
              </w:rPr>
              <w:t>min～+120</w:t>
            </w:r>
            <w:r>
              <w:rPr>
                <w:spacing w:val="-37"/>
                <w:sz w:val="18"/>
              </w:rPr>
              <w:t xml:space="preserve"> </w:t>
            </w:r>
            <w:r>
              <w:rPr>
                <w:spacing w:val="-8"/>
                <w:sz w:val="18"/>
              </w:rPr>
              <w:t xml:space="preserve">min， </w:t>
            </w:r>
            <w:r>
              <w:rPr>
                <w:sz w:val="18"/>
              </w:rPr>
              <w:t>缓凝型＞+90</w:t>
            </w:r>
            <w:r>
              <w:rPr>
                <w:spacing w:val="-1"/>
                <w:sz w:val="18"/>
              </w:rPr>
              <w:t xml:space="preserve"> </w:t>
            </w:r>
            <w:r>
              <w:rPr>
                <w:sz w:val="18"/>
              </w:rPr>
              <w:t>min</w:t>
            </w:r>
          </w:p>
        </w:tc>
        <w:tc>
          <w:tcPr>
            <w:tcW w:w="1434" w:type="dxa"/>
            <w:vMerge w:val="restart"/>
            <w:tcBorders>
              <w:top w:val="single" w:sz="4" w:space="0" w:color="000000"/>
              <w:left w:val="single" w:sz="4" w:space="0" w:color="000000"/>
              <w:bottom w:val="single" w:sz="4" w:space="0" w:color="000000"/>
            </w:tcBorders>
          </w:tcPr>
          <w:p>
            <w:pPr>
              <w:pStyle w:val="TableParagraph"/>
              <w:spacing w:before="9"/>
              <w:jc w:val="left"/>
              <w:rPr>
                <w:sz w:val="25"/>
              </w:rPr>
            </w:pPr>
          </w:p>
          <w:p>
            <w:pPr>
              <w:pStyle w:val="TableParagraph"/>
              <w:ind w:left="447"/>
              <w:jc w:val="left"/>
              <w:rPr>
                <w:sz w:val="18"/>
              </w:rPr>
            </w:pPr>
            <w:r>
              <w:rPr>
                <w:sz w:val="18"/>
              </w:rPr>
              <w:t>6.2.12</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7" w:type="dxa"/>
            <w:vMerge/>
            <w:tcBorders>
              <w:top w:val="nil"/>
              <w:bottom w:val="single" w:sz="4" w:space="0" w:color="000000"/>
              <w:right w:val="single" w:sz="4" w:space="0" w:color="000000"/>
            </w:tcBorders>
          </w:tcPr>
          <w:p>
            <w:pPr>
              <w:rPr>
                <w:sz w:val="2"/>
                <w:szCs w:val="2"/>
              </w:rPr>
            </w:pP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80"/>
              <w:ind w:left="19"/>
              <w:rPr>
                <w:sz w:val="18"/>
              </w:rPr>
            </w:pPr>
            <w:r>
              <w:rPr>
                <w:spacing w:val="-9"/>
                <w:sz w:val="18"/>
              </w:rPr>
              <w:t>终凝：早强型-</w:t>
            </w:r>
            <w:r>
              <w:rPr>
                <w:sz w:val="18"/>
              </w:rPr>
              <w:t xml:space="preserve">90 min～+90 </w:t>
            </w:r>
            <w:r>
              <w:rPr>
                <w:spacing w:val="-15"/>
                <w:sz w:val="18"/>
              </w:rPr>
              <w:t>min</w:t>
            </w:r>
            <w:r>
              <w:rPr>
                <w:spacing w:val="-4"/>
                <w:sz w:val="18"/>
              </w:rPr>
              <w:t>，标准型-</w:t>
            </w:r>
            <w:r>
              <w:rPr>
                <w:sz w:val="18"/>
              </w:rPr>
              <w:t>90 min～+120 min</w:t>
            </w:r>
          </w:p>
        </w:tc>
        <w:tc>
          <w:tcPr>
            <w:tcW w:w="1434"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7" w:type="dxa"/>
            <w:vMerge w:val="restart"/>
            <w:tcBorders>
              <w:top w:val="single" w:sz="4" w:space="0" w:color="000000"/>
              <w:bottom w:val="single" w:sz="4" w:space="0" w:color="000000"/>
              <w:right w:val="single" w:sz="4" w:space="0" w:color="000000"/>
            </w:tcBorders>
          </w:tcPr>
          <w:p>
            <w:pPr>
              <w:pStyle w:val="TableParagraph"/>
              <w:jc w:val="left"/>
              <w:rPr>
                <w:sz w:val="18"/>
              </w:rPr>
            </w:pPr>
          </w:p>
          <w:p>
            <w:pPr>
              <w:pStyle w:val="TableParagraph"/>
              <w:jc w:val="left"/>
              <w:rPr>
                <w:sz w:val="18"/>
              </w:rPr>
            </w:pPr>
          </w:p>
          <w:p>
            <w:pPr>
              <w:pStyle w:val="TableParagraph"/>
              <w:spacing w:before="3"/>
              <w:jc w:val="left"/>
              <w:rPr>
                <w:sz w:val="17"/>
              </w:rPr>
            </w:pPr>
          </w:p>
          <w:p>
            <w:pPr>
              <w:pStyle w:val="TableParagraph"/>
              <w:ind w:left="13"/>
              <w:rPr>
                <w:sz w:val="18"/>
              </w:rPr>
            </w:pPr>
            <w:r>
              <w:rPr>
                <w:sz w:val="18"/>
              </w:rPr>
              <w:t>5</w:t>
            </w:r>
          </w:p>
        </w:tc>
        <w:tc>
          <w:tcPr>
            <w:tcW w:w="1344"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sz w:val="18"/>
              </w:rPr>
            </w:pPr>
          </w:p>
          <w:p>
            <w:pPr>
              <w:pStyle w:val="TableParagraph"/>
              <w:jc w:val="left"/>
              <w:rPr>
                <w:sz w:val="18"/>
              </w:rPr>
            </w:pPr>
          </w:p>
          <w:p>
            <w:pPr>
              <w:pStyle w:val="TableParagraph"/>
              <w:spacing w:before="7"/>
              <w:jc w:val="left"/>
              <w:rPr>
                <w:sz w:val="14"/>
              </w:rPr>
            </w:pPr>
          </w:p>
          <w:p>
            <w:pPr>
              <w:pStyle w:val="TableParagraph"/>
              <w:spacing w:before="1" w:line="242" w:lineRule="auto"/>
              <w:ind w:left="407" w:right="386" w:hanging="3"/>
              <w:rPr>
                <w:sz w:val="18"/>
              </w:rPr>
            </w:pPr>
            <w:r>
              <w:rPr>
                <w:sz w:val="18"/>
              </w:rPr>
              <w:t>硬 化 混凝土性能</w:t>
            </w: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sz w:val="18"/>
              </w:rPr>
            </w:pPr>
          </w:p>
          <w:p>
            <w:pPr>
              <w:pStyle w:val="TableParagraph"/>
              <w:jc w:val="left"/>
              <w:rPr>
                <w:sz w:val="18"/>
              </w:rPr>
            </w:pPr>
          </w:p>
          <w:p>
            <w:pPr>
              <w:pStyle w:val="TableParagraph"/>
              <w:spacing w:before="3"/>
              <w:jc w:val="left"/>
              <w:rPr>
                <w:sz w:val="17"/>
              </w:rPr>
            </w:pPr>
          </w:p>
          <w:p>
            <w:pPr>
              <w:pStyle w:val="TableParagraph"/>
              <w:ind w:left="227"/>
              <w:jc w:val="left"/>
              <w:rPr>
                <w:sz w:val="18"/>
              </w:rPr>
            </w:pPr>
            <w:r>
              <w:rPr>
                <w:sz w:val="18"/>
              </w:rPr>
              <w:t>抗压强度比</w:t>
            </w: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9"/>
              <w:ind w:left="19"/>
              <w:rPr>
                <w:sz w:val="18"/>
              </w:rPr>
            </w:pPr>
            <w:r>
              <w:rPr>
                <w:sz w:val="18"/>
              </w:rPr>
              <w:t>1 d：早强型≥135%</w:t>
            </w:r>
          </w:p>
        </w:tc>
        <w:tc>
          <w:tcPr>
            <w:tcW w:w="1434" w:type="dxa"/>
            <w:vMerge w:val="restart"/>
            <w:tcBorders>
              <w:top w:val="single" w:sz="4" w:space="0" w:color="000000"/>
              <w:left w:val="single" w:sz="4" w:space="0" w:color="000000"/>
              <w:bottom w:val="single" w:sz="4" w:space="0" w:color="000000"/>
            </w:tcBorders>
          </w:tcPr>
          <w:p>
            <w:pPr>
              <w:pStyle w:val="TableParagraph"/>
              <w:jc w:val="left"/>
              <w:rPr>
                <w:sz w:val="18"/>
              </w:rPr>
            </w:pPr>
          </w:p>
          <w:p>
            <w:pPr>
              <w:pStyle w:val="TableParagraph"/>
              <w:jc w:val="left"/>
              <w:rPr>
                <w:sz w:val="18"/>
              </w:rPr>
            </w:pPr>
          </w:p>
          <w:p>
            <w:pPr>
              <w:pStyle w:val="TableParagraph"/>
              <w:spacing w:before="3"/>
              <w:jc w:val="left"/>
              <w:rPr>
                <w:sz w:val="17"/>
              </w:rPr>
            </w:pPr>
          </w:p>
          <w:p>
            <w:pPr>
              <w:pStyle w:val="TableParagraph"/>
              <w:ind w:left="447"/>
              <w:jc w:val="left"/>
              <w:rPr>
                <w:sz w:val="18"/>
              </w:rPr>
            </w:pPr>
            <w:r>
              <w:rPr>
                <w:sz w:val="18"/>
              </w:rPr>
              <w:t>6.2.13</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7" w:type="dxa"/>
            <w:vMerge/>
            <w:tcBorders>
              <w:top w:val="nil"/>
              <w:bottom w:val="single" w:sz="4" w:space="0" w:color="000000"/>
              <w:right w:val="single" w:sz="4" w:space="0" w:color="000000"/>
            </w:tcBorders>
          </w:tcPr>
          <w:p>
            <w:pPr>
              <w:rPr>
                <w:sz w:val="2"/>
                <w:szCs w:val="2"/>
              </w:rPr>
            </w:pP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9"/>
              <w:ind w:left="16"/>
              <w:rPr>
                <w:sz w:val="18"/>
              </w:rPr>
            </w:pPr>
            <w:r>
              <w:rPr>
                <w:sz w:val="18"/>
              </w:rPr>
              <w:t>3 d：早强型≥130%，标准型≥115%</w:t>
            </w:r>
          </w:p>
        </w:tc>
        <w:tc>
          <w:tcPr>
            <w:tcW w:w="1434"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7" w:type="dxa"/>
            <w:vMerge/>
            <w:tcBorders>
              <w:top w:val="nil"/>
              <w:bottom w:val="single" w:sz="4" w:space="0" w:color="000000"/>
              <w:right w:val="single" w:sz="4" w:space="0" w:color="000000"/>
            </w:tcBorders>
          </w:tcPr>
          <w:p>
            <w:pPr>
              <w:rPr>
                <w:sz w:val="2"/>
                <w:szCs w:val="2"/>
              </w:rPr>
            </w:pP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9"/>
              <w:ind w:left="19"/>
              <w:rPr>
                <w:sz w:val="18"/>
              </w:rPr>
            </w:pPr>
            <w:r>
              <w:rPr>
                <w:sz w:val="18"/>
              </w:rPr>
              <w:t>7 d：早强型≥110%，标准型≥115%，缓凝型≥110%</w:t>
            </w:r>
          </w:p>
        </w:tc>
        <w:tc>
          <w:tcPr>
            <w:tcW w:w="1434"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7" w:type="dxa"/>
            <w:vMerge/>
            <w:tcBorders>
              <w:top w:val="nil"/>
              <w:bottom w:val="single" w:sz="4" w:space="0" w:color="000000"/>
              <w:right w:val="single" w:sz="4" w:space="0" w:color="000000"/>
            </w:tcBorders>
          </w:tcPr>
          <w:p>
            <w:pPr>
              <w:rPr>
                <w:sz w:val="2"/>
                <w:szCs w:val="2"/>
              </w:rPr>
            </w:pP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9"/>
              <w:ind w:left="17"/>
              <w:rPr>
                <w:sz w:val="18"/>
              </w:rPr>
            </w:pPr>
            <w:r>
              <w:rPr>
                <w:sz w:val="18"/>
              </w:rPr>
              <w:t>28 d：早强型≥100%，标准型≥110%，缓凝型≥110%</w:t>
            </w:r>
          </w:p>
        </w:tc>
        <w:tc>
          <w:tcPr>
            <w:tcW w:w="1434"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7" w:type="dxa"/>
            <w:tcBorders>
              <w:top w:val="single" w:sz="4" w:space="0" w:color="000000"/>
              <w:bottom w:val="single" w:sz="4" w:space="0" w:color="000000"/>
              <w:right w:val="single" w:sz="4" w:space="0" w:color="000000"/>
            </w:tcBorders>
          </w:tcPr>
          <w:p>
            <w:pPr>
              <w:pStyle w:val="TableParagraph"/>
              <w:spacing w:before="79"/>
              <w:ind w:left="13"/>
              <w:rPr>
                <w:sz w:val="18"/>
              </w:rPr>
            </w:pPr>
            <w:r>
              <w:rPr>
                <w:sz w:val="18"/>
              </w:rPr>
              <w:t>6</w:t>
            </w: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1346" w:type="dxa"/>
            <w:tcBorders>
              <w:top w:val="single" w:sz="4" w:space="0" w:color="000000"/>
              <w:left w:val="single" w:sz="4" w:space="0" w:color="000000"/>
              <w:bottom w:val="single" w:sz="4" w:space="0" w:color="000000"/>
              <w:right w:val="single" w:sz="4" w:space="0" w:color="000000"/>
            </w:tcBorders>
          </w:tcPr>
          <w:p>
            <w:pPr>
              <w:pStyle w:val="TableParagraph"/>
              <w:spacing w:before="79"/>
              <w:ind w:left="298" w:right="278"/>
              <w:rPr>
                <w:sz w:val="18"/>
              </w:rPr>
            </w:pPr>
            <w:r>
              <w:rPr>
                <w:sz w:val="18"/>
              </w:rPr>
              <w:t>收缩率比</w:t>
            </w:r>
          </w:p>
        </w:tc>
        <w:tc>
          <w:tcPr>
            <w:tcW w:w="4697" w:type="dxa"/>
            <w:tcBorders>
              <w:top w:val="single" w:sz="4" w:space="0" w:color="000000"/>
              <w:left w:val="single" w:sz="4" w:space="0" w:color="000000"/>
              <w:bottom w:val="single" w:sz="4" w:space="0" w:color="000000"/>
              <w:right w:val="single" w:sz="4" w:space="0" w:color="000000"/>
            </w:tcBorders>
          </w:tcPr>
          <w:p>
            <w:pPr>
              <w:pStyle w:val="TableParagraph"/>
              <w:spacing w:before="79"/>
              <w:ind w:left="19"/>
              <w:rPr>
                <w:sz w:val="18"/>
              </w:rPr>
            </w:pPr>
            <w:r>
              <w:rPr>
                <w:sz w:val="18"/>
              </w:rPr>
              <w:t>≤135%</w:t>
            </w:r>
          </w:p>
        </w:tc>
        <w:tc>
          <w:tcPr>
            <w:tcW w:w="1434" w:type="dxa"/>
            <w:tcBorders>
              <w:top w:val="single" w:sz="4" w:space="0" w:color="000000"/>
              <w:left w:val="single" w:sz="4" w:space="0" w:color="000000"/>
              <w:bottom w:val="single" w:sz="4" w:space="0" w:color="000000"/>
            </w:tcBorders>
          </w:tcPr>
          <w:p>
            <w:pPr>
              <w:pStyle w:val="TableParagraph"/>
              <w:spacing w:before="79"/>
              <w:ind w:left="338" w:right="320"/>
              <w:rPr>
                <w:sz w:val="18"/>
              </w:rPr>
            </w:pPr>
            <w:r>
              <w:rPr>
                <w:sz w:val="18"/>
              </w:rPr>
              <w:t>6.2.15</w:t>
            </w:r>
          </w:p>
        </w:tc>
      </w:tr>
      <w:tr>
        <w:tblPrEx>
          <w:tblW w:w="0" w:type="auto"/>
          <w:jc w:val="left"/>
          <w:tblInd w:w="371" w:type="dxa"/>
          <w:tblLayout w:type="fixed"/>
          <w:tblCellMar>
            <w:top w:w="0" w:type="dxa"/>
            <w:left w:w="0" w:type="dxa"/>
            <w:bottom w:w="0" w:type="dxa"/>
            <w:right w:w="0" w:type="dxa"/>
          </w:tblCellMar>
          <w:tblLook w:val="01E0"/>
        </w:tblPrEx>
        <w:trPr>
          <w:trHeight w:val="1247"/>
          <w:jc w:val="left"/>
        </w:trPr>
        <w:tc>
          <w:tcPr>
            <w:tcW w:w="9428" w:type="dxa"/>
            <w:gridSpan w:val="5"/>
            <w:tcBorders>
              <w:top w:val="single" w:sz="4" w:space="0" w:color="000000"/>
            </w:tcBorders>
          </w:tcPr>
          <w:p>
            <w:pPr>
              <w:pStyle w:val="TableParagraph"/>
              <w:spacing w:before="53"/>
              <w:ind w:left="327"/>
              <w:jc w:val="left"/>
              <w:rPr>
                <w:sz w:val="16"/>
              </w:rPr>
            </w:pPr>
            <w:r>
              <w:rPr>
                <w:rFonts w:ascii="黑体" w:eastAsia="黑体" w:hAnsi="黑体" w:hint="eastAsia"/>
                <w:sz w:val="16"/>
              </w:rPr>
              <w:t>注 1：</w:t>
            </w:r>
            <w:r>
              <w:rPr>
                <w:sz w:val="16"/>
              </w:rPr>
              <w:t>普通减水剂检验采用基准混凝土Ⅱ。</w:t>
            </w:r>
          </w:p>
          <w:p>
            <w:pPr>
              <w:pStyle w:val="TableParagraph"/>
              <w:spacing w:before="107" w:line="364" w:lineRule="auto"/>
              <w:ind w:left="747" w:right="-15" w:hanging="420"/>
              <w:jc w:val="left"/>
              <w:rPr>
                <w:sz w:val="16"/>
              </w:rPr>
            </w:pPr>
            <w:r>
              <w:rPr>
                <w:rFonts w:ascii="黑体" w:eastAsia="黑体" w:hAnsi="黑体" w:hint="eastAsia"/>
                <w:spacing w:val="-14"/>
                <w:sz w:val="16"/>
              </w:rPr>
              <w:t xml:space="preserve">注 </w:t>
            </w:r>
            <w:r>
              <w:rPr>
                <w:rFonts w:ascii="黑体" w:eastAsia="黑体" w:hAnsi="黑体" w:hint="eastAsia"/>
                <w:spacing w:val="-6"/>
                <w:sz w:val="16"/>
              </w:rPr>
              <w:t>2：</w:t>
            </w:r>
            <w:r>
              <w:rPr>
                <w:spacing w:val="-11"/>
                <w:sz w:val="16"/>
              </w:rPr>
              <w:t>除“减水率”和“含气量”外，表中所列其他数据为受检混凝土与基准混凝土对应性能指标的差值或比值。“含气量”为受检</w:t>
            </w:r>
            <w:r>
              <w:rPr>
                <w:spacing w:val="-5"/>
                <w:sz w:val="16"/>
              </w:rPr>
              <w:t>混凝土性能指标。</w:t>
            </w:r>
          </w:p>
          <w:p>
            <w:pPr>
              <w:pStyle w:val="TableParagraph"/>
              <w:spacing w:before="1"/>
              <w:ind w:left="327"/>
              <w:jc w:val="left"/>
              <w:rPr>
                <w:sz w:val="16"/>
              </w:rPr>
            </w:pPr>
            <w:r>
              <w:rPr>
                <w:rFonts w:ascii="黑体" w:eastAsia="黑体" w:hAnsi="黑体" w:hint="eastAsia"/>
                <w:w w:val="100"/>
                <w:sz w:val="16"/>
              </w:rPr>
              <w:t>注</w:t>
            </w:r>
            <w:r>
              <w:rPr>
                <w:rFonts w:ascii="黑体" w:eastAsia="黑体" w:hAnsi="黑体" w:hint="eastAsia"/>
                <w:spacing w:val="-40"/>
                <w:sz w:val="16"/>
              </w:rPr>
              <w:t xml:space="preserve"> </w:t>
            </w:r>
            <w:r>
              <w:rPr>
                <w:rFonts w:ascii="黑体" w:eastAsia="黑体" w:hAnsi="黑体" w:hint="eastAsia"/>
                <w:spacing w:val="-2"/>
                <w:w w:val="100"/>
                <w:sz w:val="16"/>
              </w:rPr>
              <w:t>3</w:t>
            </w:r>
            <w:r>
              <w:rPr>
                <w:rFonts w:ascii="黑体" w:eastAsia="黑体" w:hAnsi="黑体" w:hint="eastAsia"/>
                <w:spacing w:val="-82"/>
                <w:w w:val="100"/>
                <w:sz w:val="16"/>
              </w:rPr>
              <w:t>：</w:t>
            </w:r>
            <w:r>
              <w:rPr>
                <w:spacing w:val="-6"/>
                <w:w w:val="100"/>
                <w:sz w:val="16"/>
              </w:rPr>
              <w:t>“凝结时间之差”中的“–”号表示受检混凝土比基准混凝土的凝结时间提前，“+”号表示凝结时间延缓。</w:t>
            </w:r>
          </w:p>
        </w:tc>
      </w:tr>
    </w:tbl>
    <w:p>
      <w:pPr>
        <w:pStyle w:val="BodyText"/>
        <w:spacing w:before="3"/>
        <w:rPr>
          <w:sz w:val="8"/>
        </w:rPr>
      </w:pPr>
    </w:p>
    <w:p>
      <w:pPr>
        <w:pStyle w:val="ListParagraph"/>
        <w:numPr>
          <w:ilvl w:val="2"/>
          <w:numId w:val="29"/>
        </w:numPr>
        <w:tabs>
          <w:tab w:val="left" w:pos="1133"/>
        </w:tabs>
        <w:spacing w:before="70" w:after="0" w:line="240" w:lineRule="auto"/>
        <w:ind w:left="1132" w:right="0" w:hanging="735"/>
        <w:jc w:val="left"/>
        <w:rPr>
          <w:rFonts w:ascii="黑体" w:eastAsia="黑体" w:hint="eastAsia"/>
          <w:sz w:val="21"/>
        </w:rPr>
      </w:pPr>
      <w:bookmarkStart w:id="48" w:name="5.2.4　引气减水剂"/>
      <w:bookmarkEnd w:id="48"/>
      <w:bookmarkStart w:id="49" w:name="_bookmark11"/>
      <w:bookmarkEnd w:id="49"/>
      <w:r>
        <w:rPr>
          <w:rFonts w:ascii="黑体" w:eastAsia="黑体" w:hint="eastAsia"/>
          <w:sz w:val="21"/>
        </w:rPr>
        <w:t>引气减水剂</w:t>
      </w:r>
    </w:p>
    <w:p>
      <w:pPr>
        <w:pStyle w:val="BodyText"/>
        <w:spacing w:before="7"/>
        <w:rPr>
          <w:rFonts w:ascii="黑体"/>
          <w:sz w:val="15"/>
        </w:rPr>
      </w:pPr>
    </w:p>
    <w:p>
      <w:pPr>
        <w:pStyle w:val="BodyText"/>
        <w:ind w:left="818"/>
      </w:pPr>
      <w:r>
        <w:t>引气减水剂的应用性能应符合表5的要求。</w:t>
      </w:r>
    </w:p>
    <w:p>
      <w:pPr>
        <w:pStyle w:val="BodyText"/>
        <w:spacing w:before="6"/>
        <w:rPr>
          <w:sz w:val="15"/>
        </w:rPr>
      </w:pPr>
    </w:p>
    <w:p>
      <w:pPr>
        <w:pStyle w:val="BodyText"/>
        <w:ind w:left="82"/>
        <w:jc w:val="center"/>
        <w:rPr>
          <w:rFonts w:ascii="黑体" w:eastAsia="黑体" w:hint="eastAsia"/>
        </w:rPr>
      </w:pPr>
      <w:r>
        <w:rPr>
          <w:rFonts w:ascii="黑体" w:eastAsia="黑体" w:hint="eastAsia"/>
        </w:rPr>
        <w:t>表 5 引气减水剂应用性能要求</w:t>
      </w:r>
    </w:p>
    <w:p>
      <w:pPr>
        <w:pStyle w:val="BodyText"/>
        <w:spacing w:before="1"/>
        <w:rPr>
          <w:rFonts w:ascii="黑体"/>
          <w:sz w:val="14"/>
        </w:rPr>
      </w:pPr>
    </w:p>
    <w:tbl>
      <w:tblPr>
        <w:tblStyle w:val="TableNormal5"/>
        <w:tblW w:w="0" w:type="auto"/>
        <w:jc w:val="left"/>
        <w:tblInd w:w="4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97"/>
        <w:gridCol w:w="1329"/>
        <w:gridCol w:w="1331"/>
        <w:gridCol w:w="4649"/>
        <w:gridCol w:w="1427"/>
      </w:tblGrid>
      <w:tr>
        <w:tblPrEx>
          <w:tblW w:w="0" w:type="auto"/>
          <w:jc w:val="left"/>
          <w:tblInd w:w="4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597" w:type="dxa"/>
            <w:tcBorders>
              <w:bottom w:val="single" w:sz="4" w:space="0" w:color="000000"/>
              <w:right w:val="single" w:sz="4" w:space="0" w:color="000000"/>
            </w:tcBorders>
          </w:tcPr>
          <w:p>
            <w:pPr>
              <w:pStyle w:val="TableParagraph"/>
              <w:spacing w:before="80"/>
              <w:ind w:left="98" w:right="83"/>
              <w:rPr>
                <w:sz w:val="18"/>
              </w:rPr>
            </w:pPr>
            <w:r>
              <w:rPr>
                <w:sz w:val="18"/>
              </w:rPr>
              <w:t>序号</w:t>
            </w:r>
          </w:p>
        </w:tc>
        <w:tc>
          <w:tcPr>
            <w:tcW w:w="1329" w:type="dxa"/>
            <w:tcBorders>
              <w:left w:val="single" w:sz="4" w:space="0" w:color="000000"/>
              <w:bottom w:val="single" w:sz="4" w:space="0" w:color="000000"/>
              <w:right w:val="single" w:sz="4" w:space="0" w:color="000000"/>
            </w:tcBorders>
          </w:tcPr>
          <w:p>
            <w:pPr>
              <w:pStyle w:val="TableParagraph"/>
              <w:spacing w:before="80"/>
              <w:ind w:left="469" w:right="450"/>
              <w:rPr>
                <w:sz w:val="18"/>
              </w:rPr>
            </w:pPr>
            <w:r>
              <w:rPr>
                <w:sz w:val="18"/>
              </w:rPr>
              <w:t>类别</w:t>
            </w:r>
          </w:p>
        </w:tc>
        <w:tc>
          <w:tcPr>
            <w:tcW w:w="1331" w:type="dxa"/>
            <w:tcBorders>
              <w:left w:val="single" w:sz="4" w:space="0" w:color="000000"/>
              <w:bottom w:val="single" w:sz="4" w:space="0" w:color="000000"/>
              <w:right w:val="single" w:sz="4" w:space="0" w:color="000000"/>
            </w:tcBorders>
          </w:tcPr>
          <w:p>
            <w:pPr>
              <w:pStyle w:val="TableParagraph"/>
              <w:spacing w:before="80"/>
              <w:ind w:left="198" w:right="180"/>
              <w:rPr>
                <w:sz w:val="18"/>
              </w:rPr>
            </w:pPr>
            <w:r>
              <w:rPr>
                <w:sz w:val="18"/>
              </w:rPr>
              <w:t>项 目</w:t>
            </w:r>
          </w:p>
        </w:tc>
        <w:tc>
          <w:tcPr>
            <w:tcW w:w="4649" w:type="dxa"/>
            <w:tcBorders>
              <w:left w:val="single" w:sz="4" w:space="0" w:color="000000"/>
              <w:bottom w:val="single" w:sz="4" w:space="0" w:color="000000"/>
              <w:right w:val="single" w:sz="4" w:space="0" w:color="000000"/>
            </w:tcBorders>
          </w:tcPr>
          <w:p>
            <w:pPr>
              <w:pStyle w:val="TableParagraph"/>
              <w:spacing w:before="80"/>
              <w:ind w:left="1228" w:right="1209"/>
              <w:rPr>
                <w:sz w:val="18"/>
              </w:rPr>
            </w:pPr>
            <w:r>
              <w:rPr>
                <w:sz w:val="18"/>
              </w:rPr>
              <w:t>要求</w:t>
            </w:r>
          </w:p>
        </w:tc>
        <w:tc>
          <w:tcPr>
            <w:tcW w:w="1427" w:type="dxa"/>
            <w:tcBorders>
              <w:left w:val="single" w:sz="4" w:space="0" w:color="000000"/>
              <w:bottom w:val="single" w:sz="4" w:space="0" w:color="000000"/>
            </w:tcBorders>
          </w:tcPr>
          <w:p>
            <w:pPr>
              <w:pStyle w:val="TableParagraph"/>
              <w:spacing w:before="80"/>
              <w:ind w:left="335" w:right="316"/>
              <w:rPr>
                <w:sz w:val="18"/>
              </w:rPr>
            </w:pPr>
            <w:r>
              <w:rPr>
                <w:sz w:val="18"/>
              </w:rPr>
              <w:t>试验方法</w:t>
            </w:r>
          </w:p>
        </w:tc>
      </w:tr>
      <w:tr>
        <w:tblPrEx>
          <w:tblW w:w="0" w:type="auto"/>
          <w:jc w:val="left"/>
          <w:tblInd w:w="419" w:type="dxa"/>
          <w:tblLayout w:type="fixed"/>
          <w:tblCellMar>
            <w:top w:w="0" w:type="dxa"/>
            <w:left w:w="0" w:type="dxa"/>
            <w:bottom w:w="0" w:type="dxa"/>
            <w:right w:w="0" w:type="dxa"/>
          </w:tblCellMar>
          <w:tblLook w:val="01E0"/>
        </w:tblPrEx>
        <w:trPr>
          <w:trHeight w:val="391"/>
          <w:jc w:val="left"/>
        </w:trPr>
        <w:tc>
          <w:tcPr>
            <w:tcW w:w="597" w:type="dxa"/>
            <w:tcBorders>
              <w:top w:val="single" w:sz="4" w:space="0" w:color="000000"/>
              <w:bottom w:val="single" w:sz="4" w:space="0" w:color="000000"/>
              <w:right w:val="single" w:sz="4" w:space="0" w:color="000000"/>
            </w:tcBorders>
          </w:tcPr>
          <w:p>
            <w:pPr>
              <w:pStyle w:val="TableParagraph"/>
              <w:spacing w:before="79"/>
              <w:ind w:left="14"/>
              <w:rPr>
                <w:sz w:val="18"/>
              </w:rPr>
            </w:pPr>
            <w:r>
              <w:rPr>
                <w:sz w:val="18"/>
              </w:rPr>
              <w:t>1</w:t>
            </w:r>
          </w:p>
        </w:tc>
        <w:tc>
          <w:tcPr>
            <w:tcW w:w="1329"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6"/>
              </w:rPr>
            </w:pPr>
          </w:p>
          <w:p>
            <w:pPr>
              <w:pStyle w:val="TableParagraph"/>
              <w:spacing w:before="1" w:line="242" w:lineRule="auto"/>
              <w:ind w:left="397" w:right="379"/>
              <w:jc w:val="both"/>
              <w:rPr>
                <w:sz w:val="18"/>
              </w:rPr>
            </w:pPr>
            <w:r>
              <w:rPr>
                <w:sz w:val="18"/>
              </w:rPr>
              <w:t>混凝土拌合物性能</w:t>
            </w: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79"/>
              <w:ind w:left="198" w:right="183"/>
              <w:rPr>
                <w:sz w:val="18"/>
              </w:rPr>
            </w:pPr>
            <w:r>
              <w:rPr>
                <w:sz w:val="18"/>
              </w:rPr>
              <w:t>减水率</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9"/>
              <w:ind w:left="1228" w:right="1211"/>
              <w:rPr>
                <w:sz w:val="18"/>
              </w:rPr>
            </w:pPr>
            <w:r>
              <w:rPr>
                <w:sz w:val="18"/>
              </w:rPr>
              <w:t>≥10%</w:t>
            </w:r>
          </w:p>
        </w:tc>
        <w:tc>
          <w:tcPr>
            <w:tcW w:w="1427" w:type="dxa"/>
            <w:tcBorders>
              <w:top w:val="single" w:sz="4" w:space="0" w:color="000000"/>
              <w:left w:val="single" w:sz="4" w:space="0" w:color="000000"/>
              <w:bottom w:val="single" w:sz="4" w:space="0" w:color="000000"/>
            </w:tcBorders>
          </w:tcPr>
          <w:p>
            <w:pPr>
              <w:pStyle w:val="TableParagraph"/>
              <w:spacing w:before="79"/>
              <w:ind w:left="334" w:right="316"/>
              <w:rPr>
                <w:sz w:val="18"/>
              </w:rPr>
            </w:pPr>
            <w:r>
              <w:rPr>
                <w:sz w:val="18"/>
              </w:rPr>
              <w:t>6.2.8</w:t>
            </w:r>
          </w:p>
        </w:tc>
      </w:tr>
      <w:tr>
        <w:tblPrEx>
          <w:tblW w:w="0" w:type="auto"/>
          <w:jc w:val="left"/>
          <w:tblInd w:w="419" w:type="dxa"/>
          <w:tblLayout w:type="fixed"/>
          <w:tblCellMar>
            <w:top w:w="0" w:type="dxa"/>
            <w:left w:w="0" w:type="dxa"/>
            <w:bottom w:w="0" w:type="dxa"/>
            <w:right w:w="0" w:type="dxa"/>
          </w:tblCellMar>
          <w:tblLook w:val="01E0"/>
        </w:tblPrEx>
        <w:trPr>
          <w:trHeight w:val="391"/>
          <w:jc w:val="left"/>
        </w:trPr>
        <w:tc>
          <w:tcPr>
            <w:tcW w:w="597" w:type="dxa"/>
            <w:tcBorders>
              <w:top w:val="single" w:sz="4" w:space="0" w:color="000000"/>
              <w:bottom w:val="single" w:sz="4" w:space="0" w:color="000000"/>
              <w:right w:val="single" w:sz="4" w:space="0" w:color="000000"/>
            </w:tcBorders>
          </w:tcPr>
          <w:p>
            <w:pPr>
              <w:pStyle w:val="TableParagraph"/>
              <w:spacing w:before="79"/>
              <w:ind w:left="14"/>
              <w:rPr>
                <w:sz w:val="18"/>
              </w:rPr>
            </w:pPr>
            <w:r>
              <w:rPr>
                <w:sz w:val="18"/>
              </w:rPr>
              <w:t>2</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79"/>
              <w:ind w:left="198" w:right="180"/>
              <w:rPr>
                <w:sz w:val="18"/>
              </w:rPr>
            </w:pPr>
            <w:r>
              <w:rPr>
                <w:sz w:val="18"/>
              </w:rPr>
              <w:t>泌水率比</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9"/>
              <w:ind w:left="1228" w:right="1211"/>
              <w:rPr>
                <w:sz w:val="18"/>
              </w:rPr>
            </w:pPr>
            <w:r>
              <w:rPr>
                <w:sz w:val="18"/>
              </w:rPr>
              <w:t>≤70%</w:t>
            </w:r>
          </w:p>
        </w:tc>
        <w:tc>
          <w:tcPr>
            <w:tcW w:w="1427" w:type="dxa"/>
            <w:tcBorders>
              <w:top w:val="single" w:sz="4" w:space="0" w:color="000000"/>
              <w:left w:val="single" w:sz="4" w:space="0" w:color="000000"/>
              <w:bottom w:val="single" w:sz="4" w:space="0" w:color="000000"/>
            </w:tcBorders>
          </w:tcPr>
          <w:p>
            <w:pPr>
              <w:pStyle w:val="TableParagraph"/>
              <w:spacing w:before="79"/>
              <w:ind w:left="334" w:right="316"/>
              <w:rPr>
                <w:sz w:val="18"/>
              </w:rPr>
            </w:pPr>
            <w:r>
              <w:rPr>
                <w:sz w:val="18"/>
              </w:rPr>
              <w:t>6.2.9</w:t>
            </w:r>
          </w:p>
        </w:tc>
      </w:tr>
      <w:tr>
        <w:tblPrEx>
          <w:tblW w:w="0" w:type="auto"/>
          <w:jc w:val="left"/>
          <w:tblInd w:w="419" w:type="dxa"/>
          <w:tblLayout w:type="fixed"/>
          <w:tblCellMar>
            <w:top w:w="0" w:type="dxa"/>
            <w:left w:w="0" w:type="dxa"/>
            <w:bottom w:w="0" w:type="dxa"/>
            <w:right w:w="0" w:type="dxa"/>
          </w:tblCellMar>
          <w:tblLook w:val="01E0"/>
        </w:tblPrEx>
        <w:trPr>
          <w:trHeight w:val="391"/>
          <w:jc w:val="left"/>
        </w:trPr>
        <w:tc>
          <w:tcPr>
            <w:tcW w:w="597" w:type="dxa"/>
            <w:tcBorders>
              <w:top w:val="single" w:sz="4" w:space="0" w:color="000000"/>
              <w:bottom w:val="single" w:sz="4" w:space="0" w:color="000000"/>
              <w:right w:val="single" w:sz="4" w:space="0" w:color="000000"/>
            </w:tcBorders>
          </w:tcPr>
          <w:p>
            <w:pPr>
              <w:pStyle w:val="TableParagraph"/>
              <w:spacing w:before="79"/>
              <w:ind w:left="14"/>
              <w:rPr>
                <w:sz w:val="18"/>
              </w:rPr>
            </w:pPr>
            <w:r>
              <w:rPr>
                <w:sz w:val="18"/>
              </w:rPr>
              <w:t>3</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79"/>
              <w:ind w:left="198" w:right="183"/>
              <w:rPr>
                <w:sz w:val="18"/>
              </w:rPr>
            </w:pPr>
            <w:r>
              <w:rPr>
                <w:sz w:val="18"/>
              </w:rPr>
              <w:t>含气量</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9"/>
              <w:ind w:left="1228" w:right="1211"/>
              <w:rPr>
                <w:sz w:val="18"/>
              </w:rPr>
            </w:pPr>
            <w:r>
              <w:rPr>
                <w:sz w:val="18"/>
              </w:rPr>
              <w:t>≥3.5%</w:t>
            </w:r>
          </w:p>
        </w:tc>
        <w:tc>
          <w:tcPr>
            <w:tcW w:w="1427" w:type="dxa"/>
            <w:tcBorders>
              <w:top w:val="single" w:sz="4" w:space="0" w:color="000000"/>
              <w:left w:val="single" w:sz="4" w:space="0" w:color="000000"/>
              <w:bottom w:val="single" w:sz="4" w:space="0" w:color="000000"/>
            </w:tcBorders>
          </w:tcPr>
          <w:p>
            <w:pPr>
              <w:pStyle w:val="TableParagraph"/>
              <w:spacing w:before="79"/>
              <w:ind w:left="334" w:right="316"/>
              <w:rPr>
                <w:sz w:val="18"/>
              </w:rPr>
            </w:pPr>
            <w:r>
              <w:rPr>
                <w:sz w:val="18"/>
              </w:rPr>
              <w:t>6.2.11</w:t>
            </w:r>
          </w:p>
        </w:tc>
      </w:tr>
      <w:tr>
        <w:tblPrEx>
          <w:tblW w:w="0" w:type="auto"/>
          <w:jc w:val="left"/>
          <w:tblInd w:w="419" w:type="dxa"/>
          <w:tblLayout w:type="fixed"/>
          <w:tblCellMar>
            <w:top w:w="0" w:type="dxa"/>
            <w:left w:w="0" w:type="dxa"/>
            <w:bottom w:w="0" w:type="dxa"/>
            <w:right w:w="0" w:type="dxa"/>
          </w:tblCellMar>
          <w:tblLook w:val="01E0"/>
        </w:tblPrEx>
        <w:trPr>
          <w:trHeight w:val="489"/>
          <w:jc w:val="left"/>
        </w:trPr>
        <w:tc>
          <w:tcPr>
            <w:tcW w:w="597" w:type="dxa"/>
            <w:tcBorders>
              <w:top w:val="single" w:sz="4" w:space="0" w:color="000000"/>
              <w:bottom w:val="single" w:sz="4" w:space="0" w:color="000000"/>
              <w:right w:val="single" w:sz="4" w:space="0" w:color="000000"/>
            </w:tcBorders>
          </w:tcPr>
          <w:p>
            <w:pPr>
              <w:pStyle w:val="TableParagraph"/>
              <w:spacing w:before="129"/>
              <w:ind w:left="14"/>
              <w:rPr>
                <w:sz w:val="18"/>
              </w:rPr>
            </w:pPr>
            <w:r>
              <w:rPr>
                <w:sz w:val="18"/>
              </w:rPr>
              <w:t>4</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7" w:line="230" w:lineRule="atLeast"/>
              <w:ind w:left="398" w:right="8" w:hanging="336"/>
              <w:jc w:val="left"/>
              <w:rPr>
                <w:sz w:val="18"/>
              </w:rPr>
            </w:pPr>
            <w:r>
              <w:rPr>
                <w:spacing w:val="-12"/>
                <w:sz w:val="18"/>
              </w:rPr>
              <w:t xml:space="preserve">含气量 </w:t>
            </w:r>
            <w:r>
              <w:rPr>
                <w:sz w:val="18"/>
              </w:rPr>
              <w:t>1 h</w:t>
            </w:r>
            <w:r>
              <w:rPr>
                <w:spacing w:val="-20"/>
                <w:sz w:val="18"/>
              </w:rPr>
              <w:t xml:space="preserve"> 经时</w:t>
            </w:r>
            <w:r>
              <w:rPr>
                <w:sz w:val="18"/>
              </w:rPr>
              <w:t>变化量</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129"/>
              <w:ind w:left="1228" w:right="1211"/>
              <w:rPr>
                <w:sz w:val="18"/>
              </w:rPr>
            </w:pPr>
            <w:r>
              <w:rPr>
                <w:sz w:val="18"/>
              </w:rPr>
              <w:t>-1.5%～+1.5%</w:t>
            </w:r>
          </w:p>
        </w:tc>
        <w:tc>
          <w:tcPr>
            <w:tcW w:w="1427" w:type="dxa"/>
            <w:tcBorders>
              <w:top w:val="single" w:sz="4" w:space="0" w:color="000000"/>
              <w:left w:val="single" w:sz="4" w:space="0" w:color="000000"/>
              <w:bottom w:val="single" w:sz="4" w:space="0" w:color="000000"/>
            </w:tcBorders>
          </w:tcPr>
          <w:p>
            <w:pPr>
              <w:pStyle w:val="TableParagraph"/>
              <w:spacing w:before="129"/>
              <w:ind w:left="334" w:right="316"/>
              <w:rPr>
                <w:sz w:val="18"/>
              </w:rPr>
            </w:pPr>
            <w:r>
              <w:rPr>
                <w:sz w:val="18"/>
              </w:rPr>
              <w:t>6.2.11</w:t>
            </w:r>
          </w:p>
        </w:tc>
      </w:tr>
      <w:tr>
        <w:tblPrEx>
          <w:tblW w:w="0" w:type="auto"/>
          <w:jc w:val="left"/>
          <w:tblInd w:w="419" w:type="dxa"/>
          <w:tblLayout w:type="fixed"/>
          <w:tblCellMar>
            <w:top w:w="0" w:type="dxa"/>
            <w:left w:w="0" w:type="dxa"/>
            <w:bottom w:w="0" w:type="dxa"/>
            <w:right w:w="0" w:type="dxa"/>
          </w:tblCellMar>
          <w:tblLook w:val="01E0"/>
        </w:tblPrEx>
        <w:trPr>
          <w:trHeight w:val="390"/>
          <w:jc w:val="left"/>
        </w:trPr>
        <w:tc>
          <w:tcPr>
            <w:tcW w:w="597" w:type="dxa"/>
            <w:vMerge w:val="restart"/>
            <w:tcBorders>
              <w:top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4"/>
              <w:rPr>
                <w:sz w:val="18"/>
              </w:rPr>
            </w:pPr>
            <w:r>
              <w:rPr>
                <w:sz w:val="18"/>
              </w:rPr>
              <w:t>5</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29"/>
              <w:jc w:val="left"/>
              <w:rPr>
                <w:sz w:val="18"/>
              </w:rPr>
            </w:pPr>
            <w:r>
              <w:rPr>
                <w:sz w:val="18"/>
              </w:rPr>
              <w:t>凝结时间之差</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9"/>
              <w:ind w:left="1228" w:right="1208"/>
              <w:rPr>
                <w:sz w:val="18"/>
              </w:rPr>
            </w:pPr>
            <w:r>
              <w:rPr>
                <w:sz w:val="18"/>
              </w:rPr>
              <w:t>初凝：-90 min～+120 min</w:t>
            </w:r>
          </w:p>
        </w:tc>
        <w:tc>
          <w:tcPr>
            <w:tcW w:w="1427" w:type="dxa"/>
            <w:vMerge w:val="restart"/>
            <w:tcBorders>
              <w:top w:val="single" w:sz="4" w:space="0" w:color="000000"/>
              <w:left w:val="single" w:sz="4" w:space="0" w:color="000000"/>
              <w:bottom w:val="single" w:sz="4" w:space="0" w:color="000000"/>
            </w:tcBorders>
          </w:tcPr>
          <w:p>
            <w:pPr>
              <w:pStyle w:val="TableParagraph"/>
              <w:spacing w:before="11"/>
              <w:jc w:val="left"/>
              <w:rPr>
                <w:rFonts w:ascii="黑体"/>
                <w:sz w:val="21"/>
              </w:rPr>
            </w:pPr>
          </w:p>
          <w:p>
            <w:pPr>
              <w:pStyle w:val="TableParagraph"/>
              <w:ind w:left="444"/>
              <w:jc w:val="left"/>
              <w:rPr>
                <w:sz w:val="18"/>
              </w:rPr>
            </w:pPr>
            <w:r>
              <w:rPr>
                <w:sz w:val="18"/>
              </w:rPr>
              <w:t>6.2.12</w:t>
            </w:r>
          </w:p>
        </w:tc>
      </w:tr>
      <w:tr>
        <w:tblPrEx>
          <w:tblW w:w="0" w:type="auto"/>
          <w:jc w:val="left"/>
          <w:tblInd w:w="419" w:type="dxa"/>
          <w:tblLayout w:type="fixed"/>
          <w:tblCellMar>
            <w:top w:w="0" w:type="dxa"/>
            <w:left w:w="0" w:type="dxa"/>
            <w:bottom w:w="0" w:type="dxa"/>
            <w:right w:w="0" w:type="dxa"/>
          </w:tblCellMar>
          <w:tblLook w:val="01E0"/>
        </w:tblPrEx>
        <w:trPr>
          <w:trHeight w:val="390"/>
          <w:jc w:val="left"/>
        </w:trPr>
        <w:tc>
          <w:tcPr>
            <w:tcW w:w="597" w:type="dxa"/>
            <w:vMerge/>
            <w:tcBorders>
              <w:top w:val="nil"/>
              <w:bottom w:val="single" w:sz="4" w:space="0" w:color="000000"/>
              <w:right w:val="single" w:sz="4" w:space="0" w:color="000000"/>
            </w:tcBorders>
          </w:tcPr>
          <w:p>
            <w:pPr>
              <w:rPr>
                <w:sz w:val="2"/>
                <w:szCs w:val="2"/>
              </w:rPr>
            </w:pP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vMerge/>
            <w:tcBorders>
              <w:top w:val="nil"/>
              <w:left w:val="single" w:sz="4" w:space="0" w:color="000000"/>
              <w:bottom w:val="single" w:sz="4" w:space="0" w:color="000000"/>
              <w:right w:val="single" w:sz="4" w:space="0" w:color="000000"/>
            </w:tcBorders>
          </w:tcPr>
          <w:p>
            <w:pPr>
              <w:rPr>
                <w:sz w:val="2"/>
                <w:szCs w:val="2"/>
              </w:rPr>
            </w:pP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9"/>
              <w:ind w:left="1228" w:right="1211"/>
              <w:rPr>
                <w:sz w:val="18"/>
              </w:rPr>
            </w:pPr>
            <w:r>
              <w:rPr>
                <w:sz w:val="18"/>
              </w:rPr>
              <w:t>终凝：-90 min ～+120 min</w:t>
            </w:r>
          </w:p>
        </w:tc>
        <w:tc>
          <w:tcPr>
            <w:tcW w:w="1427" w:type="dxa"/>
            <w:vMerge/>
            <w:tcBorders>
              <w:top w:val="nil"/>
              <w:left w:val="single" w:sz="4" w:space="0" w:color="000000"/>
              <w:bottom w:val="single" w:sz="4" w:space="0" w:color="000000"/>
            </w:tcBorders>
          </w:tcPr>
          <w:p>
            <w:pPr>
              <w:rPr>
                <w:sz w:val="2"/>
                <w:szCs w:val="2"/>
              </w:rPr>
            </w:pPr>
          </w:p>
        </w:tc>
      </w:tr>
      <w:tr>
        <w:tblPrEx>
          <w:tblW w:w="0" w:type="auto"/>
          <w:jc w:val="left"/>
          <w:tblInd w:w="419" w:type="dxa"/>
          <w:tblLayout w:type="fixed"/>
          <w:tblCellMar>
            <w:top w:w="0" w:type="dxa"/>
            <w:left w:w="0" w:type="dxa"/>
            <w:bottom w:w="0" w:type="dxa"/>
            <w:right w:w="0" w:type="dxa"/>
          </w:tblCellMar>
          <w:tblLook w:val="01E0"/>
        </w:tblPrEx>
        <w:trPr>
          <w:trHeight w:val="391"/>
          <w:jc w:val="left"/>
        </w:trPr>
        <w:tc>
          <w:tcPr>
            <w:tcW w:w="597" w:type="dxa"/>
            <w:vMerge w:val="restart"/>
            <w:tcBorders>
              <w:top w:val="single" w:sz="4" w:space="0" w:color="000000"/>
              <w:bottom w:val="single" w:sz="4" w:space="0" w:color="000000"/>
              <w:right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14"/>
              <w:rPr>
                <w:sz w:val="18"/>
              </w:rPr>
            </w:pPr>
            <w:r>
              <w:rPr>
                <w:sz w:val="18"/>
              </w:rPr>
              <w:t>6</w:t>
            </w:r>
          </w:p>
        </w:tc>
        <w:tc>
          <w:tcPr>
            <w:tcW w:w="1329"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6"/>
              <w:jc w:val="left"/>
              <w:rPr>
                <w:rFonts w:ascii="黑体"/>
                <w:sz w:val="14"/>
              </w:rPr>
            </w:pPr>
          </w:p>
          <w:p>
            <w:pPr>
              <w:pStyle w:val="TableParagraph"/>
              <w:spacing w:line="242" w:lineRule="auto"/>
              <w:ind w:left="397" w:right="379" w:firstLine="2"/>
              <w:rPr>
                <w:sz w:val="18"/>
              </w:rPr>
            </w:pPr>
            <w:r>
              <w:rPr>
                <w:sz w:val="18"/>
              </w:rPr>
              <w:t>硬 化 混凝土性能</w:t>
            </w:r>
          </w:p>
        </w:tc>
        <w:tc>
          <w:tcPr>
            <w:tcW w:w="1331"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218"/>
              <w:jc w:val="left"/>
              <w:rPr>
                <w:sz w:val="18"/>
              </w:rPr>
            </w:pPr>
            <w:r>
              <w:rPr>
                <w:sz w:val="18"/>
              </w:rPr>
              <w:t>抗压强度比</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8"/>
              <w:ind w:left="1228" w:right="1208"/>
              <w:rPr>
                <w:sz w:val="18"/>
              </w:rPr>
            </w:pPr>
            <w:r>
              <w:rPr>
                <w:sz w:val="18"/>
              </w:rPr>
              <w:t>3 d：≥120%</w:t>
            </w:r>
          </w:p>
        </w:tc>
        <w:tc>
          <w:tcPr>
            <w:tcW w:w="1427" w:type="dxa"/>
            <w:vMerge w:val="restart"/>
            <w:tcBorders>
              <w:top w:val="single" w:sz="4" w:space="0" w:color="000000"/>
              <w:left w:val="single" w:sz="4" w:space="0" w:color="000000"/>
              <w:bottom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444"/>
              <w:jc w:val="left"/>
              <w:rPr>
                <w:sz w:val="18"/>
              </w:rPr>
            </w:pPr>
            <w:r>
              <w:rPr>
                <w:sz w:val="18"/>
              </w:rPr>
              <w:t>6.2.13</w:t>
            </w:r>
          </w:p>
        </w:tc>
      </w:tr>
      <w:tr>
        <w:tblPrEx>
          <w:tblW w:w="0" w:type="auto"/>
          <w:jc w:val="left"/>
          <w:tblInd w:w="419" w:type="dxa"/>
          <w:tblLayout w:type="fixed"/>
          <w:tblCellMar>
            <w:top w:w="0" w:type="dxa"/>
            <w:left w:w="0" w:type="dxa"/>
            <w:bottom w:w="0" w:type="dxa"/>
            <w:right w:w="0" w:type="dxa"/>
          </w:tblCellMar>
          <w:tblLook w:val="01E0"/>
        </w:tblPrEx>
        <w:trPr>
          <w:trHeight w:val="390"/>
          <w:jc w:val="left"/>
        </w:trPr>
        <w:tc>
          <w:tcPr>
            <w:tcW w:w="597" w:type="dxa"/>
            <w:vMerge/>
            <w:tcBorders>
              <w:top w:val="nil"/>
              <w:bottom w:val="single" w:sz="4" w:space="0" w:color="000000"/>
              <w:right w:val="single" w:sz="4" w:space="0" w:color="000000"/>
            </w:tcBorders>
          </w:tcPr>
          <w:p>
            <w:pPr>
              <w:rPr>
                <w:sz w:val="2"/>
                <w:szCs w:val="2"/>
              </w:rPr>
            </w:pP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vMerge/>
            <w:tcBorders>
              <w:top w:val="nil"/>
              <w:left w:val="single" w:sz="4" w:space="0" w:color="000000"/>
              <w:bottom w:val="single" w:sz="4" w:space="0" w:color="000000"/>
              <w:right w:val="single" w:sz="4" w:space="0" w:color="000000"/>
            </w:tcBorders>
          </w:tcPr>
          <w:p>
            <w:pPr>
              <w:rPr>
                <w:sz w:val="2"/>
                <w:szCs w:val="2"/>
              </w:rPr>
            </w:pP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8"/>
              <w:ind w:left="1228" w:right="1208"/>
              <w:rPr>
                <w:sz w:val="18"/>
              </w:rPr>
            </w:pPr>
            <w:r>
              <w:rPr>
                <w:sz w:val="18"/>
              </w:rPr>
              <w:t>7 d：≥115%</w:t>
            </w:r>
          </w:p>
        </w:tc>
        <w:tc>
          <w:tcPr>
            <w:tcW w:w="1427" w:type="dxa"/>
            <w:vMerge/>
            <w:tcBorders>
              <w:top w:val="nil"/>
              <w:left w:val="single" w:sz="4" w:space="0" w:color="000000"/>
              <w:bottom w:val="single" w:sz="4" w:space="0" w:color="000000"/>
            </w:tcBorders>
          </w:tcPr>
          <w:p>
            <w:pPr>
              <w:rPr>
                <w:sz w:val="2"/>
                <w:szCs w:val="2"/>
              </w:rPr>
            </w:pPr>
          </w:p>
        </w:tc>
      </w:tr>
      <w:tr>
        <w:tblPrEx>
          <w:tblW w:w="0" w:type="auto"/>
          <w:jc w:val="left"/>
          <w:tblInd w:w="419" w:type="dxa"/>
          <w:tblLayout w:type="fixed"/>
          <w:tblCellMar>
            <w:top w:w="0" w:type="dxa"/>
            <w:left w:w="0" w:type="dxa"/>
            <w:bottom w:w="0" w:type="dxa"/>
            <w:right w:w="0" w:type="dxa"/>
          </w:tblCellMar>
          <w:tblLook w:val="01E0"/>
        </w:tblPrEx>
        <w:trPr>
          <w:trHeight w:val="391"/>
          <w:jc w:val="left"/>
        </w:trPr>
        <w:tc>
          <w:tcPr>
            <w:tcW w:w="597" w:type="dxa"/>
            <w:vMerge/>
            <w:tcBorders>
              <w:top w:val="nil"/>
              <w:bottom w:val="single" w:sz="4" w:space="0" w:color="000000"/>
              <w:right w:val="single" w:sz="4" w:space="0" w:color="000000"/>
            </w:tcBorders>
          </w:tcPr>
          <w:p>
            <w:pPr>
              <w:rPr>
                <w:sz w:val="2"/>
                <w:szCs w:val="2"/>
              </w:rPr>
            </w:pP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vMerge/>
            <w:tcBorders>
              <w:top w:val="nil"/>
              <w:left w:val="single" w:sz="4" w:space="0" w:color="000000"/>
              <w:bottom w:val="single" w:sz="4" w:space="0" w:color="000000"/>
              <w:right w:val="single" w:sz="4" w:space="0" w:color="000000"/>
            </w:tcBorders>
          </w:tcPr>
          <w:p>
            <w:pPr>
              <w:rPr>
                <w:sz w:val="2"/>
                <w:szCs w:val="2"/>
              </w:rPr>
            </w:pP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8"/>
              <w:ind w:left="1228" w:right="1208"/>
              <w:rPr>
                <w:sz w:val="18"/>
              </w:rPr>
            </w:pPr>
            <w:r>
              <w:rPr>
                <w:sz w:val="18"/>
              </w:rPr>
              <w:t>28 d：≥105%</w:t>
            </w:r>
          </w:p>
        </w:tc>
        <w:tc>
          <w:tcPr>
            <w:tcW w:w="1427" w:type="dxa"/>
            <w:vMerge/>
            <w:tcBorders>
              <w:top w:val="nil"/>
              <w:left w:val="single" w:sz="4" w:space="0" w:color="000000"/>
              <w:bottom w:val="single" w:sz="4" w:space="0" w:color="000000"/>
            </w:tcBorders>
          </w:tcPr>
          <w:p>
            <w:pPr>
              <w:rPr>
                <w:sz w:val="2"/>
                <w:szCs w:val="2"/>
              </w:rPr>
            </w:pPr>
          </w:p>
        </w:tc>
      </w:tr>
      <w:tr>
        <w:tblPrEx>
          <w:tblW w:w="0" w:type="auto"/>
          <w:jc w:val="left"/>
          <w:tblInd w:w="419" w:type="dxa"/>
          <w:tblLayout w:type="fixed"/>
          <w:tblCellMar>
            <w:top w:w="0" w:type="dxa"/>
            <w:left w:w="0" w:type="dxa"/>
            <w:bottom w:w="0" w:type="dxa"/>
            <w:right w:w="0" w:type="dxa"/>
          </w:tblCellMar>
          <w:tblLook w:val="01E0"/>
        </w:tblPrEx>
        <w:trPr>
          <w:trHeight w:val="390"/>
          <w:jc w:val="left"/>
        </w:trPr>
        <w:tc>
          <w:tcPr>
            <w:tcW w:w="597" w:type="dxa"/>
            <w:tcBorders>
              <w:top w:val="single" w:sz="4" w:space="0" w:color="000000"/>
              <w:bottom w:val="single" w:sz="4" w:space="0" w:color="000000"/>
              <w:right w:val="single" w:sz="4" w:space="0" w:color="000000"/>
            </w:tcBorders>
          </w:tcPr>
          <w:p>
            <w:pPr>
              <w:pStyle w:val="TableParagraph"/>
              <w:spacing w:before="78"/>
              <w:ind w:left="14"/>
              <w:rPr>
                <w:sz w:val="18"/>
              </w:rPr>
            </w:pPr>
            <w:r>
              <w:rPr>
                <w:sz w:val="18"/>
              </w:rPr>
              <w:t>7</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78"/>
              <w:ind w:left="198" w:right="180"/>
              <w:rPr>
                <w:sz w:val="18"/>
              </w:rPr>
            </w:pPr>
            <w:r>
              <w:rPr>
                <w:sz w:val="18"/>
              </w:rPr>
              <w:t>收缩率比</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78"/>
              <w:ind w:left="1228" w:right="1211"/>
              <w:rPr>
                <w:sz w:val="18"/>
              </w:rPr>
            </w:pPr>
            <w:r>
              <w:rPr>
                <w:sz w:val="18"/>
              </w:rPr>
              <w:t>≤130%</w:t>
            </w:r>
          </w:p>
        </w:tc>
        <w:tc>
          <w:tcPr>
            <w:tcW w:w="1427" w:type="dxa"/>
            <w:tcBorders>
              <w:top w:val="single" w:sz="4" w:space="0" w:color="000000"/>
              <w:left w:val="single" w:sz="4" w:space="0" w:color="000000"/>
              <w:bottom w:val="single" w:sz="4" w:space="0" w:color="000000"/>
            </w:tcBorders>
          </w:tcPr>
          <w:p>
            <w:pPr>
              <w:pStyle w:val="TableParagraph"/>
              <w:spacing w:before="78"/>
              <w:ind w:left="334" w:right="316"/>
              <w:rPr>
                <w:sz w:val="18"/>
              </w:rPr>
            </w:pPr>
            <w:r>
              <w:rPr>
                <w:sz w:val="18"/>
              </w:rPr>
              <w:t>6.2.15</w:t>
            </w:r>
          </w:p>
        </w:tc>
      </w:tr>
      <w:tr>
        <w:tblPrEx>
          <w:tblW w:w="0" w:type="auto"/>
          <w:jc w:val="left"/>
          <w:tblInd w:w="419" w:type="dxa"/>
          <w:tblLayout w:type="fixed"/>
          <w:tblCellMar>
            <w:top w:w="0" w:type="dxa"/>
            <w:left w:w="0" w:type="dxa"/>
            <w:bottom w:w="0" w:type="dxa"/>
            <w:right w:w="0" w:type="dxa"/>
          </w:tblCellMar>
          <w:tblLook w:val="01E0"/>
        </w:tblPrEx>
        <w:trPr>
          <w:trHeight w:val="390"/>
          <w:jc w:val="left"/>
        </w:trPr>
        <w:tc>
          <w:tcPr>
            <w:tcW w:w="597" w:type="dxa"/>
            <w:tcBorders>
              <w:top w:val="single" w:sz="4" w:space="0" w:color="000000"/>
              <w:bottom w:val="single" w:sz="4" w:space="0" w:color="000000"/>
              <w:right w:val="single" w:sz="4" w:space="0" w:color="000000"/>
            </w:tcBorders>
          </w:tcPr>
          <w:p>
            <w:pPr>
              <w:pStyle w:val="TableParagraph"/>
              <w:spacing w:before="80"/>
              <w:ind w:left="14"/>
              <w:rPr>
                <w:sz w:val="18"/>
              </w:rPr>
            </w:pPr>
            <w:r>
              <w:rPr>
                <w:sz w:val="18"/>
              </w:rPr>
              <w:t>8</w:t>
            </w:r>
          </w:p>
        </w:tc>
        <w:tc>
          <w:tcPr>
            <w:tcW w:w="1329" w:type="dxa"/>
            <w:vMerge/>
            <w:tcBorders>
              <w:top w:val="nil"/>
              <w:left w:val="single" w:sz="4" w:space="0" w:color="000000"/>
              <w:bottom w:val="single" w:sz="4" w:space="0" w:color="000000"/>
              <w:right w:val="single" w:sz="4" w:space="0" w:color="000000"/>
            </w:tcBorders>
          </w:tcPr>
          <w:p>
            <w:pPr>
              <w:rPr>
                <w:sz w:val="2"/>
                <w:szCs w:val="2"/>
              </w:rPr>
            </w:pPr>
          </w:p>
        </w:tc>
        <w:tc>
          <w:tcPr>
            <w:tcW w:w="1331" w:type="dxa"/>
            <w:tcBorders>
              <w:top w:val="single" w:sz="4" w:space="0" w:color="000000"/>
              <w:left w:val="single" w:sz="4" w:space="0" w:color="000000"/>
              <w:bottom w:val="single" w:sz="4" w:space="0" w:color="000000"/>
              <w:right w:val="single" w:sz="4" w:space="0" w:color="000000"/>
            </w:tcBorders>
          </w:tcPr>
          <w:p>
            <w:pPr>
              <w:pStyle w:val="TableParagraph"/>
              <w:spacing w:before="80"/>
              <w:ind w:left="198" w:right="183"/>
              <w:rPr>
                <w:sz w:val="18"/>
              </w:rPr>
            </w:pPr>
            <w:r>
              <w:rPr>
                <w:sz w:val="18"/>
              </w:rPr>
              <w:t>抗冻性指标</w:t>
            </w:r>
          </w:p>
        </w:tc>
        <w:tc>
          <w:tcPr>
            <w:tcW w:w="4649" w:type="dxa"/>
            <w:tcBorders>
              <w:top w:val="single" w:sz="4" w:space="0" w:color="000000"/>
              <w:left w:val="single" w:sz="4" w:space="0" w:color="000000"/>
              <w:bottom w:val="single" w:sz="4" w:space="0" w:color="000000"/>
              <w:right w:val="single" w:sz="4" w:space="0" w:color="000000"/>
            </w:tcBorders>
          </w:tcPr>
          <w:p>
            <w:pPr>
              <w:pStyle w:val="TableParagraph"/>
              <w:spacing w:before="80"/>
              <w:ind w:left="1228" w:right="1211"/>
              <w:rPr>
                <w:sz w:val="18"/>
              </w:rPr>
            </w:pPr>
            <w:r>
              <w:rPr>
                <w:sz w:val="18"/>
              </w:rPr>
              <w:t>≥80%</w:t>
            </w:r>
          </w:p>
        </w:tc>
        <w:tc>
          <w:tcPr>
            <w:tcW w:w="1427" w:type="dxa"/>
            <w:tcBorders>
              <w:top w:val="single" w:sz="4" w:space="0" w:color="000000"/>
              <w:left w:val="single" w:sz="4" w:space="0" w:color="000000"/>
              <w:bottom w:val="single" w:sz="4" w:space="0" w:color="000000"/>
            </w:tcBorders>
          </w:tcPr>
          <w:p>
            <w:pPr>
              <w:pStyle w:val="TableParagraph"/>
              <w:spacing w:before="80"/>
              <w:ind w:left="334" w:right="316"/>
              <w:rPr>
                <w:sz w:val="18"/>
              </w:rPr>
            </w:pPr>
            <w:r>
              <w:rPr>
                <w:sz w:val="18"/>
              </w:rPr>
              <w:t>6.2.17</w:t>
            </w:r>
          </w:p>
        </w:tc>
      </w:tr>
      <w:tr>
        <w:tblPrEx>
          <w:tblW w:w="0" w:type="auto"/>
          <w:jc w:val="left"/>
          <w:tblInd w:w="419" w:type="dxa"/>
          <w:tblLayout w:type="fixed"/>
          <w:tblCellMar>
            <w:top w:w="0" w:type="dxa"/>
            <w:left w:w="0" w:type="dxa"/>
            <w:bottom w:w="0" w:type="dxa"/>
            <w:right w:w="0" w:type="dxa"/>
          </w:tblCellMar>
          <w:tblLook w:val="01E0"/>
        </w:tblPrEx>
        <w:trPr>
          <w:trHeight w:val="1871"/>
          <w:jc w:val="left"/>
        </w:trPr>
        <w:tc>
          <w:tcPr>
            <w:tcW w:w="9333" w:type="dxa"/>
            <w:gridSpan w:val="5"/>
            <w:tcBorders>
              <w:top w:val="single" w:sz="4" w:space="0" w:color="000000"/>
            </w:tcBorders>
          </w:tcPr>
          <w:p>
            <w:pPr>
              <w:pStyle w:val="TableParagraph"/>
              <w:spacing w:before="52"/>
              <w:ind w:left="327"/>
              <w:jc w:val="left"/>
              <w:rPr>
                <w:sz w:val="16"/>
              </w:rPr>
            </w:pPr>
            <w:r>
              <w:rPr>
                <w:rFonts w:ascii="黑体" w:eastAsia="黑体" w:hAnsi="黑体" w:hint="eastAsia"/>
                <w:sz w:val="16"/>
              </w:rPr>
              <w:t>注 1：</w:t>
            </w:r>
            <w:r>
              <w:rPr>
                <w:sz w:val="16"/>
              </w:rPr>
              <w:t>引气减水剂检验采用基准混凝土Ⅱ。</w:t>
            </w:r>
          </w:p>
          <w:p>
            <w:pPr>
              <w:pStyle w:val="TableParagraph"/>
              <w:spacing w:before="107" w:line="364" w:lineRule="auto"/>
              <w:ind w:left="728" w:right="21" w:hanging="401"/>
              <w:jc w:val="left"/>
              <w:rPr>
                <w:sz w:val="16"/>
              </w:rPr>
            </w:pPr>
            <w:r>
              <w:rPr>
                <w:rFonts w:ascii="黑体" w:eastAsia="黑体" w:hAnsi="黑体" w:hint="eastAsia"/>
                <w:spacing w:val="-19"/>
                <w:sz w:val="16"/>
              </w:rPr>
              <w:t xml:space="preserve">注 </w:t>
            </w:r>
            <w:r>
              <w:rPr>
                <w:rFonts w:ascii="黑体" w:eastAsia="黑体" w:hAnsi="黑体" w:hint="eastAsia"/>
                <w:sz w:val="16"/>
              </w:rPr>
              <w:t>2：</w:t>
            </w:r>
            <w:r>
              <w:rPr>
                <w:spacing w:val="-5"/>
                <w:sz w:val="16"/>
              </w:rPr>
              <w:t xml:space="preserve">除“减水率”、“含气量”和“含气量 </w:t>
            </w:r>
            <w:r>
              <w:rPr>
                <w:sz w:val="16"/>
              </w:rPr>
              <w:t>1</w:t>
            </w:r>
            <w:r>
              <w:rPr>
                <w:spacing w:val="-3"/>
                <w:sz w:val="16"/>
              </w:rPr>
              <w:t xml:space="preserve"> 小时经时变化量”外，表中所列其他数据为受检混凝土与基准混凝土对应性能指</w:t>
            </w:r>
            <w:r>
              <w:rPr>
                <w:spacing w:val="-5"/>
                <w:sz w:val="16"/>
              </w:rPr>
              <w:t xml:space="preserve">标的差值或比值。“含气量”、“含气量 </w:t>
            </w:r>
            <w:r>
              <w:rPr>
                <w:sz w:val="16"/>
              </w:rPr>
              <w:t>1</w:t>
            </w:r>
            <w:r>
              <w:rPr>
                <w:spacing w:val="-3"/>
                <w:sz w:val="16"/>
              </w:rPr>
              <w:t xml:space="preserve"> 小时经时变化量”和“抗冻性指标”为受检混凝土性能指标。</w:t>
            </w:r>
          </w:p>
          <w:p>
            <w:pPr>
              <w:pStyle w:val="TableParagraph"/>
              <w:spacing w:before="1" w:line="364" w:lineRule="auto"/>
              <w:ind w:left="327" w:right="741"/>
              <w:jc w:val="left"/>
              <w:rPr>
                <w:sz w:val="16"/>
              </w:rPr>
            </w:pPr>
            <w:r>
              <w:rPr>
                <w:rFonts w:ascii="黑体" w:eastAsia="黑体" w:hAnsi="黑体" w:hint="eastAsia"/>
                <w:sz w:val="16"/>
              </w:rPr>
              <w:t>注 3：</w:t>
            </w:r>
            <w:r>
              <w:rPr>
                <w:sz w:val="16"/>
              </w:rPr>
              <w:t>“凝结时间之差”中的“–”号表示受检混凝土比基准混凝土的凝结时间提前，“+”号表示凝结时间延缓。</w:t>
            </w:r>
            <w:r>
              <w:rPr>
                <w:rFonts w:ascii="黑体" w:eastAsia="黑体" w:hAnsi="黑体" w:hint="eastAsia"/>
                <w:sz w:val="16"/>
              </w:rPr>
              <w:t>注 4：</w:t>
            </w:r>
            <w:r>
              <w:rPr>
                <w:sz w:val="16"/>
              </w:rPr>
              <w:t>“含气量 1 小时经时变化量”中的“–”号表示受检混凝土经过 1 h 后含气量增加，“+”号表示含气量减小。</w:t>
            </w:r>
          </w:p>
          <w:p>
            <w:pPr>
              <w:pStyle w:val="TableParagraph"/>
              <w:ind w:left="327"/>
              <w:jc w:val="left"/>
              <w:rPr>
                <w:sz w:val="16"/>
              </w:rPr>
            </w:pPr>
            <w:r>
              <w:rPr>
                <w:rFonts w:ascii="黑体" w:eastAsia="黑体" w:hAnsi="黑体" w:hint="eastAsia"/>
                <w:sz w:val="16"/>
              </w:rPr>
              <w:t>注 5：</w:t>
            </w:r>
            <w:r>
              <w:rPr>
                <w:sz w:val="16"/>
              </w:rPr>
              <w:t>“抗冻性指标”中的“≥80%”表示 28 d 龄期受检混凝土试件采用快速法冻融循环 200 次后相对动弹性模量≥80%。</w:t>
            </w:r>
          </w:p>
        </w:tc>
      </w:tr>
    </w:tbl>
    <w:p>
      <w:pPr>
        <w:pStyle w:val="ListParagraph"/>
        <w:numPr>
          <w:ilvl w:val="2"/>
          <w:numId w:val="29"/>
        </w:numPr>
        <w:tabs>
          <w:tab w:val="left" w:pos="1133"/>
        </w:tabs>
        <w:spacing w:before="177" w:after="0" w:line="240" w:lineRule="auto"/>
        <w:ind w:left="1132" w:right="0" w:hanging="735"/>
        <w:jc w:val="left"/>
        <w:rPr>
          <w:rFonts w:ascii="黑体" w:eastAsia="黑体" w:hint="eastAsia"/>
          <w:sz w:val="21"/>
        </w:rPr>
      </w:pPr>
      <w:bookmarkStart w:id="50" w:name="5.2.5　泵送剂"/>
      <w:bookmarkEnd w:id="50"/>
      <w:bookmarkStart w:id="51" w:name="_bookmark12"/>
      <w:bookmarkEnd w:id="51"/>
      <w:r>
        <w:rPr>
          <w:rFonts w:ascii="黑体" w:eastAsia="黑体" w:hint="eastAsia"/>
          <w:sz w:val="21"/>
        </w:rPr>
        <w:t>泵送剂</w:t>
      </w:r>
    </w:p>
    <w:p>
      <w:pPr>
        <w:spacing w:after="0" w:line="240" w:lineRule="auto"/>
        <w:jc w:val="left"/>
        <w:rPr>
          <w:rFonts w:ascii="黑体" w:eastAsia="黑体" w:hint="eastAsia"/>
          <w:sz w:val="21"/>
        </w:rPr>
        <w:sectPr>
          <w:footerReference w:type="even" r:id="rId17"/>
          <w:footerReference w:type="default" r:id="rId18"/>
          <w:pgSz w:w="11910" w:h="16840"/>
          <w:pgMar w:top="1520" w:right="820" w:bottom="1040" w:left="1020" w:header="0" w:footer="1092"/>
          <w:pgNumType w:start="6"/>
          <w:cols w:space="708"/>
        </w:sectPr>
      </w:pPr>
    </w:p>
    <w:p>
      <w:pPr>
        <w:pStyle w:val="BodyText"/>
        <w:spacing w:before="40"/>
        <w:ind w:left="818"/>
      </w:pPr>
      <w:r>
        <w:t>泵送剂的应用性能应符合表6的要求。</w:t>
      </w:r>
    </w:p>
    <w:p>
      <w:pPr>
        <w:pStyle w:val="BodyText"/>
        <w:spacing w:before="7"/>
        <w:rPr>
          <w:sz w:val="15"/>
        </w:rPr>
      </w:pPr>
    </w:p>
    <w:p>
      <w:pPr>
        <w:pStyle w:val="BodyText"/>
        <w:ind w:left="82"/>
        <w:jc w:val="center"/>
        <w:rPr>
          <w:rFonts w:ascii="黑体" w:eastAsia="黑体" w:hint="eastAsia"/>
        </w:rPr>
      </w:pPr>
      <w:r>
        <w:rPr>
          <w:rFonts w:ascii="黑体" w:eastAsia="黑体" w:hint="eastAsia"/>
        </w:rPr>
        <w:t>表 6 泵送剂应用性能要求</w:t>
      </w:r>
    </w:p>
    <w:p>
      <w:pPr>
        <w:pStyle w:val="BodyText"/>
        <w:spacing w:before="11"/>
        <w:rPr>
          <w:rFonts w:ascii="黑体"/>
          <w:sz w:val="13"/>
        </w:rPr>
      </w:pPr>
    </w:p>
    <w:tbl>
      <w:tblPr>
        <w:tblStyle w:val="TableNormal6"/>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05"/>
        <w:gridCol w:w="1346"/>
        <w:gridCol w:w="1343"/>
        <w:gridCol w:w="4699"/>
        <w:gridCol w:w="1435"/>
      </w:tblGrid>
      <w:tr>
        <w:tblPrEx>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05" w:type="dxa"/>
            <w:tcBorders>
              <w:bottom w:val="single" w:sz="4" w:space="0" w:color="000000"/>
              <w:right w:val="single" w:sz="4" w:space="0" w:color="000000"/>
            </w:tcBorders>
          </w:tcPr>
          <w:p>
            <w:pPr>
              <w:pStyle w:val="TableParagraph"/>
              <w:spacing w:before="80"/>
              <w:ind w:left="101" w:right="89"/>
              <w:rPr>
                <w:sz w:val="18"/>
              </w:rPr>
            </w:pPr>
            <w:r>
              <w:rPr>
                <w:sz w:val="18"/>
              </w:rPr>
              <w:t>序号</w:t>
            </w:r>
          </w:p>
        </w:tc>
        <w:tc>
          <w:tcPr>
            <w:tcW w:w="1346" w:type="dxa"/>
            <w:tcBorders>
              <w:left w:val="single" w:sz="4" w:space="0" w:color="000000"/>
              <w:bottom w:val="single" w:sz="4" w:space="0" w:color="000000"/>
              <w:right w:val="single" w:sz="4" w:space="0" w:color="000000"/>
            </w:tcBorders>
          </w:tcPr>
          <w:p>
            <w:pPr>
              <w:pStyle w:val="TableParagraph"/>
              <w:spacing w:before="80"/>
              <w:ind w:left="297" w:right="278"/>
              <w:rPr>
                <w:sz w:val="18"/>
              </w:rPr>
            </w:pPr>
            <w:r>
              <w:rPr>
                <w:sz w:val="18"/>
              </w:rPr>
              <w:t>类别</w:t>
            </w:r>
          </w:p>
        </w:tc>
        <w:tc>
          <w:tcPr>
            <w:tcW w:w="1343" w:type="dxa"/>
            <w:tcBorders>
              <w:left w:val="single" w:sz="4" w:space="0" w:color="000000"/>
              <w:bottom w:val="single" w:sz="4" w:space="0" w:color="000000"/>
              <w:right w:val="single" w:sz="4" w:space="0" w:color="000000"/>
            </w:tcBorders>
          </w:tcPr>
          <w:p>
            <w:pPr>
              <w:pStyle w:val="TableParagraph"/>
              <w:spacing w:before="80"/>
              <w:ind w:left="62" w:right="44"/>
              <w:rPr>
                <w:sz w:val="18"/>
              </w:rPr>
            </w:pPr>
            <w:r>
              <w:rPr>
                <w:sz w:val="18"/>
              </w:rPr>
              <w:t>项 目</w:t>
            </w:r>
          </w:p>
        </w:tc>
        <w:tc>
          <w:tcPr>
            <w:tcW w:w="4699" w:type="dxa"/>
            <w:tcBorders>
              <w:left w:val="single" w:sz="4" w:space="0" w:color="000000"/>
              <w:bottom w:val="single" w:sz="4" w:space="0" w:color="000000"/>
              <w:right w:val="single" w:sz="4" w:space="0" w:color="000000"/>
            </w:tcBorders>
          </w:tcPr>
          <w:p>
            <w:pPr>
              <w:pStyle w:val="TableParagraph"/>
              <w:spacing w:before="80"/>
              <w:ind w:left="19"/>
              <w:rPr>
                <w:sz w:val="18"/>
              </w:rPr>
            </w:pPr>
            <w:r>
              <w:rPr>
                <w:sz w:val="18"/>
              </w:rPr>
              <w:t>要求</w:t>
            </w:r>
          </w:p>
        </w:tc>
        <w:tc>
          <w:tcPr>
            <w:tcW w:w="1435" w:type="dxa"/>
            <w:tcBorders>
              <w:left w:val="single" w:sz="4" w:space="0" w:color="000000"/>
              <w:bottom w:val="single" w:sz="4" w:space="0" w:color="000000"/>
            </w:tcBorders>
          </w:tcPr>
          <w:p>
            <w:pPr>
              <w:pStyle w:val="TableParagraph"/>
              <w:spacing w:before="80"/>
              <w:ind w:left="340" w:right="320"/>
              <w:rPr>
                <w:sz w:val="18"/>
              </w:rPr>
            </w:pPr>
            <w:r>
              <w:rPr>
                <w:sz w:val="18"/>
              </w:rPr>
              <w:t>试验方法</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5" w:type="dxa"/>
            <w:tcBorders>
              <w:top w:val="single" w:sz="4" w:space="0" w:color="000000"/>
              <w:bottom w:val="single" w:sz="4" w:space="0" w:color="000000"/>
              <w:right w:val="single" w:sz="4" w:space="0" w:color="000000"/>
            </w:tcBorders>
          </w:tcPr>
          <w:p>
            <w:pPr>
              <w:pStyle w:val="TableParagraph"/>
              <w:spacing w:before="80"/>
              <w:ind w:left="10"/>
              <w:rPr>
                <w:sz w:val="18"/>
              </w:rPr>
            </w:pPr>
            <w:r>
              <w:rPr>
                <w:sz w:val="18"/>
              </w:rPr>
              <w:t>1</w:t>
            </w: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406" w:right="387"/>
              <w:jc w:val="both"/>
              <w:rPr>
                <w:sz w:val="18"/>
              </w:rPr>
            </w:pPr>
            <w:r>
              <w:rPr>
                <w:sz w:val="18"/>
              </w:rPr>
              <w:t>混凝土拌合物性能</w:t>
            </w: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80"/>
              <w:ind w:left="62" w:right="46"/>
              <w:rPr>
                <w:sz w:val="18"/>
              </w:rPr>
            </w:pPr>
            <w:r>
              <w:rPr>
                <w:sz w:val="18"/>
              </w:rPr>
              <w:t>减水率</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80"/>
              <w:ind w:left="18"/>
              <w:rPr>
                <w:sz w:val="18"/>
              </w:rPr>
            </w:pPr>
            <w:r>
              <w:rPr>
                <w:sz w:val="18"/>
              </w:rPr>
              <w:t>≥12%</w:t>
            </w:r>
          </w:p>
        </w:tc>
        <w:tc>
          <w:tcPr>
            <w:tcW w:w="1435" w:type="dxa"/>
            <w:tcBorders>
              <w:top w:val="single" w:sz="4" w:space="0" w:color="000000"/>
              <w:left w:val="single" w:sz="4" w:space="0" w:color="000000"/>
              <w:bottom w:val="single" w:sz="4" w:space="0" w:color="000000"/>
            </w:tcBorders>
          </w:tcPr>
          <w:p>
            <w:pPr>
              <w:pStyle w:val="TableParagraph"/>
              <w:spacing w:before="80"/>
              <w:ind w:left="339" w:right="320"/>
              <w:rPr>
                <w:sz w:val="18"/>
              </w:rPr>
            </w:pPr>
            <w:r>
              <w:rPr>
                <w:sz w:val="18"/>
              </w:rPr>
              <w:t>6.2.8</w:t>
            </w: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5" w:type="dxa"/>
            <w:tcBorders>
              <w:top w:val="single" w:sz="4" w:space="0" w:color="000000"/>
              <w:bottom w:val="single" w:sz="4" w:space="0" w:color="000000"/>
              <w:right w:val="single" w:sz="4" w:space="0" w:color="000000"/>
            </w:tcBorders>
          </w:tcPr>
          <w:p>
            <w:pPr>
              <w:pStyle w:val="TableParagraph"/>
              <w:spacing w:before="79"/>
              <w:ind w:left="10"/>
              <w:rPr>
                <w:sz w:val="18"/>
              </w:rPr>
            </w:pPr>
            <w:r>
              <w:rPr>
                <w:sz w:val="18"/>
              </w:rPr>
              <w:t>2</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79"/>
              <w:ind w:left="62" w:right="44"/>
              <w:rPr>
                <w:sz w:val="18"/>
              </w:rPr>
            </w:pPr>
            <w:r>
              <w:rPr>
                <w:sz w:val="18"/>
              </w:rPr>
              <w:t>泌水率比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8"/>
              <w:rPr>
                <w:sz w:val="18"/>
              </w:rPr>
            </w:pPr>
            <w:r>
              <w:rPr>
                <w:sz w:val="18"/>
              </w:rPr>
              <w:t>≤70%</w:t>
            </w:r>
          </w:p>
        </w:tc>
        <w:tc>
          <w:tcPr>
            <w:tcW w:w="1435" w:type="dxa"/>
            <w:tcBorders>
              <w:top w:val="single" w:sz="4" w:space="0" w:color="000000"/>
              <w:left w:val="single" w:sz="4" w:space="0" w:color="000000"/>
              <w:bottom w:val="single" w:sz="4" w:space="0" w:color="000000"/>
            </w:tcBorders>
          </w:tcPr>
          <w:p>
            <w:pPr>
              <w:pStyle w:val="TableParagraph"/>
              <w:spacing w:before="79"/>
              <w:ind w:left="339" w:right="320"/>
              <w:rPr>
                <w:sz w:val="18"/>
              </w:rPr>
            </w:pPr>
            <w:r>
              <w:rPr>
                <w:sz w:val="18"/>
              </w:rPr>
              <w:t>6.2.9</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5" w:type="dxa"/>
            <w:tcBorders>
              <w:top w:val="single" w:sz="4" w:space="0" w:color="000000"/>
              <w:bottom w:val="single" w:sz="4" w:space="0" w:color="000000"/>
              <w:right w:val="single" w:sz="4" w:space="0" w:color="000000"/>
            </w:tcBorders>
          </w:tcPr>
          <w:p>
            <w:pPr>
              <w:pStyle w:val="TableParagraph"/>
              <w:spacing w:before="79"/>
              <w:ind w:left="10"/>
              <w:rPr>
                <w:sz w:val="18"/>
              </w:rPr>
            </w:pPr>
            <w:r>
              <w:rPr>
                <w:sz w:val="18"/>
              </w:rPr>
              <w:t>3</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79"/>
              <w:ind w:left="62" w:right="44"/>
              <w:rPr>
                <w:sz w:val="18"/>
              </w:rPr>
            </w:pPr>
            <w:r>
              <w:rPr>
                <w:sz w:val="18"/>
              </w:rPr>
              <w:t>压力泌水率比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8"/>
              <w:rPr>
                <w:sz w:val="18"/>
              </w:rPr>
            </w:pPr>
            <w:r>
              <w:rPr>
                <w:sz w:val="18"/>
              </w:rPr>
              <w:t>≤90%</w:t>
            </w:r>
          </w:p>
        </w:tc>
        <w:tc>
          <w:tcPr>
            <w:tcW w:w="1435" w:type="dxa"/>
            <w:tcBorders>
              <w:top w:val="single" w:sz="4" w:space="0" w:color="000000"/>
              <w:left w:val="single" w:sz="4" w:space="0" w:color="000000"/>
              <w:bottom w:val="single" w:sz="4" w:space="0" w:color="000000"/>
            </w:tcBorders>
          </w:tcPr>
          <w:p>
            <w:pPr>
              <w:pStyle w:val="TableParagraph"/>
              <w:spacing w:before="79"/>
              <w:ind w:left="339" w:right="320"/>
              <w:rPr>
                <w:sz w:val="18"/>
              </w:rPr>
            </w:pPr>
            <w:r>
              <w:rPr>
                <w:sz w:val="18"/>
              </w:rPr>
              <w:t>6.2.10</w:t>
            </w: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5" w:type="dxa"/>
            <w:tcBorders>
              <w:top w:val="single" w:sz="4" w:space="0" w:color="000000"/>
              <w:bottom w:val="single" w:sz="4" w:space="0" w:color="000000"/>
              <w:right w:val="single" w:sz="4" w:space="0" w:color="000000"/>
            </w:tcBorders>
          </w:tcPr>
          <w:p>
            <w:pPr>
              <w:pStyle w:val="TableParagraph"/>
              <w:spacing w:before="79"/>
              <w:ind w:left="10"/>
              <w:rPr>
                <w:sz w:val="18"/>
              </w:rPr>
            </w:pPr>
            <w:r>
              <w:rPr>
                <w:sz w:val="18"/>
              </w:rPr>
              <w:t>4</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79"/>
              <w:ind w:left="62" w:right="46"/>
              <w:rPr>
                <w:sz w:val="18"/>
              </w:rPr>
            </w:pPr>
            <w:r>
              <w:rPr>
                <w:sz w:val="18"/>
              </w:rPr>
              <w:t>含气量</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8"/>
              <w:rPr>
                <w:sz w:val="18"/>
              </w:rPr>
            </w:pPr>
            <w:r>
              <w:rPr>
                <w:sz w:val="18"/>
              </w:rPr>
              <w:t>≤5.5%</w:t>
            </w:r>
          </w:p>
        </w:tc>
        <w:tc>
          <w:tcPr>
            <w:tcW w:w="1435" w:type="dxa"/>
            <w:tcBorders>
              <w:top w:val="single" w:sz="4" w:space="0" w:color="000000"/>
              <w:left w:val="single" w:sz="4" w:space="0" w:color="000000"/>
              <w:bottom w:val="single" w:sz="4" w:space="0" w:color="000000"/>
            </w:tcBorders>
          </w:tcPr>
          <w:p>
            <w:pPr>
              <w:pStyle w:val="TableParagraph"/>
              <w:spacing w:before="79"/>
              <w:ind w:left="339" w:right="320"/>
              <w:rPr>
                <w:sz w:val="18"/>
              </w:rPr>
            </w:pPr>
            <w:r>
              <w:rPr>
                <w:sz w:val="18"/>
              </w:rPr>
              <w:t>6.2.11</w:t>
            </w:r>
          </w:p>
        </w:tc>
      </w:tr>
      <w:tr>
        <w:tblPrEx>
          <w:tblW w:w="0" w:type="auto"/>
          <w:jc w:val="left"/>
          <w:tblInd w:w="371" w:type="dxa"/>
          <w:tblLayout w:type="fixed"/>
          <w:tblCellMar>
            <w:top w:w="0" w:type="dxa"/>
            <w:left w:w="0" w:type="dxa"/>
            <w:bottom w:w="0" w:type="dxa"/>
            <w:right w:w="0" w:type="dxa"/>
          </w:tblCellMar>
          <w:tblLook w:val="01E0"/>
        </w:tblPrEx>
        <w:trPr>
          <w:trHeight w:val="488"/>
          <w:jc w:val="left"/>
        </w:trPr>
        <w:tc>
          <w:tcPr>
            <w:tcW w:w="605" w:type="dxa"/>
            <w:tcBorders>
              <w:top w:val="single" w:sz="4" w:space="0" w:color="000000"/>
              <w:bottom w:val="single" w:sz="4" w:space="0" w:color="000000"/>
              <w:right w:val="single" w:sz="4" w:space="0" w:color="000000"/>
            </w:tcBorders>
          </w:tcPr>
          <w:p>
            <w:pPr>
              <w:pStyle w:val="TableParagraph"/>
              <w:spacing w:before="129"/>
              <w:ind w:left="10"/>
              <w:rPr>
                <w:sz w:val="18"/>
              </w:rPr>
            </w:pPr>
            <w:r>
              <w:rPr>
                <w:sz w:val="18"/>
              </w:rPr>
              <w:t>5</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7" w:line="230" w:lineRule="atLeast"/>
              <w:ind w:left="404" w:right="15" w:hanging="344"/>
              <w:jc w:val="left"/>
              <w:rPr>
                <w:sz w:val="18"/>
              </w:rPr>
            </w:pPr>
            <w:r>
              <w:rPr>
                <w:spacing w:val="-12"/>
                <w:sz w:val="18"/>
              </w:rPr>
              <w:t xml:space="preserve">坍落度 </w:t>
            </w:r>
            <w:r>
              <w:rPr>
                <w:sz w:val="18"/>
              </w:rPr>
              <w:t>1 h</w:t>
            </w:r>
            <w:r>
              <w:rPr>
                <w:spacing w:val="-20"/>
                <w:sz w:val="18"/>
              </w:rPr>
              <w:t xml:space="preserve"> 经时</w:t>
            </w:r>
            <w:r>
              <w:rPr>
                <w:sz w:val="18"/>
              </w:rPr>
              <w:t>变化量</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129"/>
              <w:ind w:left="18"/>
              <w:rPr>
                <w:sz w:val="18"/>
              </w:rPr>
            </w:pPr>
            <w:r>
              <w:rPr>
                <w:sz w:val="18"/>
              </w:rPr>
              <w:t>≤60 mm</w:t>
            </w:r>
          </w:p>
        </w:tc>
        <w:tc>
          <w:tcPr>
            <w:tcW w:w="1435" w:type="dxa"/>
            <w:tcBorders>
              <w:top w:val="single" w:sz="4" w:space="0" w:color="000000"/>
              <w:left w:val="single" w:sz="4" w:space="0" w:color="000000"/>
              <w:bottom w:val="single" w:sz="4" w:space="0" w:color="000000"/>
            </w:tcBorders>
          </w:tcPr>
          <w:p>
            <w:pPr>
              <w:pStyle w:val="TableParagraph"/>
              <w:spacing w:before="129"/>
              <w:ind w:left="339" w:right="320"/>
              <w:rPr>
                <w:sz w:val="18"/>
              </w:rPr>
            </w:pPr>
            <w:r>
              <w:rPr>
                <w:sz w:val="18"/>
              </w:rPr>
              <w:t>6.2.7</w:t>
            </w: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5" w:type="dxa"/>
            <w:vMerge w:val="restart"/>
            <w:tcBorders>
              <w:top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0"/>
              <w:rPr>
                <w:sz w:val="18"/>
              </w:rPr>
            </w:pPr>
            <w:r>
              <w:rPr>
                <w:sz w:val="18"/>
              </w:rPr>
              <w:t>6</w:t>
            </w: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
              <w:jc w:val="left"/>
              <w:rPr>
                <w:rFonts w:ascii="黑体"/>
                <w:sz w:val="19"/>
              </w:rPr>
            </w:pPr>
          </w:p>
          <w:p>
            <w:pPr>
              <w:pStyle w:val="TableParagraph"/>
              <w:spacing w:line="242" w:lineRule="auto"/>
              <w:ind w:left="406" w:right="387" w:firstLine="2"/>
              <w:rPr>
                <w:sz w:val="18"/>
              </w:rPr>
            </w:pPr>
            <w:r>
              <w:rPr>
                <w:sz w:val="18"/>
              </w:rPr>
              <w:t>硬 化 混凝土性能</w:t>
            </w:r>
          </w:p>
        </w:tc>
        <w:tc>
          <w:tcPr>
            <w:tcW w:w="134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224"/>
              <w:jc w:val="left"/>
              <w:rPr>
                <w:sz w:val="18"/>
              </w:rPr>
            </w:pPr>
            <w:r>
              <w:rPr>
                <w:sz w:val="18"/>
              </w:rPr>
              <w:t>抗压强度比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857"/>
              <w:jc w:val="left"/>
              <w:rPr>
                <w:sz w:val="18"/>
              </w:rPr>
            </w:pPr>
            <w:r>
              <w:rPr>
                <w:sz w:val="18"/>
              </w:rPr>
              <w:t>7 d：≥120%</w:t>
            </w:r>
          </w:p>
        </w:tc>
        <w:tc>
          <w:tcPr>
            <w:tcW w:w="1435" w:type="dxa"/>
            <w:vMerge w:val="restart"/>
            <w:tcBorders>
              <w:top w:val="single" w:sz="4" w:space="0" w:color="000000"/>
              <w:left w:val="single" w:sz="4" w:space="0" w:color="000000"/>
              <w:bottom w:val="single" w:sz="4" w:space="0" w:color="000000"/>
            </w:tcBorders>
          </w:tcPr>
          <w:p>
            <w:pPr>
              <w:pStyle w:val="TableParagraph"/>
              <w:spacing w:before="11"/>
              <w:jc w:val="left"/>
              <w:rPr>
                <w:rFonts w:ascii="黑体"/>
                <w:sz w:val="21"/>
              </w:rPr>
            </w:pPr>
          </w:p>
          <w:p>
            <w:pPr>
              <w:pStyle w:val="TableParagraph"/>
              <w:ind w:left="448"/>
              <w:jc w:val="left"/>
              <w:rPr>
                <w:sz w:val="18"/>
              </w:rPr>
            </w:pPr>
            <w:r>
              <w:rPr>
                <w:sz w:val="18"/>
              </w:rPr>
              <w:t>6.2.13</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5" w:type="dxa"/>
            <w:vMerge/>
            <w:tcBorders>
              <w:top w:val="nil"/>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vMerge/>
            <w:tcBorders>
              <w:top w:val="nil"/>
              <w:left w:val="single" w:sz="4" w:space="0" w:color="000000"/>
              <w:bottom w:val="single" w:sz="4" w:space="0" w:color="000000"/>
              <w:right w:val="single" w:sz="4" w:space="0" w:color="000000"/>
            </w:tcBorders>
          </w:tcPr>
          <w:p>
            <w:pPr>
              <w:rPr>
                <w:sz w:val="2"/>
                <w:szCs w:val="2"/>
              </w:rPr>
            </w:pP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9"/>
              <w:ind w:left="1814"/>
              <w:jc w:val="left"/>
              <w:rPr>
                <w:sz w:val="18"/>
              </w:rPr>
            </w:pPr>
            <w:r>
              <w:rPr>
                <w:sz w:val="18"/>
              </w:rPr>
              <w:t>28 d：≥115%</w:t>
            </w:r>
          </w:p>
        </w:tc>
        <w:tc>
          <w:tcPr>
            <w:tcW w:w="1435"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5" w:type="dxa"/>
            <w:tcBorders>
              <w:top w:val="single" w:sz="4" w:space="0" w:color="000000"/>
              <w:bottom w:val="single" w:sz="4" w:space="0" w:color="000000"/>
              <w:right w:val="single" w:sz="4" w:space="0" w:color="000000"/>
            </w:tcBorders>
          </w:tcPr>
          <w:p>
            <w:pPr>
              <w:pStyle w:val="TableParagraph"/>
              <w:spacing w:before="78"/>
              <w:ind w:left="10"/>
              <w:rPr>
                <w:sz w:val="18"/>
              </w:rPr>
            </w:pPr>
            <w:r>
              <w:rPr>
                <w:sz w:val="18"/>
              </w:rPr>
              <w:t>7</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3" w:type="dxa"/>
            <w:tcBorders>
              <w:top w:val="single" w:sz="4" w:space="0" w:color="000000"/>
              <w:left w:val="single" w:sz="4" w:space="0" w:color="000000"/>
              <w:bottom w:val="single" w:sz="4" w:space="0" w:color="000000"/>
              <w:right w:val="single" w:sz="4" w:space="0" w:color="000000"/>
            </w:tcBorders>
          </w:tcPr>
          <w:p>
            <w:pPr>
              <w:pStyle w:val="TableParagraph"/>
              <w:spacing w:before="78"/>
              <w:ind w:left="62" w:right="44"/>
              <w:rPr>
                <w:sz w:val="18"/>
              </w:rPr>
            </w:pPr>
            <w:r>
              <w:rPr>
                <w:sz w:val="18"/>
              </w:rPr>
              <w:t>收缩率比</w:t>
            </w:r>
          </w:p>
        </w:tc>
        <w:tc>
          <w:tcPr>
            <w:tcW w:w="4699" w:type="dxa"/>
            <w:tcBorders>
              <w:top w:val="single" w:sz="4" w:space="0" w:color="000000"/>
              <w:left w:val="single" w:sz="4" w:space="0" w:color="000000"/>
              <w:bottom w:val="single" w:sz="4" w:space="0" w:color="000000"/>
              <w:right w:val="single" w:sz="4" w:space="0" w:color="000000"/>
            </w:tcBorders>
          </w:tcPr>
          <w:p>
            <w:pPr>
              <w:pStyle w:val="TableParagraph"/>
              <w:spacing w:before="78"/>
              <w:ind w:left="18"/>
              <w:rPr>
                <w:sz w:val="18"/>
              </w:rPr>
            </w:pPr>
            <w:r>
              <w:rPr>
                <w:sz w:val="18"/>
              </w:rPr>
              <w:t>≤130%</w:t>
            </w:r>
          </w:p>
        </w:tc>
        <w:tc>
          <w:tcPr>
            <w:tcW w:w="1435" w:type="dxa"/>
            <w:tcBorders>
              <w:top w:val="single" w:sz="4" w:space="0" w:color="000000"/>
              <w:left w:val="single" w:sz="4" w:space="0" w:color="000000"/>
              <w:bottom w:val="single" w:sz="4" w:space="0" w:color="000000"/>
            </w:tcBorders>
          </w:tcPr>
          <w:p>
            <w:pPr>
              <w:pStyle w:val="TableParagraph"/>
              <w:spacing w:before="78"/>
              <w:ind w:left="339" w:right="320"/>
              <w:rPr>
                <w:sz w:val="18"/>
              </w:rPr>
            </w:pPr>
            <w:r>
              <w:rPr>
                <w:sz w:val="18"/>
              </w:rPr>
              <w:t>6.2.15</w:t>
            </w:r>
          </w:p>
        </w:tc>
      </w:tr>
      <w:tr>
        <w:tblPrEx>
          <w:tblW w:w="0" w:type="auto"/>
          <w:jc w:val="left"/>
          <w:tblInd w:w="371" w:type="dxa"/>
          <w:tblLayout w:type="fixed"/>
          <w:tblCellMar>
            <w:top w:w="0" w:type="dxa"/>
            <w:left w:w="0" w:type="dxa"/>
            <w:bottom w:w="0" w:type="dxa"/>
            <w:right w:w="0" w:type="dxa"/>
          </w:tblCellMar>
          <w:tblLook w:val="01E0"/>
        </w:tblPrEx>
        <w:trPr>
          <w:trHeight w:val="935"/>
          <w:jc w:val="left"/>
        </w:trPr>
        <w:tc>
          <w:tcPr>
            <w:tcW w:w="9428" w:type="dxa"/>
            <w:gridSpan w:val="5"/>
            <w:tcBorders>
              <w:top w:val="single" w:sz="4" w:space="0" w:color="000000"/>
            </w:tcBorders>
          </w:tcPr>
          <w:p>
            <w:pPr>
              <w:pStyle w:val="TableParagraph"/>
              <w:spacing w:before="53"/>
              <w:ind w:left="327"/>
              <w:jc w:val="left"/>
              <w:rPr>
                <w:sz w:val="16"/>
              </w:rPr>
            </w:pPr>
            <w:r>
              <w:rPr>
                <w:rFonts w:ascii="黑体" w:eastAsia="黑体" w:hAnsi="黑体" w:hint="eastAsia"/>
                <w:sz w:val="16"/>
              </w:rPr>
              <w:t>注 1：</w:t>
            </w:r>
            <w:r>
              <w:rPr>
                <w:sz w:val="16"/>
              </w:rPr>
              <w:t>泵送剂检验采用基准混凝土Ⅰ。</w:t>
            </w:r>
          </w:p>
          <w:p>
            <w:pPr>
              <w:pStyle w:val="TableParagraph"/>
              <w:spacing w:before="2" w:line="310" w:lineRule="atLeast"/>
              <w:ind w:left="769" w:right="-15" w:hanging="442"/>
              <w:jc w:val="left"/>
              <w:rPr>
                <w:sz w:val="16"/>
              </w:rPr>
            </w:pPr>
            <w:r>
              <w:rPr>
                <w:rFonts w:ascii="黑体" w:eastAsia="黑体" w:hAnsi="黑体" w:hint="eastAsia"/>
                <w:spacing w:val="-19"/>
                <w:sz w:val="16"/>
              </w:rPr>
              <w:t xml:space="preserve">注 </w:t>
            </w:r>
            <w:r>
              <w:rPr>
                <w:rFonts w:ascii="黑体" w:eastAsia="黑体" w:hAnsi="黑体" w:hint="eastAsia"/>
                <w:sz w:val="16"/>
              </w:rPr>
              <w:t>2：</w:t>
            </w:r>
            <w:r>
              <w:rPr>
                <w:spacing w:val="-18"/>
                <w:sz w:val="16"/>
              </w:rPr>
              <w:t xml:space="preserve">除“减水率”、“含气量”和“坍落度 </w:t>
            </w:r>
            <w:r>
              <w:rPr>
                <w:sz w:val="16"/>
              </w:rPr>
              <w:t>1</w:t>
            </w:r>
            <w:r>
              <w:rPr>
                <w:spacing w:val="7"/>
                <w:sz w:val="16"/>
              </w:rPr>
              <w:t xml:space="preserve"> </w:t>
            </w:r>
            <w:r>
              <w:rPr>
                <w:sz w:val="16"/>
              </w:rPr>
              <w:t>h</w:t>
            </w:r>
            <w:r>
              <w:rPr>
                <w:spacing w:val="-7"/>
                <w:sz w:val="16"/>
              </w:rPr>
              <w:t xml:space="preserve"> 经时变化量”外，表中所列其他数据为受检混凝土与基准混凝土对应性能指标的差</w:t>
            </w:r>
            <w:r>
              <w:rPr>
                <w:spacing w:val="-14"/>
                <w:sz w:val="16"/>
              </w:rPr>
              <w:t xml:space="preserve">值或比值。“含气量”和“坍落度 </w:t>
            </w:r>
            <w:r>
              <w:rPr>
                <w:sz w:val="16"/>
              </w:rPr>
              <w:t>1 h</w:t>
            </w:r>
            <w:r>
              <w:rPr>
                <w:spacing w:val="-7"/>
                <w:sz w:val="16"/>
              </w:rPr>
              <w:t xml:space="preserve"> 经时变化量”为受检混凝土性能指标。</w:t>
            </w:r>
          </w:p>
        </w:tc>
      </w:tr>
    </w:tbl>
    <w:p>
      <w:pPr>
        <w:pStyle w:val="ListParagraph"/>
        <w:numPr>
          <w:ilvl w:val="2"/>
          <w:numId w:val="30"/>
        </w:numPr>
        <w:tabs>
          <w:tab w:val="left" w:pos="1133"/>
        </w:tabs>
        <w:spacing w:before="175" w:after="0" w:line="240" w:lineRule="auto"/>
        <w:ind w:left="1132" w:right="0" w:hanging="735"/>
        <w:jc w:val="left"/>
        <w:rPr>
          <w:rFonts w:ascii="黑体" w:eastAsia="黑体" w:hint="eastAsia"/>
          <w:sz w:val="21"/>
        </w:rPr>
      </w:pPr>
      <w:bookmarkStart w:id="52" w:name="5.2.6　早强剂"/>
      <w:bookmarkEnd w:id="52"/>
      <w:bookmarkStart w:id="53" w:name="_bookmark13"/>
      <w:bookmarkEnd w:id="53"/>
      <w:r>
        <w:rPr>
          <w:rFonts w:ascii="黑体" w:eastAsia="黑体" w:hint="eastAsia"/>
          <w:sz w:val="21"/>
        </w:rPr>
        <w:t>早强剂</w:t>
      </w:r>
    </w:p>
    <w:p>
      <w:pPr>
        <w:pStyle w:val="BodyText"/>
        <w:spacing w:before="7"/>
        <w:rPr>
          <w:rFonts w:ascii="黑体"/>
          <w:sz w:val="15"/>
        </w:rPr>
      </w:pPr>
    </w:p>
    <w:p>
      <w:pPr>
        <w:pStyle w:val="BodyText"/>
        <w:ind w:left="818"/>
      </w:pPr>
      <w:r>
        <w:t>早强剂的应用性能应符合表7的要求。</w:t>
      </w:r>
    </w:p>
    <w:p>
      <w:pPr>
        <w:pStyle w:val="BodyText"/>
        <w:spacing w:before="7"/>
        <w:rPr>
          <w:sz w:val="15"/>
        </w:rPr>
      </w:pPr>
    </w:p>
    <w:p>
      <w:pPr>
        <w:pStyle w:val="BodyText"/>
        <w:ind w:left="82"/>
        <w:jc w:val="center"/>
        <w:rPr>
          <w:rFonts w:ascii="黑体" w:eastAsia="黑体" w:hint="eastAsia"/>
        </w:rPr>
      </w:pPr>
      <w:r>
        <w:rPr>
          <w:rFonts w:ascii="黑体" w:eastAsia="黑体" w:hint="eastAsia"/>
        </w:rPr>
        <w:t>表 7 早强剂应用性能要求</w:t>
      </w:r>
    </w:p>
    <w:p>
      <w:pPr>
        <w:pStyle w:val="BodyText"/>
        <w:spacing w:after="1"/>
        <w:rPr>
          <w:rFonts w:ascii="黑体"/>
          <w:sz w:val="14"/>
        </w:rPr>
      </w:pPr>
    </w:p>
    <w:tbl>
      <w:tblPr>
        <w:tblStyle w:val="TableNormal6"/>
        <w:tblW w:w="0" w:type="auto"/>
        <w:jc w:val="left"/>
        <w:tblInd w:w="3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11"/>
        <w:gridCol w:w="1345"/>
        <w:gridCol w:w="1345"/>
        <w:gridCol w:w="4700"/>
        <w:gridCol w:w="1421"/>
      </w:tblGrid>
      <w:tr>
        <w:tblPrEx>
          <w:tblW w:w="0" w:type="auto"/>
          <w:jc w:val="left"/>
          <w:tblInd w:w="3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11" w:type="dxa"/>
            <w:tcBorders>
              <w:bottom w:val="single" w:sz="4" w:space="0" w:color="000000"/>
              <w:right w:val="single" w:sz="4" w:space="0" w:color="000000"/>
            </w:tcBorders>
          </w:tcPr>
          <w:p>
            <w:pPr>
              <w:pStyle w:val="TableParagraph"/>
              <w:spacing w:before="79"/>
              <w:ind w:left="105" w:right="91"/>
              <w:rPr>
                <w:sz w:val="18"/>
              </w:rPr>
            </w:pPr>
            <w:r>
              <w:rPr>
                <w:sz w:val="18"/>
              </w:rPr>
              <w:t>序号</w:t>
            </w:r>
          </w:p>
        </w:tc>
        <w:tc>
          <w:tcPr>
            <w:tcW w:w="1345" w:type="dxa"/>
            <w:tcBorders>
              <w:left w:val="single" w:sz="4" w:space="0" w:color="000000"/>
              <w:bottom w:val="single" w:sz="4" w:space="0" w:color="000000"/>
              <w:right w:val="single" w:sz="4" w:space="0" w:color="000000"/>
            </w:tcBorders>
          </w:tcPr>
          <w:p>
            <w:pPr>
              <w:pStyle w:val="TableParagraph"/>
              <w:spacing w:before="79"/>
              <w:ind w:left="115" w:right="98"/>
              <w:rPr>
                <w:sz w:val="18"/>
              </w:rPr>
            </w:pPr>
            <w:r>
              <w:rPr>
                <w:sz w:val="18"/>
              </w:rPr>
              <w:t>类别</w:t>
            </w:r>
          </w:p>
        </w:tc>
        <w:tc>
          <w:tcPr>
            <w:tcW w:w="1345" w:type="dxa"/>
            <w:tcBorders>
              <w:left w:val="single" w:sz="4" w:space="0" w:color="000000"/>
              <w:bottom w:val="single" w:sz="4" w:space="0" w:color="000000"/>
              <w:right w:val="single" w:sz="4" w:space="0" w:color="000000"/>
            </w:tcBorders>
          </w:tcPr>
          <w:p>
            <w:pPr>
              <w:pStyle w:val="TableParagraph"/>
              <w:spacing w:before="79"/>
              <w:ind w:left="115" w:right="98"/>
              <w:rPr>
                <w:sz w:val="18"/>
              </w:rPr>
            </w:pPr>
            <w:r>
              <w:rPr>
                <w:sz w:val="18"/>
              </w:rPr>
              <w:t>项 目</w:t>
            </w:r>
          </w:p>
        </w:tc>
        <w:tc>
          <w:tcPr>
            <w:tcW w:w="4700" w:type="dxa"/>
            <w:tcBorders>
              <w:left w:val="single" w:sz="4" w:space="0" w:color="000000"/>
              <w:bottom w:val="single" w:sz="4" w:space="0" w:color="000000"/>
              <w:right w:val="single" w:sz="4" w:space="0" w:color="000000"/>
            </w:tcBorders>
          </w:tcPr>
          <w:p>
            <w:pPr>
              <w:pStyle w:val="TableParagraph"/>
              <w:spacing w:before="79"/>
              <w:ind w:left="1658" w:right="1640"/>
              <w:rPr>
                <w:sz w:val="18"/>
              </w:rPr>
            </w:pPr>
            <w:r>
              <w:rPr>
                <w:sz w:val="18"/>
              </w:rPr>
              <w:t>要求</w:t>
            </w:r>
          </w:p>
        </w:tc>
        <w:tc>
          <w:tcPr>
            <w:tcW w:w="1421" w:type="dxa"/>
            <w:tcBorders>
              <w:left w:val="single" w:sz="4" w:space="0" w:color="000000"/>
              <w:bottom w:val="single" w:sz="4" w:space="0" w:color="000000"/>
            </w:tcBorders>
          </w:tcPr>
          <w:p>
            <w:pPr>
              <w:pStyle w:val="TableParagraph"/>
              <w:spacing w:before="79"/>
              <w:ind w:left="331" w:right="314"/>
              <w:rPr>
                <w:sz w:val="18"/>
              </w:rPr>
            </w:pPr>
            <w:r>
              <w:rPr>
                <w:sz w:val="18"/>
              </w:rPr>
              <w:t>试验方法</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11" w:type="dxa"/>
            <w:tcBorders>
              <w:top w:val="single" w:sz="4" w:space="0" w:color="000000"/>
              <w:bottom w:val="single" w:sz="4" w:space="0" w:color="000000"/>
              <w:right w:val="single" w:sz="4" w:space="0" w:color="000000"/>
            </w:tcBorders>
          </w:tcPr>
          <w:p>
            <w:pPr>
              <w:pStyle w:val="TableParagraph"/>
              <w:spacing w:before="79"/>
              <w:ind w:left="13"/>
              <w:rPr>
                <w:sz w:val="18"/>
              </w:rPr>
            </w:pPr>
            <w:r>
              <w:rPr>
                <w:sz w:val="18"/>
              </w:rPr>
              <w:t>1</w:t>
            </w:r>
          </w:p>
        </w:tc>
        <w:tc>
          <w:tcPr>
            <w:tcW w:w="13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
              <w:jc w:val="left"/>
              <w:rPr>
                <w:rFonts w:ascii="黑体"/>
                <w:sz w:val="19"/>
              </w:rPr>
            </w:pPr>
          </w:p>
          <w:p>
            <w:pPr>
              <w:pStyle w:val="TableParagraph"/>
              <w:spacing w:line="242" w:lineRule="auto"/>
              <w:ind w:left="407" w:right="385"/>
              <w:jc w:val="both"/>
              <w:rPr>
                <w:sz w:val="18"/>
              </w:rPr>
            </w:pPr>
            <w:r>
              <w:rPr>
                <w:sz w:val="18"/>
              </w:rPr>
              <w:t>混凝土拌合物性能</w:t>
            </w:r>
          </w:p>
        </w:tc>
        <w:tc>
          <w:tcPr>
            <w:tcW w:w="1345" w:type="dxa"/>
            <w:tcBorders>
              <w:top w:val="single" w:sz="4" w:space="0" w:color="000000"/>
              <w:left w:val="single" w:sz="4" w:space="0" w:color="000000"/>
              <w:bottom w:val="single" w:sz="4" w:space="0" w:color="000000"/>
              <w:right w:val="single" w:sz="4" w:space="0" w:color="000000"/>
            </w:tcBorders>
          </w:tcPr>
          <w:p>
            <w:pPr>
              <w:pStyle w:val="TableParagraph"/>
              <w:spacing w:before="79"/>
              <w:ind w:left="115" w:right="98"/>
              <w:rPr>
                <w:sz w:val="18"/>
              </w:rPr>
            </w:pPr>
            <w:r>
              <w:rPr>
                <w:sz w:val="18"/>
              </w:rPr>
              <w:t>减水率</w:t>
            </w: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9"/>
              <w:ind w:left="1659" w:right="1640"/>
              <w:rPr>
                <w:sz w:val="18"/>
              </w:rPr>
            </w:pPr>
            <w:r>
              <w:rPr>
                <w:sz w:val="18"/>
              </w:rPr>
              <w:t>≤8%</w:t>
            </w:r>
          </w:p>
        </w:tc>
        <w:tc>
          <w:tcPr>
            <w:tcW w:w="1421" w:type="dxa"/>
            <w:tcBorders>
              <w:top w:val="single" w:sz="4" w:space="0" w:color="000000"/>
              <w:left w:val="single" w:sz="4" w:space="0" w:color="000000"/>
              <w:bottom w:val="single" w:sz="4" w:space="0" w:color="000000"/>
            </w:tcBorders>
          </w:tcPr>
          <w:p>
            <w:pPr>
              <w:pStyle w:val="TableParagraph"/>
              <w:spacing w:before="79"/>
              <w:ind w:left="331" w:right="311"/>
              <w:rPr>
                <w:sz w:val="18"/>
              </w:rPr>
            </w:pPr>
            <w:r>
              <w:rPr>
                <w:sz w:val="18"/>
              </w:rPr>
              <w:t>6.2.8</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11" w:type="dxa"/>
            <w:tcBorders>
              <w:top w:val="single" w:sz="4" w:space="0" w:color="000000"/>
              <w:bottom w:val="single" w:sz="4" w:space="0" w:color="000000"/>
              <w:right w:val="single" w:sz="4" w:space="0" w:color="000000"/>
            </w:tcBorders>
          </w:tcPr>
          <w:p>
            <w:pPr>
              <w:pStyle w:val="TableParagraph"/>
              <w:spacing w:before="79"/>
              <w:ind w:left="13"/>
              <w:rPr>
                <w:sz w:val="18"/>
              </w:rPr>
            </w:pPr>
            <w:r>
              <w:rPr>
                <w:sz w:val="18"/>
              </w:rPr>
              <w:t>2</w:t>
            </w: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tcBorders>
              <w:top w:val="single" w:sz="4" w:space="0" w:color="000000"/>
              <w:left w:val="single" w:sz="4" w:space="0" w:color="000000"/>
              <w:bottom w:val="single" w:sz="4" w:space="0" w:color="000000"/>
              <w:right w:val="single" w:sz="4" w:space="0" w:color="000000"/>
            </w:tcBorders>
          </w:tcPr>
          <w:p>
            <w:pPr>
              <w:pStyle w:val="TableParagraph"/>
              <w:spacing w:before="79"/>
              <w:ind w:left="117" w:right="98"/>
              <w:rPr>
                <w:sz w:val="18"/>
              </w:rPr>
            </w:pPr>
            <w:r>
              <w:rPr>
                <w:sz w:val="18"/>
              </w:rPr>
              <w:t>泌水率比</w:t>
            </w: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9"/>
              <w:ind w:left="1659" w:right="1640"/>
              <w:rPr>
                <w:sz w:val="18"/>
              </w:rPr>
            </w:pPr>
            <w:r>
              <w:rPr>
                <w:sz w:val="18"/>
              </w:rPr>
              <w:t>≤70%</w:t>
            </w:r>
          </w:p>
        </w:tc>
        <w:tc>
          <w:tcPr>
            <w:tcW w:w="1421" w:type="dxa"/>
            <w:tcBorders>
              <w:top w:val="single" w:sz="4" w:space="0" w:color="000000"/>
              <w:left w:val="single" w:sz="4" w:space="0" w:color="000000"/>
              <w:bottom w:val="single" w:sz="4" w:space="0" w:color="000000"/>
            </w:tcBorders>
          </w:tcPr>
          <w:p>
            <w:pPr>
              <w:pStyle w:val="TableParagraph"/>
              <w:spacing w:before="79"/>
              <w:ind w:left="331" w:right="311"/>
              <w:rPr>
                <w:sz w:val="18"/>
              </w:rPr>
            </w:pPr>
            <w:r>
              <w:rPr>
                <w:sz w:val="18"/>
              </w:rPr>
              <w:t>6.2.9</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11" w:type="dxa"/>
            <w:tcBorders>
              <w:top w:val="single" w:sz="4" w:space="0" w:color="000000"/>
              <w:bottom w:val="single" w:sz="4" w:space="0" w:color="000000"/>
              <w:right w:val="single" w:sz="4" w:space="0" w:color="000000"/>
            </w:tcBorders>
          </w:tcPr>
          <w:p>
            <w:pPr>
              <w:pStyle w:val="TableParagraph"/>
              <w:spacing w:before="79"/>
              <w:ind w:left="13"/>
              <w:rPr>
                <w:sz w:val="18"/>
              </w:rPr>
            </w:pPr>
            <w:r>
              <w:rPr>
                <w:sz w:val="18"/>
              </w:rPr>
              <w:t>3</w:t>
            </w: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tcBorders>
              <w:top w:val="single" w:sz="4" w:space="0" w:color="000000"/>
              <w:left w:val="single" w:sz="4" w:space="0" w:color="000000"/>
              <w:bottom w:val="single" w:sz="4" w:space="0" w:color="000000"/>
              <w:right w:val="single" w:sz="4" w:space="0" w:color="000000"/>
            </w:tcBorders>
          </w:tcPr>
          <w:p>
            <w:pPr>
              <w:pStyle w:val="TableParagraph"/>
              <w:spacing w:before="79"/>
              <w:ind w:left="117" w:right="98"/>
              <w:rPr>
                <w:sz w:val="18"/>
              </w:rPr>
            </w:pPr>
            <w:r>
              <w:rPr>
                <w:sz w:val="18"/>
              </w:rPr>
              <w:t>凝结时间之差</w:t>
            </w: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9"/>
              <w:ind w:left="1659" w:right="1640"/>
              <w:rPr>
                <w:sz w:val="18"/>
              </w:rPr>
            </w:pPr>
            <w:r>
              <w:rPr>
                <w:sz w:val="18"/>
              </w:rPr>
              <w:t>初凝：≤+90 min</w:t>
            </w:r>
          </w:p>
        </w:tc>
        <w:tc>
          <w:tcPr>
            <w:tcW w:w="1421" w:type="dxa"/>
            <w:tcBorders>
              <w:top w:val="single" w:sz="4" w:space="0" w:color="000000"/>
              <w:left w:val="single" w:sz="4" w:space="0" w:color="000000"/>
              <w:bottom w:val="single" w:sz="4" w:space="0" w:color="000000"/>
            </w:tcBorders>
          </w:tcPr>
          <w:p>
            <w:pPr>
              <w:pStyle w:val="TableParagraph"/>
              <w:spacing w:before="79"/>
              <w:ind w:left="331" w:right="311"/>
              <w:rPr>
                <w:sz w:val="18"/>
              </w:rPr>
            </w:pPr>
            <w:r>
              <w:rPr>
                <w:sz w:val="18"/>
              </w:rPr>
              <w:t>6.2.12</w:t>
            </w: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11" w:type="dxa"/>
            <w:vMerge w:val="restart"/>
            <w:tcBorders>
              <w:top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1"/>
              <w:jc w:val="left"/>
              <w:rPr>
                <w:rFonts w:ascii="黑体"/>
                <w:sz w:val="17"/>
              </w:rPr>
            </w:pPr>
          </w:p>
          <w:p>
            <w:pPr>
              <w:pStyle w:val="TableParagraph"/>
              <w:spacing w:before="1"/>
              <w:ind w:left="13"/>
              <w:rPr>
                <w:sz w:val="18"/>
              </w:rPr>
            </w:pPr>
            <w:r>
              <w:rPr>
                <w:sz w:val="18"/>
              </w:rPr>
              <w:t>4</w:t>
            </w:r>
          </w:p>
        </w:tc>
        <w:tc>
          <w:tcPr>
            <w:tcW w:w="1345"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6"/>
              <w:jc w:val="left"/>
              <w:rPr>
                <w:rFonts w:ascii="黑体"/>
                <w:sz w:val="14"/>
              </w:rPr>
            </w:pPr>
          </w:p>
          <w:p>
            <w:pPr>
              <w:pStyle w:val="TableParagraph"/>
              <w:spacing w:line="242" w:lineRule="auto"/>
              <w:ind w:left="407" w:right="385" w:hanging="3"/>
              <w:rPr>
                <w:sz w:val="18"/>
              </w:rPr>
            </w:pPr>
            <w:r>
              <w:rPr>
                <w:sz w:val="18"/>
              </w:rPr>
              <w:t>硬 化 混凝土性能</w:t>
            </w:r>
          </w:p>
        </w:tc>
        <w:tc>
          <w:tcPr>
            <w:tcW w:w="1345"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1"/>
              <w:jc w:val="left"/>
              <w:rPr>
                <w:rFonts w:ascii="黑体"/>
                <w:sz w:val="17"/>
              </w:rPr>
            </w:pPr>
          </w:p>
          <w:p>
            <w:pPr>
              <w:pStyle w:val="TableParagraph"/>
              <w:spacing w:before="1"/>
              <w:ind w:left="226"/>
              <w:jc w:val="left"/>
              <w:rPr>
                <w:sz w:val="18"/>
              </w:rPr>
            </w:pPr>
            <w:r>
              <w:rPr>
                <w:sz w:val="18"/>
              </w:rPr>
              <w:t>抗压强度比</w:t>
            </w: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8"/>
              <w:ind w:left="1659" w:right="1640"/>
              <w:rPr>
                <w:sz w:val="18"/>
              </w:rPr>
            </w:pPr>
            <w:r>
              <w:rPr>
                <w:sz w:val="18"/>
              </w:rPr>
              <w:t>1 d：≥140%</w:t>
            </w:r>
          </w:p>
        </w:tc>
        <w:tc>
          <w:tcPr>
            <w:tcW w:w="1421" w:type="dxa"/>
            <w:vMerge w:val="restart"/>
            <w:tcBorders>
              <w:top w:val="single" w:sz="4" w:space="0" w:color="000000"/>
              <w:left w:val="single" w:sz="4" w:space="0" w:color="000000"/>
              <w:bottom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1"/>
              <w:jc w:val="left"/>
              <w:rPr>
                <w:rFonts w:ascii="黑体"/>
                <w:sz w:val="17"/>
              </w:rPr>
            </w:pPr>
          </w:p>
          <w:p>
            <w:pPr>
              <w:pStyle w:val="TableParagraph"/>
              <w:spacing w:before="1"/>
              <w:ind w:left="442"/>
              <w:jc w:val="left"/>
              <w:rPr>
                <w:sz w:val="18"/>
              </w:rPr>
            </w:pPr>
            <w:r>
              <w:rPr>
                <w:sz w:val="18"/>
              </w:rPr>
              <w:t>6.2.13</w:t>
            </w: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11" w:type="dxa"/>
            <w:vMerge/>
            <w:tcBorders>
              <w:top w:val="nil"/>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8"/>
              <w:ind w:left="1659" w:right="1640"/>
              <w:rPr>
                <w:sz w:val="18"/>
              </w:rPr>
            </w:pPr>
            <w:r>
              <w:rPr>
                <w:sz w:val="18"/>
              </w:rPr>
              <w:t>3 d：≥130%</w:t>
            </w:r>
          </w:p>
        </w:tc>
        <w:tc>
          <w:tcPr>
            <w:tcW w:w="1421"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1"/>
          <w:jc w:val="left"/>
        </w:trPr>
        <w:tc>
          <w:tcPr>
            <w:tcW w:w="611" w:type="dxa"/>
            <w:vMerge/>
            <w:tcBorders>
              <w:top w:val="nil"/>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8"/>
              <w:ind w:left="1659" w:right="1640"/>
              <w:rPr>
                <w:sz w:val="18"/>
              </w:rPr>
            </w:pPr>
            <w:r>
              <w:rPr>
                <w:sz w:val="18"/>
              </w:rPr>
              <w:t>7 d：≥110%</w:t>
            </w:r>
          </w:p>
        </w:tc>
        <w:tc>
          <w:tcPr>
            <w:tcW w:w="1421"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11" w:type="dxa"/>
            <w:vMerge/>
            <w:tcBorders>
              <w:top w:val="nil"/>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78"/>
              <w:ind w:left="1659" w:right="1640"/>
              <w:rPr>
                <w:sz w:val="18"/>
              </w:rPr>
            </w:pPr>
            <w:r>
              <w:rPr>
                <w:sz w:val="18"/>
              </w:rPr>
              <w:t>28 d：≥100%</w:t>
            </w:r>
          </w:p>
        </w:tc>
        <w:tc>
          <w:tcPr>
            <w:tcW w:w="1421" w:type="dxa"/>
            <w:vMerge/>
            <w:tcBorders>
              <w:top w:val="nil"/>
              <w:left w:val="single" w:sz="4" w:space="0" w:color="000000"/>
              <w:bottom w:val="single" w:sz="4" w:space="0" w:color="000000"/>
            </w:tcBorders>
          </w:tcPr>
          <w:p>
            <w:pPr>
              <w:rPr>
                <w:sz w:val="2"/>
                <w:szCs w:val="2"/>
              </w:rPr>
            </w:pPr>
          </w:p>
        </w:tc>
      </w:tr>
      <w:tr>
        <w:tblPrEx>
          <w:tblW w:w="0" w:type="auto"/>
          <w:jc w:val="left"/>
          <w:tblInd w:w="374" w:type="dxa"/>
          <w:tblLayout w:type="fixed"/>
          <w:tblCellMar>
            <w:top w:w="0" w:type="dxa"/>
            <w:left w:w="0" w:type="dxa"/>
            <w:bottom w:w="0" w:type="dxa"/>
            <w:right w:w="0" w:type="dxa"/>
          </w:tblCellMar>
          <w:tblLook w:val="01E0"/>
        </w:tblPrEx>
        <w:trPr>
          <w:trHeight w:val="390"/>
          <w:jc w:val="left"/>
        </w:trPr>
        <w:tc>
          <w:tcPr>
            <w:tcW w:w="611" w:type="dxa"/>
            <w:tcBorders>
              <w:top w:val="single" w:sz="4" w:space="0" w:color="000000"/>
              <w:bottom w:val="single" w:sz="4" w:space="0" w:color="000000"/>
              <w:right w:val="single" w:sz="4" w:space="0" w:color="000000"/>
            </w:tcBorders>
          </w:tcPr>
          <w:p>
            <w:pPr>
              <w:pStyle w:val="TableParagraph"/>
              <w:spacing w:before="80"/>
              <w:ind w:left="13"/>
              <w:rPr>
                <w:sz w:val="18"/>
              </w:rPr>
            </w:pPr>
            <w:r>
              <w:rPr>
                <w:sz w:val="18"/>
              </w:rPr>
              <w:t>5</w:t>
            </w:r>
          </w:p>
        </w:tc>
        <w:tc>
          <w:tcPr>
            <w:tcW w:w="1345" w:type="dxa"/>
            <w:vMerge/>
            <w:tcBorders>
              <w:top w:val="nil"/>
              <w:left w:val="single" w:sz="4" w:space="0" w:color="000000"/>
              <w:bottom w:val="single" w:sz="4" w:space="0" w:color="000000"/>
              <w:right w:val="single" w:sz="4" w:space="0" w:color="000000"/>
            </w:tcBorders>
          </w:tcPr>
          <w:p>
            <w:pPr>
              <w:rPr>
                <w:sz w:val="2"/>
                <w:szCs w:val="2"/>
              </w:rPr>
            </w:pPr>
          </w:p>
        </w:tc>
        <w:tc>
          <w:tcPr>
            <w:tcW w:w="1345" w:type="dxa"/>
            <w:tcBorders>
              <w:top w:val="single" w:sz="4" w:space="0" w:color="000000"/>
              <w:left w:val="single" w:sz="4" w:space="0" w:color="000000"/>
              <w:bottom w:val="single" w:sz="4" w:space="0" w:color="000000"/>
              <w:right w:val="single" w:sz="4" w:space="0" w:color="000000"/>
            </w:tcBorders>
          </w:tcPr>
          <w:p>
            <w:pPr>
              <w:pStyle w:val="TableParagraph"/>
              <w:spacing w:before="80"/>
              <w:ind w:left="117" w:right="98"/>
              <w:rPr>
                <w:sz w:val="18"/>
              </w:rPr>
            </w:pPr>
            <w:r>
              <w:rPr>
                <w:sz w:val="18"/>
              </w:rPr>
              <w:t>收缩率比</w:t>
            </w:r>
          </w:p>
        </w:tc>
        <w:tc>
          <w:tcPr>
            <w:tcW w:w="4700" w:type="dxa"/>
            <w:tcBorders>
              <w:top w:val="single" w:sz="4" w:space="0" w:color="000000"/>
              <w:left w:val="single" w:sz="4" w:space="0" w:color="000000"/>
              <w:bottom w:val="single" w:sz="4" w:space="0" w:color="000000"/>
              <w:right w:val="single" w:sz="4" w:space="0" w:color="000000"/>
            </w:tcBorders>
          </w:tcPr>
          <w:p>
            <w:pPr>
              <w:pStyle w:val="TableParagraph"/>
              <w:spacing w:before="80"/>
              <w:ind w:left="1659" w:right="1640"/>
              <w:rPr>
                <w:sz w:val="18"/>
              </w:rPr>
            </w:pPr>
            <w:r>
              <w:rPr>
                <w:sz w:val="18"/>
              </w:rPr>
              <w:t>≤130%</w:t>
            </w:r>
          </w:p>
        </w:tc>
        <w:tc>
          <w:tcPr>
            <w:tcW w:w="1421" w:type="dxa"/>
            <w:tcBorders>
              <w:top w:val="single" w:sz="4" w:space="0" w:color="000000"/>
              <w:left w:val="single" w:sz="4" w:space="0" w:color="000000"/>
              <w:bottom w:val="single" w:sz="4" w:space="0" w:color="000000"/>
            </w:tcBorders>
          </w:tcPr>
          <w:p>
            <w:pPr>
              <w:pStyle w:val="TableParagraph"/>
              <w:spacing w:before="80"/>
              <w:ind w:left="331" w:right="311"/>
              <w:rPr>
                <w:sz w:val="18"/>
              </w:rPr>
            </w:pPr>
            <w:r>
              <w:rPr>
                <w:sz w:val="18"/>
              </w:rPr>
              <w:t>6.2.15</w:t>
            </w:r>
          </w:p>
        </w:tc>
      </w:tr>
      <w:tr>
        <w:tblPrEx>
          <w:tblW w:w="0" w:type="auto"/>
          <w:jc w:val="left"/>
          <w:tblInd w:w="374" w:type="dxa"/>
          <w:tblLayout w:type="fixed"/>
          <w:tblCellMar>
            <w:top w:w="0" w:type="dxa"/>
            <w:left w:w="0" w:type="dxa"/>
            <w:bottom w:w="0" w:type="dxa"/>
            <w:right w:w="0" w:type="dxa"/>
          </w:tblCellMar>
          <w:tblLook w:val="01E0"/>
        </w:tblPrEx>
        <w:trPr>
          <w:trHeight w:val="935"/>
          <w:jc w:val="left"/>
        </w:trPr>
        <w:tc>
          <w:tcPr>
            <w:tcW w:w="9422" w:type="dxa"/>
            <w:gridSpan w:val="5"/>
            <w:tcBorders>
              <w:top w:val="single" w:sz="4" w:space="0" w:color="000000"/>
            </w:tcBorders>
          </w:tcPr>
          <w:p>
            <w:pPr>
              <w:pStyle w:val="TableParagraph"/>
              <w:spacing w:before="52"/>
              <w:ind w:left="329"/>
              <w:jc w:val="left"/>
              <w:rPr>
                <w:sz w:val="16"/>
              </w:rPr>
            </w:pPr>
            <w:r>
              <w:rPr>
                <w:rFonts w:ascii="黑体" w:eastAsia="黑体" w:hAnsi="黑体" w:hint="eastAsia"/>
                <w:sz w:val="16"/>
              </w:rPr>
              <w:t>注 1：</w:t>
            </w:r>
            <w:r>
              <w:rPr>
                <w:sz w:val="16"/>
              </w:rPr>
              <w:t>早强剂检验采用基准混凝土Ⅱ。</w:t>
            </w:r>
          </w:p>
          <w:p>
            <w:pPr>
              <w:pStyle w:val="TableParagraph"/>
              <w:spacing w:before="107"/>
              <w:ind w:left="329"/>
              <w:jc w:val="left"/>
              <w:rPr>
                <w:sz w:val="16"/>
              </w:rPr>
            </w:pPr>
            <w:r>
              <w:rPr>
                <w:rFonts w:ascii="黑体" w:eastAsia="黑体" w:hAnsi="黑体" w:hint="eastAsia"/>
                <w:sz w:val="16"/>
              </w:rPr>
              <w:t>注 2：</w:t>
            </w:r>
            <w:r>
              <w:rPr>
                <w:sz w:val="16"/>
              </w:rPr>
              <w:t>除“减水率”外，表中所列其他数据为受检混凝土与基准混凝土对应性能指标的差值或比值。</w:t>
            </w:r>
          </w:p>
          <w:p>
            <w:pPr>
              <w:pStyle w:val="TableParagraph"/>
              <w:spacing w:before="107"/>
              <w:ind w:left="329"/>
              <w:jc w:val="left"/>
              <w:rPr>
                <w:sz w:val="16"/>
              </w:rPr>
            </w:pPr>
            <w:r>
              <w:rPr>
                <w:rFonts w:ascii="黑体" w:eastAsia="黑体" w:hAnsi="黑体" w:hint="eastAsia"/>
                <w:w w:val="100"/>
                <w:sz w:val="16"/>
              </w:rPr>
              <w:t>注</w:t>
            </w:r>
            <w:r>
              <w:rPr>
                <w:rFonts w:ascii="黑体" w:eastAsia="黑体" w:hAnsi="黑体" w:hint="eastAsia"/>
                <w:spacing w:val="-42"/>
                <w:sz w:val="16"/>
              </w:rPr>
              <w:t xml:space="preserve"> </w:t>
            </w:r>
            <w:r>
              <w:rPr>
                <w:rFonts w:ascii="黑体" w:eastAsia="黑体" w:hAnsi="黑体" w:hint="eastAsia"/>
                <w:spacing w:val="1"/>
                <w:w w:val="100"/>
                <w:sz w:val="16"/>
              </w:rPr>
              <w:t>3</w:t>
            </w:r>
            <w:r>
              <w:rPr>
                <w:rFonts w:ascii="黑体" w:eastAsia="黑体" w:hAnsi="黑体" w:hint="eastAsia"/>
                <w:spacing w:val="-82"/>
                <w:w w:val="100"/>
                <w:sz w:val="16"/>
              </w:rPr>
              <w:t>：</w:t>
            </w:r>
            <w:r>
              <w:rPr>
                <w:spacing w:val="-6"/>
                <w:w w:val="100"/>
                <w:sz w:val="16"/>
              </w:rPr>
              <w:t>“凝结时间之差”中的“–”号表示受检混凝土比基准混凝土的凝结时间提前，“+”号表示凝结时间延缓。</w:t>
            </w:r>
          </w:p>
        </w:tc>
      </w:tr>
    </w:tbl>
    <w:p>
      <w:pPr>
        <w:pStyle w:val="ListParagraph"/>
        <w:numPr>
          <w:ilvl w:val="2"/>
          <w:numId w:val="30"/>
        </w:numPr>
        <w:tabs>
          <w:tab w:val="left" w:pos="1133"/>
        </w:tabs>
        <w:spacing w:before="177" w:after="0" w:line="240" w:lineRule="auto"/>
        <w:ind w:left="1132" w:right="0" w:hanging="735"/>
        <w:jc w:val="left"/>
        <w:rPr>
          <w:rFonts w:ascii="黑体" w:eastAsia="黑体" w:hint="eastAsia"/>
          <w:sz w:val="21"/>
        </w:rPr>
      </w:pPr>
      <w:bookmarkStart w:id="54" w:name="5.2.7　缓凝剂"/>
      <w:bookmarkEnd w:id="54"/>
      <w:bookmarkStart w:id="55" w:name="_bookmark14"/>
      <w:bookmarkEnd w:id="55"/>
      <w:r>
        <w:rPr>
          <w:rFonts w:ascii="黑体" w:eastAsia="黑体" w:hint="eastAsia"/>
          <w:sz w:val="21"/>
        </w:rPr>
        <w:t>缓凝剂</w:t>
      </w:r>
    </w:p>
    <w:p>
      <w:pPr>
        <w:pStyle w:val="BodyText"/>
        <w:spacing w:before="6"/>
        <w:rPr>
          <w:rFonts w:ascii="黑体"/>
          <w:sz w:val="15"/>
        </w:rPr>
      </w:pPr>
    </w:p>
    <w:p>
      <w:pPr>
        <w:pStyle w:val="BodyText"/>
        <w:ind w:left="818"/>
      </w:pPr>
      <w:r>
        <w:t>缓凝剂的应用性能应符合表8的要求。</w:t>
      </w:r>
    </w:p>
    <w:p>
      <w:pPr>
        <w:spacing w:after="0"/>
        <w:sectPr>
          <w:footerReference w:type="even" r:id="rId19"/>
          <w:footerReference w:type="default" r:id="rId20"/>
          <w:pgSz w:w="11910" w:h="16840"/>
          <w:pgMar w:top="1380" w:right="820" w:bottom="1280" w:left="1020" w:header="0" w:footer="857"/>
          <w:pgNumType w:start="7"/>
          <w:cols w:space="708"/>
        </w:sectPr>
      </w:pPr>
    </w:p>
    <w:p>
      <w:pPr>
        <w:pStyle w:val="BodyText"/>
        <w:spacing w:before="40"/>
        <w:ind w:left="82"/>
        <w:jc w:val="center"/>
        <w:rPr>
          <w:rFonts w:ascii="黑体" w:eastAsia="黑体" w:hint="eastAsia"/>
        </w:rPr>
      </w:pPr>
      <w:r>
        <w:rPr>
          <w:rFonts w:ascii="黑体" w:eastAsia="黑体" w:hint="eastAsia"/>
        </w:rPr>
        <w:t>表 8 缓凝剂应用性能要求</w:t>
      </w:r>
    </w:p>
    <w:p>
      <w:pPr>
        <w:pStyle w:val="BodyText"/>
        <w:spacing w:before="11"/>
        <w:rPr>
          <w:rFonts w:ascii="黑体"/>
          <w:sz w:val="13"/>
        </w:rPr>
      </w:pPr>
    </w:p>
    <w:tbl>
      <w:tblPr>
        <w:tblStyle w:val="TableNormal7"/>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03"/>
        <w:gridCol w:w="1346"/>
        <w:gridCol w:w="1344"/>
        <w:gridCol w:w="4689"/>
        <w:gridCol w:w="1446"/>
      </w:tblGrid>
      <w:tr>
        <w:tblPrEx>
          <w:tblW w:w="0" w:type="auto"/>
          <w:jc w:val="left"/>
          <w:tblInd w:w="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603" w:type="dxa"/>
            <w:tcBorders>
              <w:bottom w:val="single" w:sz="4" w:space="0" w:color="000000"/>
              <w:right w:val="single" w:sz="4" w:space="0" w:color="000000"/>
            </w:tcBorders>
          </w:tcPr>
          <w:p>
            <w:pPr>
              <w:pStyle w:val="TableParagraph"/>
              <w:spacing w:before="80"/>
              <w:ind w:left="101" w:right="87"/>
              <w:rPr>
                <w:sz w:val="18"/>
              </w:rPr>
            </w:pPr>
            <w:r>
              <w:rPr>
                <w:sz w:val="18"/>
              </w:rPr>
              <w:t>序号</w:t>
            </w:r>
          </w:p>
        </w:tc>
        <w:tc>
          <w:tcPr>
            <w:tcW w:w="1346" w:type="dxa"/>
            <w:tcBorders>
              <w:left w:val="single" w:sz="4" w:space="0" w:color="000000"/>
              <w:bottom w:val="single" w:sz="4" w:space="0" w:color="000000"/>
              <w:right w:val="single" w:sz="4" w:space="0" w:color="000000"/>
            </w:tcBorders>
          </w:tcPr>
          <w:p>
            <w:pPr>
              <w:pStyle w:val="TableParagraph"/>
              <w:spacing w:before="80"/>
              <w:ind w:left="296" w:right="278"/>
              <w:rPr>
                <w:sz w:val="18"/>
              </w:rPr>
            </w:pPr>
            <w:r>
              <w:rPr>
                <w:sz w:val="18"/>
              </w:rPr>
              <w:t>类别</w:t>
            </w:r>
          </w:p>
        </w:tc>
        <w:tc>
          <w:tcPr>
            <w:tcW w:w="1344" w:type="dxa"/>
            <w:tcBorders>
              <w:left w:val="single" w:sz="4" w:space="0" w:color="000000"/>
              <w:bottom w:val="single" w:sz="4" w:space="0" w:color="000000"/>
              <w:right w:val="single" w:sz="4" w:space="0" w:color="000000"/>
            </w:tcBorders>
          </w:tcPr>
          <w:p>
            <w:pPr>
              <w:pStyle w:val="TableParagraph"/>
              <w:spacing w:before="80"/>
              <w:ind w:left="115" w:right="96"/>
              <w:rPr>
                <w:sz w:val="18"/>
              </w:rPr>
            </w:pPr>
            <w:r>
              <w:rPr>
                <w:sz w:val="18"/>
              </w:rPr>
              <w:t>项 目</w:t>
            </w:r>
          </w:p>
        </w:tc>
        <w:tc>
          <w:tcPr>
            <w:tcW w:w="4689" w:type="dxa"/>
            <w:tcBorders>
              <w:left w:val="single" w:sz="4" w:space="0" w:color="000000"/>
              <w:bottom w:val="single" w:sz="4" w:space="0" w:color="000000"/>
              <w:right w:val="single" w:sz="4" w:space="0" w:color="000000"/>
            </w:tcBorders>
          </w:tcPr>
          <w:p>
            <w:pPr>
              <w:pStyle w:val="TableParagraph"/>
              <w:spacing w:before="80"/>
              <w:ind w:left="1652" w:right="1635"/>
              <w:rPr>
                <w:sz w:val="18"/>
              </w:rPr>
            </w:pPr>
            <w:r>
              <w:rPr>
                <w:sz w:val="18"/>
              </w:rPr>
              <w:t>要求</w:t>
            </w:r>
          </w:p>
        </w:tc>
        <w:tc>
          <w:tcPr>
            <w:tcW w:w="1446" w:type="dxa"/>
            <w:tcBorders>
              <w:left w:val="single" w:sz="4" w:space="0" w:color="000000"/>
              <w:bottom w:val="single" w:sz="4" w:space="0" w:color="000000"/>
            </w:tcBorders>
          </w:tcPr>
          <w:p>
            <w:pPr>
              <w:pStyle w:val="TableParagraph"/>
              <w:spacing w:before="80"/>
              <w:ind w:left="344" w:right="327"/>
              <w:rPr>
                <w:sz w:val="18"/>
              </w:rPr>
            </w:pPr>
            <w:r>
              <w:rPr>
                <w:sz w:val="18"/>
              </w:rPr>
              <w:t>试验方法</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3" w:type="dxa"/>
            <w:tcBorders>
              <w:top w:val="single" w:sz="4" w:space="0" w:color="000000"/>
              <w:bottom w:val="single" w:sz="4" w:space="0" w:color="000000"/>
              <w:right w:val="single" w:sz="4" w:space="0" w:color="000000"/>
            </w:tcBorders>
          </w:tcPr>
          <w:p>
            <w:pPr>
              <w:pStyle w:val="TableParagraph"/>
              <w:spacing w:before="80"/>
              <w:ind w:left="12"/>
              <w:rPr>
                <w:sz w:val="18"/>
              </w:rPr>
            </w:pPr>
            <w:r>
              <w:rPr>
                <w:sz w:val="18"/>
              </w:rPr>
              <w:t>1</w:t>
            </w: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jc w:val="left"/>
              <w:rPr>
                <w:rFonts w:ascii="黑体"/>
                <w:sz w:val="19"/>
              </w:rPr>
            </w:pPr>
          </w:p>
          <w:p>
            <w:pPr>
              <w:pStyle w:val="TableParagraph"/>
              <w:spacing w:line="242" w:lineRule="auto"/>
              <w:ind w:left="408" w:right="385"/>
              <w:jc w:val="both"/>
              <w:rPr>
                <w:sz w:val="18"/>
              </w:rPr>
            </w:pPr>
            <w:r>
              <w:rPr>
                <w:sz w:val="18"/>
              </w:rPr>
              <w:t>混凝土拌合物性能</w:t>
            </w:r>
          </w:p>
        </w:tc>
        <w:tc>
          <w:tcPr>
            <w:tcW w:w="1344" w:type="dxa"/>
            <w:tcBorders>
              <w:top w:val="single" w:sz="4" w:space="0" w:color="000000"/>
              <w:left w:val="single" w:sz="4" w:space="0" w:color="000000"/>
              <w:bottom w:val="single" w:sz="4" w:space="0" w:color="000000"/>
              <w:right w:val="single" w:sz="4" w:space="0" w:color="000000"/>
            </w:tcBorders>
          </w:tcPr>
          <w:p>
            <w:pPr>
              <w:pStyle w:val="TableParagraph"/>
              <w:spacing w:before="80"/>
              <w:ind w:left="115" w:right="96"/>
              <w:rPr>
                <w:sz w:val="18"/>
              </w:rPr>
            </w:pPr>
            <w:r>
              <w:rPr>
                <w:sz w:val="18"/>
              </w:rPr>
              <w:t>减水率</w:t>
            </w: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80"/>
              <w:ind w:left="1653" w:right="1635"/>
              <w:rPr>
                <w:sz w:val="18"/>
              </w:rPr>
            </w:pPr>
            <w:r>
              <w:rPr>
                <w:sz w:val="18"/>
              </w:rPr>
              <w:t>≤8%</w:t>
            </w:r>
          </w:p>
        </w:tc>
        <w:tc>
          <w:tcPr>
            <w:tcW w:w="1446" w:type="dxa"/>
            <w:tcBorders>
              <w:top w:val="single" w:sz="4" w:space="0" w:color="000000"/>
              <w:left w:val="single" w:sz="4" w:space="0" w:color="000000"/>
              <w:bottom w:val="single" w:sz="4" w:space="0" w:color="000000"/>
            </w:tcBorders>
          </w:tcPr>
          <w:p>
            <w:pPr>
              <w:pStyle w:val="TableParagraph"/>
              <w:spacing w:before="80"/>
              <w:ind w:left="342" w:right="327"/>
              <w:rPr>
                <w:sz w:val="18"/>
              </w:rPr>
            </w:pPr>
            <w:r>
              <w:rPr>
                <w:sz w:val="18"/>
              </w:rPr>
              <w:t>6.2.8</w:t>
            </w: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3" w:type="dxa"/>
            <w:tcBorders>
              <w:top w:val="single" w:sz="4" w:space="0" w:color="000000"/>
              <w:bottom w:val="single" w:sz="4" w:space="0" w:color="000000"/>
              <w:right w:val="single" w:sz="4" w:space="0" w:color="000000"/>
            </w:tcBorders>
          </w:tcPr>
          <w:p>
            <w:pPr>
              <w:pStyle w:val="TableParagraph"/>
              <w:spacing w:before="79"/>
              <w:ind w:left="12"/>
              <w:rPr>
                <w:sz w:val="18"/>
              </w:rPr>
            </w:pPr>
            <w:r>
              <w:rPr>
                <w:sz w:val="18"/>
              </w:rPr>
              <w:t>2</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4" w:type="dxa"/>
            <w:tcBorders>
              <w:top w:val="single" w:sz="4" w:space="0" w:color="000000"/>
              <w:left w:val="single" w:sz="4" w:space="0" w:color="000000"/>
              <w:bottom w:val="single" w:sz="4" w:space="0" w:color="000000"/>
              <w:right w:val="single" w:sz="4" w:space="0" w:color="000000"/>
            </w:tcBorders>
          </w:tcPr>
          <w:p>
            <w:pPr>
              <w:pStyle w:val="TableParagraph"/>
              <w:spacing w:before="79"/>
              <w:ind w:left="115" w:right="99"/>
              <w:rPr>
                <w:sz w:val="18"/>
              </w:rPr>
            </w:pPr>
            <w:r>
              <w:rPr>
                <w:sz w:val="18"/>
              </w:rPr>
              <w:t>泌水率比</w:t>
            </w: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79"/>
              <w:ind w:left="1653" w:right="1635"/>
              <w:rPr>
                <w:sz w:val="18"/>
              </w:rPr>
            </w:pPr>
            <w:r>
              <w:rPr>
                <w:sz w:val="18"/>
              </w:rPr>
              <w:t>≤100%</w:t>
            </w:r>
          </w:p>
        </w:tc>
        <w:tc>
          <w:tcPr>
            <w:tcW w:w="1446" w:type="dxa"/>
            <w:tcBorders>
              <w:top w:val="single" w:sz="4" w:space="0" w:color="000000"/>
              <w:left w:val="single" w:sz="4" w:space="0" w:color="000000"/>
              <w:bottom w:val="single" w:sz="4" w:space="0" w:color="000000"/>
            </w:tcBorders>
          </w:tcPr>
          <w:p>
            <w:pPr>
              <w:pStyle w:val="TableParagraph"/>
              <w:spacing w:before="79"/>
              <w:ind w:left="342" w:right="327"/>
              <w:rPr>
                <w:sz w:val="18"/>
              </w:rPr>
            </w:pPr>
            <w:r>
              <w:rPr>
                <w:sz w:val="18"/>
              </w:rPr>
              <w:t>6.2.9</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3" w:type="dxa"/>
            <w:tcBorders>
              <w:top w:val="single" w:sz="4" w:space="0" w:color="000000"/>
              <w:bottom w:val="single" w:sz="4" w:space="0" w:color="000000"/>
              <w:right w:val="single" w:sz="4" w:space="0" w:color="000000"/>
            </w:tcBorders>
          </w:tcPr>
          <w:p>
            <w:pPr>
              <w:pStyle w:val="TableParagraph"/>
              <w:spacing w:before="79"/>
              <w:ind w:left="12"/>
              <w:rPr>
                <w:sz w:val="18"/>
              </w:rPr>
            </w:pPr>
            <w:r>
              <w:rPr>
                <w:sz w:val="18"/>
              </w:rPr>
              <w:t>3</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4" w:type="dxa"/>
            <w:tcBorders>
              <w:top w:val="single" w:sz="4" w:space="0" w:color="000000"/>
              <w:left w:val="single" w:sz="4" w:space="0" w:color="000000"/>
              <w:bottom w:val="single" w:sz="4" w:space="0" w:color="000000"/>
              <w:right w:val="single" w:sz="4" w:space="0" w:color="000000"/>
            </w:tcBorders>
          </w:tcPr>
          <w:p>
            <w:pPr>
              <w:pStyle w:val="TableParagraph"/>
              <w:spacing w:before="79"/>
              <w:ind w:left="115" w:right="99"/>
              <w:rPr>
                <w:sz w:val="18"/>
              </w:rPr>
            </w:pPr>
            <w:r>
              <w:rPr>
                <w:sz w:val="18"/>
              </w:rPr>
              <w:t>凝结时间之差</w:t>
            </w: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79"/>
              <w:ind w:left="1653" w:right="1635"/>
              <w:rPr>
                <w:sz w:val="18"/>
              </w:rPr>
            </w:pPr>
            <w:r>
              <w:rPr>
                <w:sz w:val="18"/>
              </w:rPr>
              <w:t>初凝：＞+90 min</w:t>
            </w:r>
          </w:p>
        </w:tc>
        <w:tc>
          <w:tcPr>
            <w:tcW w:w="1446" w:type="dxa"/>
            <w:tcBorders>
              <w:top w:val="single" w:sz="4" w:space="0" w:color="000000"/>
              <w:left w:val="single" w:sz="4" w:space="0" w:color="000000"/>
              <w:bottom w:val="single" w:sz="4" w:space="0" w:color="000000"/>
            </w:tcBorders>
          </w:tcPr>
          <w:p>
            <w:pPr>
              <w:pStyle w:val="TableParagraph"/>
              <w:spacing w:before="79"/>
              <w:ind w:left="344" w:right="324"/>
              <w:rPr>
                <w:sz w:val="18"/>
              </w:rPr>
            </w:pPr>
            <w:r>
              <w:rPr>
                <w:sz w:val="18"/>
              </w:rPr>
              <w:t>6.2.12</w:t>
            </w: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3" w:type="dxa"/>
            <w:vMerge w:val="restart"/>
            <w:tcBorders>
              <w:top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2"/>
              <w:rPr>
                <w:sz w:val="18"/>
              </w:rPr>
            </w:pPr>
            <w:r>
              <w:rPr>
                <w:sz w:val="18"/>
              </w:rPr>
              <w:t>4</w:t>
            </w:r>
          </w:p>
        </w:tc>
        <w:tc>
          <w:tcPr>
            <w:tcW w:w="13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
              <w:jc w:val="left"/>
              <w:rPr>
                <w:rFonts w:ascii="黑体"/>
                <w:sz w:val="19"/>
              </w:rPr>
            </w:pPr>
          </w:p>
          <w:p>
            <w:pPr>
              <w:pStyle w:val="TableParagraph"/>
              <w:spacing w:line="242" w:lineRule="auto"/>
              <w:ind w:left="408" w:right="385" w:hanging="3"/>
              <w:rPr>
                <w:sz w:val="18"/>
              </w:rPr>
            </w:pPr>
            <w:r>
              <w:rPr>
                <w:sz w:val="18"/>
              </w:rPr>
              <w:t>硬 化 混凝土性能</w:t>
            </w:r>
          </w:p>
        </w:tc>
        <w:tc>
          <w:tcPr>
            <w:tcW w:w="134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226"/>
              <w:jc w:val="left"/>
              <w:rPr>
                <w:sz w:val="18"/>
              </w:rPr>
            </w:pPr>
            <w:r>
              <w:rPr>
                <w:sz w:val="18"/>
              </w:rPr>
              <w:t>抗压强度比</w:t>
            </w: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79"/>
              <w:ind w:left="1653" w:right="1635"/>
              <w:rPr>
                <w:sz w:val="18"/>
              </w:rPr>
            </w:pPr>
            <w:r>
              <w:rPr>
                <w:sz w:val="18"/>
              </w:rPr>
              <w:t>7 d：≥105%</w:t>
            </w:r>
          </w:p>
        </w:tc>
        <w:tc>
          <w:tcPr>
            <w:tcW w:w="1446" w:type="dxa"/>
            <w:vMerge w:val="restart"/>
            <w:tcBorders>
              <w:top w:val="single" w:sz="4" w:space="0" w:color="000000"/>
              <w:left w:val="single" w:sz="4" w:space="0" w:color="000000"/>
              <w:bottom w:val="single" w:sz="4" w:space="0" w:color="000000"/>
            </w:tcBorders>
          </w:tcPr>
          <w:p>
            <w:pPr>
              <w:pStyle w:val="TableParagraph"/>
              <w:spacing w:before="11"/>
              <w:jc w:val="left"/>
              <w:rPr>
                <w:rFonts w:ascii="黑体"/>
                <w:sz w:val="21"/>
              </w:rPr>
            </w:pPr>
          </w:p>
          <w:p>
            <w:pPr>
              <w:pStyle w:val="TableParagraph"/>
              <w:ind w:left="455"/>
              <w:jc w:val="left"/>
              <w:rPr>
                <w:sz w:val="18"/>
              </w:rPr>
            </w:pPr>
            <w:r>
              <w:rPr>
                <w:sz w:val="18"/>
              </w:rPr>
              <w:t>6.2.13</w:t>
            </w:r>
          </w:p>
        </w:tc>
      </w:tr>
      <w:tr>
        <w:tblPrEx>
          <w:tblW w:w="0" w:type="auto"/>
          <w:jc w:val="left"/>
          <w:tblInd w:w="371" w:type="dxa"/>
          <w:tblLayout w:type="fixed"/>
          <w:tblCellMar>
            <w:top w:w="0" w:type="dxa"/>
            <w:left w:w="0" w:type="dxa"/>
            <w:bottom w:w="0" w:type="dxa"/>
            <w:right w:w="0" w:type="dxa"/>
          </w:tblCellMar>
          <w:tblLook w:val="01E0"/>
        </w:tblPrEx>
        <w:trPr>
          <w:trHeight w:val="391"/>
          <w:jc w:val="left"/>
        </w:trPr>
        <w:tc>
          <w:tcPr>
            <w:tcW w:w="603" w:type="dxa"/>
            <w:vMerge/>
            <w:tcBorders>
              <w:top w:val="nil"/>
              <w:bottom w:val="single" w:sz="4" w:space="0" w:color="000000"/>
              <w:right w:val="single" w:sz="4" w:space="0" w:color="000000"/>
            </w:tcBorders>
          </w:tcPr>
          <w:p>
            <w:pPr>
              <w:rPr>
                <w:sz w:val="2"/>
                <w:szCs w:val="2"/>
              </w:rPr>
            </w:pP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4" w:type="dxa"/>
            <w:vMerge/>
            <w:tcBorders>
              <w:top w:val="nil"/>
              <w:left w:val="single" w:sz="4" w:space="0" w:color="000000"/>
              <w:bottom w:val="single" w:sz="4" w:space="0" w:color="000000"/>
              <w:right w:val="single" w:sz="4" w:space="0" w:color="000000"/>
            </w:tcBorders>
          </w:tcPr>
          <w:p>
            <w:pPr>
              <w:rPr>
                <w:sz w:val="2"/>
                <w:szCs w:val="2"/>
              </w:rPr>
            </w:pP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79"/>
              <w:ind w:left="1653" w:right="1635"/>
              <w:rPr>
                <w:sz w:val="18"/>
              </w:rPr>
            </w:pPr>
            <w:r>
              <w:rPr>
                <w:sz w:val="18"/>
              </w:rPr>
              <w:t>28 d：≥100%</w:t>
            </w:r>
          </w:p>
        </w:tc>
        <w:tc>
          <w:tcPr>
            <w:tcW w:w="1446" w:type="dxa"/>
            <w:vMerge/>
            <w:tcBorders>
              <w:top w:val="nil"/>
              <w:left w:val="single" w:sz="4" w:space="0" w:color="000000"/>
              <w:bottom w:val="single" w:sz="4" w:space="0" w:color="000000"/>
            </w:tcBorders>
          </w:tcPr>
          <w:p>
            <w:pPr>
              <w:rPr>
                <w:sz w:val="2"/>
                <w:szCs w:val="2"/>
              </w:rPr>
            </w:pPr>
          </w:p>
        </w:tc>
      </w:tr>
      <w:tr>
        <w:tblPrEx>
          <w:tblW w:w="0" w:type="auto"/>
          <w:jc w:val="left"/>
          <w:tblInd w:w="371" w:type="dxa"/>
          <w:tblLayout w:type="fixed"/>
          <w:tblCellMar>
            <w:top w:w="0" w:type="dxa"/>
            <w:left w:w="0" w:type="dxa"/>
            <w:bottom w:w="0" w:type="dxa"/>
            <w:right w:w="0" w:type="dxa"/>
          </w:tblCellMar>
          <w:tblLook w:val="01E0"/>
        </w:tblPrEx>
        <w:trPr>
          <w:trHeight w:val="390"/>
          <w:jc w:val="left"/>
        </w:trPr>
        <w:tc>
          <w:tcPr>
            <w:tcW w:w="603" w:type="dxa"/>
            <w:tcBorders>
              <w:top w:val="single" w:sz="4" w:space="0" w:color="000000"/>
              <w:bottom w:val="single" w:sz="4" w:space="0" w:color="000000"/>
              <w:right w:val="single" w:sz="4" w:space="0" w:color="000000"/>
            </w:tcBorders>
          </w:tcPr>
          <w:p>
            <w:pPr>
              <w:pStyle w:val="TableParagraph"/>
              <w:spacing w:before="81"/>
              <w:ind w:left="12"/>
              <w:rPr>
                <w:sz w:val="18"/>
              </w:rPr>
            </w:pPr>
            <w:r>
              <w:rPr>
                <w:sz w:val="18"/>
              </w:rPr>
              <w:t>5</w:t>
            </w:r>
          </w:p>
        </w:tc>
        <w:tc>
          <w:tcPr>
            <w:tcW w:w="1346" w:type="dxa"/>
            <w:vMerge/>
            <w:tcBorders>
              <w:top w:val="nil"/>
              <w:left w:val="single" w:sz="4" w:space="0" w:color="000000"/>
              <w:bottom w:val="single" w:sz="4" w:space="0" w:color="000000"/>
              <w:right w:val="single" w:sz="4" w:space="0" w:color="000000"/>
            </w:tcBorders>
          </w:tcPr>
          <w:p>
            <w:pPr>
              <w:rPr>
                <w:sz w:val="2"/>
                <w:szCs w:val="2"/>
              </w:rPr>
            </w:pPr>
          </w:p>
        </w:tc>
        <w:tc>
          <w:tcPr>
            <w:tcW w:w="1344" w:type="dxa"/>
            <w:tcBorders>
              <w:top w:val="single" w:sz="4" w:space="0" w:color="000000"/>
              <w:left w:val="single" w:sz="4" w:space="0" w:color="000000"/>
              <w:bottom w:val="single" w:sz="4" w:space="0" w:color="000000"/>
              <w:right w:val="single" w:sz="4" w:space="0" w:color="000000"/>
            </w:tcBorders>
          </w:tcPr>
          <w:p>
            <w:pPr>
              <w:pStyle w:val="TableParagraph"/>
              <w:spacing w:before="81"/>
              <w:ind w:left="115" w:right="99"/>
              <w:rPr>
                <w:sz w:val="18"/>
              </w:rPr>
            </w:pPr>
            <w:r>
              <w:rPr>
                <w:sz w:val="18"/>
              </w:rPr>
              <w:t>收缩率比</w:t>
            </w:r>
          </w:p>
        </w:tc>
        <w:tc>
          <w:tcPr>
            <w:tcW w:w="4689" w:type="dxa"/>
            <w:tcBorders>
              <w:top w:val="single" w:sz="4" w:space="0" w:color="000000"/>
              <w:left w:val="single" w:sz="4" w:space="0" w:color="000000"/>
              <w:bottom w:val="single" w:sz="4" w:space="0" w:color="000000"/>
              <w:right w:val="single" w:sz="4" w:space="0" w:color="000000"/>
            </w:tcBorders>
          </w:tcPr>
          <w:p>
            <w:pPr>
              <w:pStyle w:val="TableParagraph"/>
              <w:spacing w:before="81"/>
              <w:ind w:left="1653" w:right="1635"/>
              <w:rPr>
                <w:sz w:val="18"/>
              </w:rPr>
            </w:pPr>
            <w:r>
              <w:rPr>
                <w:sz w:val="18"/>
              </w:rPr>
              <w:t>≤130%</w:t>
            </w:r>
          </w:p>
        </w:tc>
        <w:tc>
          <w:tcPr>
            <w:tcW w:w="1446" w:type="dxa"/>
            <w:tcBorders>
              <w:top w:val="single" w:sz="4" w:space="0" w:color="000000"/>
              <w:left w:val="single" w:sz="4" w:space="0" w:color="000000"/>
              <w:bottom w:val="single" w:sz="4" w:space="0" w:color="000000"/>
            </w:tcBorders>
          </w:tcPr>
          <w:p>
            <w:pPr>
              <w:pStyle w:val="TableParagraph"/>
              <w:spacing w:before="81"/>
              <w:ind w:left="344" w:right="324"/>
              <w:rPr>
                <w:sz w:val="18"/>
              </w:rPr>
            </w:pPr>
            <w:r>
              <w:rPr>
                <w:sz w:val="18"/>
              </w:rPr>
              <w:t>6.2.15</w:t>
            </w:r>
          </w:p>
        </w:tc>
      </w:tr>
      <w:tr>
        <w:tblPrEx>
          <w:tblW w:w="0" w:type="auto"/>
          <w:jc w:val="left"/>
          <w:tblInd w:w="371" w:type="dxa"/>
          <w:tblLayout w:type="fixed"/>
          <w:tblCellMar>
            <w:top w:w="0" w:type="dxa"/>
            <w:left w:w="0" w:type="dxa"/>
            <w:bottom w:w="0" w:type="dxa"/>
            <w:right w:w="0" w:type="dxa"/>
          </w:tblCellMar>
          <w:tblLook w:val="01E0"/>
        </w:tblPrEx>
        <w:trPr>
          <w:trHeight w:val="935"/>
          <w:jc w:val="left"/>
        </w:trPr>
        <w:tc>
          <w:tcPr>
            <w:tcW w:w="9428" w:type="dxa"/>
            <w:gridSpan w:val="5"/>
            <w:tcBorders>
              <w:top w:val="single" w:sz="4" w:space="0" w:color="000000"/>
            </w:tcBorders>
          </w:tcPr>
          <w:p>
            <w:pPr>
              <w:pStyle w:val="TableParagraph"/>
              <w:spacing w:before="53"/>
              <w:ind w:left="329"/>
              <w:jc w:val="left"/>
              <w:rPr>
                <w:sz w:val="16"/>
              </w:rPr>
            </w:pPr>
            <w:r>
              <w:rPr>
                <w:rFonts w:ascii="黑体" w:eastAsia="黑体" w:hAnsi="黑体" w:hint="eastAsia"/>
                <w:sz w:val="16"/>
              </w:rPr>
              <w:t>注 1：</w:t>
            </w:r>
            <w:r>
              <w:rPr>
                <w:sz w:val="16"/>
              </w:rPr>
              <w:t>缓凝剂检验采用基准混凝土Ⅱ。</w:t>
            </w:r>
          </w:p>
          <w:p>
            <w:pPr>
              <w:pStyle w:val="TableParagraph"/>
              <w:spacing w:before="107"/>
              <w:ind w:left="329"/>
              <w:jc w:val="left"/>
              <w:rPr>
                <w:sz w:val="16"/>
              </w:rPr>
            </w:pPr>
            <w:r>
              <w:rPr>
                <w:rFonts w:ascii="黑体" w:eastAsia="黑体" w:hAnsi="黑体" w:hint="eastAsia"/>
                <w:sz w:val="16"/>
              </w:rPr>
              <w:t>注 2：</w:t>
            </w:r>
            <w:r>
              <w:rPr>
                <w:sz w:val="16"/>
              </w:rPr>
              <w:t>除“减水率”外，表中所列其他数据为受检混凝土与基准混凝土对应性能指标的差值或比值。</w:t>
            </w:r>
          </w:p>
          <w:p>
            <w:pPr>
              <w:pStyle w:val="TableParagraph"/>
              <w:spacing w:before="107"/>
              <w:ind w:left="329"/>
              <w:jc w:val="left"/>
              <w:rPr>
                <w:sz w:val="16"/>
              </w:rPr>
            </w:pPr>
            <w:r>
              <w:rPr>
                <w:rFonts w:ascii="黑体" w:eastAsia="黑体" w:hAnsi="黑体" w:hint="eastAsia"/>
                <w:w w:val="100"/>
                <w:sz w:val="16"/>
              </w:rPr>
              <w:t>注</w:t>
            </w:r>
            <w:r>
              <w:rPr>
                <w:rFonts w:ascii="黑体" w:eastAsia="黑体" w:hAnsi="黑体" w:hint="eastAsia"/>
                <w:spacing w:val="-42"/>
                <w:sz w:val="16"/>
              </w:rPr>
              <w:t xml:space="preserve"> </w:t>
            </w:r>
            <w:r>
              <w:rPr>
                <w:rFonts w:ascii="黑体" w:eastAsia="黑体" w:hAnsi="黑体" w:hint="eastAsia"/>
                <w:spacing w:val="1"/>
                <w:w w:val="100"/>
                <w:sz w:val="16"/>
              </w:rPr>
              <w:t>3</w:t>
            </w:r>
            <w:r>
              <w:rPr>
                <w:rFonts w:ascii="黑体" w:eastAsia="黑体" w:hAnsi="黑体" w:hint="eastAsia"/>
                <w:spacing w:val="-82"/>
                <w:w w:val="100"/>
                <w:sz w:val="16"/>
              </w:rPr>
              <w:t>：</w:t>
            </w:r>
            <w:r>
              <w:rPr>
                <w:spacing w:val="-6"/>
                <w:w w:val="100"/>
                <w:sz w:val="16"/>
              </w:rPr>
              <w:t>“凝结时间之差”中的“–”号表示受检混凝土比基准混凝土的凝结时间提前，“+”号表示凝结时间延缓。</w:t>
            </w:r>
          </w:p>
        </w:tc>
      </w:tr>
    </w:tbl>
    <w:p>
      <w:pPr>
        <w:pStyle w:val="BodyText"/>
        <w:spacing w:before="5"/>
        <w:rPr>
          <w:rFonts w:ascii="黑体"/>
          <w:sz w:val="8"/>
        </w:rPr>
      </w:pPr>
    </w:p>
    <w:p>
      <w:pPr>
        <w:pStyle w:val="ListParagraph"/>
        <w:numPr>
          <w:ilvl w:val="2"/>
          <w:numId w:val="31"/>
        </w:numPr>
        <w:tabs>
          <w:tab w:val="left" w:pos="1133"/>
        </w:tabs>
        <w:spacing w:before="70" w:after="0" w:line="240" w:lineRule="auto"/>
        <w:ind w:left="1132" w:right="0" w:hanging="735"/>
        <w:jc w:val="left"/>
        <w:rPr>
          <w:rFonts w:ascii="黑体" w:eastAsia="黑体" w:hint="eastAsia"/>
          <w:sz w:val="21"/>
        </w:rPr>
      </w:pPr>
      <w:bookmarkStart w:id="56" w:name="5.2.8　引气剂"/>
      <w:bookmarkEnd w:id="56"/>
      <w:bookmarkStart w:id="57" w:name="_bookmark15"/>
      <w:bookmarkEnd w:id="57"/>
      <w:r>
        <w:rPr>
          <w:rFonts w:ascii="黑体" w:eastAsia="黑体" w:hint="eastAsia"/>
          <w:sz w:val="21"/>
        </w:rPr>
        <w:t>引气剂</w:t>
      </w:r>
    </w:p>
    <w:p>
      <w:pPr>
        <w:pStyle w:val="BodyText"/>
        <w:spacing w:before="7"/>
        <w:rPr>
          <w:rFonts w:ascii="黑体"/>
          <w:sz w:val="15"/>
        </w:rPr>
      </w:pPr>
    </w:p>
    <w:p>
      <w:pPr>
        <w:pStyle w:val="BodyText"/>
        <w:ind w:left="818"/>
      </w:pPr>
      <w:r>
        <w:t>引气剂的应用性能应符合表9的要求。</w:t>
      </w:r>
    </w:p>
    <w:p>
      <w:pPr>
        <w:pStyle w:val="BodyText"/>
        <w:spacing w:before="6"/>
        <w:rPr>
          <w:sz w:val="15"/>
        </w:rPr>
      </w:pPr>
    </w:p>
    <w:p>
      <w:pPr>
        <w:pStyle w:val="BodyText"/>
        <w:spacing w:before="1"/>
        <w:ind w:left="82"/>
        <w:jc w:val="center"/>
        <w:rPr>
          <w:rFonts w:ascii="黑体" w:eastAsia="黑体" w:hint="eastAsia"/>
        </w:rPr>
      </w:pPr>
      <w:r>
        <w:rPr>
          <w:rFonts w:ascii="黑体" w:eastAsia="黑体" w:hint="eastAsia"/>
        </w:rPr>
        <w:t>表 9 引气剂应用性能要求</w:t>
      </w:r>
    </w:p>
    <w:p>
      <w:pPr>
        <w:pStyle w:val="BodyText"/>
        <w:spacing w:before="11"/>
        <w:rPr>
          <w:rFonts w:ascii="黑体"/>
          <w:sz w:val="13"/>
        </w:rPr>
      </w:pPr>
    </w:p>
    <w:tbl>
      <w:tblPr>
        <w:tblStyle w:val="TableNormal7"/>
        <w:tblW w:w="0" w:type="auto"/>
        <w:jc w:val="left"/>
        <w:tblInd w:w="5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78"/>
        <w:gridCol w:w="1299"/>
        <w:gridCol w:w="1300"/>
        <w:gridCol w:w="4548"/>
        <w:gridCol w:w="1403"/>
      </w:tblGrid>
      <w:tr>
        <w:tblPrEx>
          <w:tblW w:w="0" w:type="auto"/>
          <w:jc w:val="left"/>
          <w:tblInd w:w="5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91"/>
          <w:jc w:val="left"/>
        </w:trPr>
        <w:tc>
          <w:tcPr>
            <w:tcW w:w="578" w:type="dxa"/>
            <w:tcBorders>
              <w:bottom w:val="single" w:sz="4" w:space="0" w:color="000000"/>
              <w:right w:val="single" w:sz="4" w:space="0" w:color="000000"/>
            </w:tcBorders>
          </w:tcPr>
          <w:p>
            <w:pPr>
              <w:pStyle w:val="TableParagraph"/>
              <w:spacing w:before="79"/>
              <w:ind w:left="85" w:right="73"/>
              <w:rPr>
                <w:sz w:val="18"/>
              </w:rPr>
            </w:pPr>
            <w:r>
              <w:rPr>
                <w:sz w:val="18"/>
              </w:rPr>
              <w:t>序号</w:t>
            </w:r>
          </w:p>
        </w:tc>
        <w:tc>
          <w:tcPr>
            <w:tcW w:w="1299" w:type="dxa"/>
            <w:tcBorders>
              <w:left w:val="single" w:sz="4" w:space="0" w:color="000000"/>
              <w:bottom w:val="single" w:sz="4" w:space="0" w:color="000000"/>
              <w:right w:val="single" w:sz="4" w:space="0" w:color="000000"/>
            </w:tcBorders>
          </w:tcPr>
          <w:p>
            <w:pPr>
              <w:pStyle w:val="TableParagraph"/>
              <w:spacing w:before="79"/>
              <w:ind w:left="453" w:right="436"/>
              <w:rPr>
                <w:sz w:val="18"/>
              </w:rPr>
            </w:pPr>
            <w:r>
              <w:rPr>
                <w:sz w:val="18"/>
              </w:rPr>
              <w:t>类别</w:t>
            </w:r>
          </w:p>
        </w:tc>
        <w:tc>
          <w:tcPr>
            <w:tcW w:w="1300" w:type="dxa"/>
            <w:tcBorders>
              <w:left w:val="single" w:sz="4" w:space="0" w:color="000000"/>
              <w:bottom w:val="single" w:sz="4" w:space="0" w:color="000000"/>
              <w:right w:val="single" w:sz="4" w:space="0" w:color="000000"/>
            </w:tcBorders>
          </w:tcPr>
          <w:p>
            <w:pPr>
              <w:pStyle w:val="TableParagraph"/>
              <w:spacing w:before="79"/>
              <w:ind w:left="183" w:right="163"/>
              <w:rPr>
                <w:sz w:val="18"/>
              </w:rPr>
            </w:pPr>
            <w:r>
              <w:rPr>
                <w:sz w:val="18"/>
              </w:rPr>
              <w:t>项 目</w:t>
            </w:r>
          </w:p>
        </w:tc>
        <w:tc>
          <w:tcPr>
            <w:tcW w:w="4548" w:type="dxa"/>
            <w:tcBorders>
              <w:left w:val="single" w:sz="4" w:space="0" w:color="000000"/>
              <w:bottom w:val="single" w:sz="4" w:space="0" w:color="000000"/>
              <w:right w:val="single" w:sz="4" w:space="0" w:color="000000"/>
            </w:tcBorders>
          </w:tcPr>
          <w:p>
            <w:pPr>
              <w:pStyle w:val="TableParagraph"/>
              <w:spacing w:before="79"/>
              <w:ind w:left="1177" w:right="1159"/>
              <w:rPr>
                <w:sz w:val="18"/>
              </w:rPr>
            </w:pPr>
            <w:r>
              <w:rPr>
                <w:sz w:val="18"/>
              </w:rPr>
              <w:t>要求</w:t>
            </w:r>
          </w:p>
        </w:tc>
        <w:tc>
          <w:tcPr>
            <w:tcW w:w="1403" w:type="dxa"/>
            <w:tcBorders>
              <w:left w:val="single" w:sz="4" w:space="0" w:color="000000"/>
              <w:bottom w:val="single" w:sz="4" w:space="0" w:color="000000"/>
            </w:tcBorders>
          </w:tcPr>
          <w:p>
            <w:pPr>
              <w:pStyle w:val="TableParagraph"/>
              <w:spacing w:before="79"/>
              <w:ind w:left="323" w:right="304"/>
              <w:rPr>
                <w:sz w:val="18"/>
              </w:rPr>
            </w:pPr>
            <w:r>
              <w:rPr>
                <w:sz w:val="18"/>
              </w:rPr>
              <w:t>试验方法</w:t>
            </w: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tcBorders>
              <w:top w:val="single" w:sz="4" w:space="0" w:color="000000"/>
              <w:bottom w:val="single" w:sz="4" w:space="0" w:color="000000"/>
              <w:right w:val="single" w:sz="4" w:space="0" w:color="000000"/>
            </w:tcBorders>
          </w:tcPr>
          <w:p>
            <w:pPr>
              <w:pStyle w:val="TableParagraph"/>
              <w:spacing w:before="79"/>
              <w:ind w:left="16"/>
              <w:rPr>
                <w:sz w:val="18"/>
              </w:rPr>
            </w:pPr>
            <w:r>
              <w:rPr>
                <w:sz w:val="18"/>
              </w:rPr>
              <w:t>1</w:t>
            </w:r>
          </w:p>
        </w:tc>
        <w:tc>
          <w:tcPr>
            <w:tcW w:w="1299"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6"/>
              </w:rPr>
            </w:pPr>
          </w:p>
          <w:p>
            <w:pPr>
              <w:pStyle w:val="TableParagraph"/>
              <w:spacing w:line="242" w:lineRule="auto"/>
              <w:ind w:left="384" w:right="362"/>
              <w:jc w:val="both"/>
              <w:rPr>
                <w:sz w:val="18"/>
              </w:rPr>
            </w:pPr>
            <w:r>
              <w:rPr>
                <w:sz w:val="18"/>
              </w:rPr>
              <w:t>混凝土拌合物性能</w:t>
            </w: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79"/>
              <w:ind w:left="183" w:right="166"/>
              <w:rPr>
                <w:sz w:val="18"/>
              </w:rPr>
            </w:pPr>
            <w:r>
              <w:rPr>
                <w:sz w:val="18"/>
              </w:rPr>
              <w:t>减水率</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9"/>
              <w:ind w:left="1178" w:right="1159"/>
              <w:rPr>
                <w:sz w:val="18"/>
              </w:rPr>
            </w:pPr>
            <w:r>
              <w:rPr>
                <w:sz w:val="18"/>
              </w:rPr>
              <w:t>≥6%</w:t>
            </w:r>
          </w:p>
        </w:tc>
        <w:tc>
          <w:tcPr>
            <w:tcW w:w="1403" w:type="dxa"/>
            <w:tcBorders>
              <w:top w:val="single" w:sz="4" w:space="0" w:color="000000"/>
              <w:left w:val="single" w:sz="4" w:space="0" w:color="000000"/>
              <w:bottom w:val="single" w:sz="4" w:space="0" w:color="000000"/>
            </w:tcBorders>
          </w:tcPr>
          <w:p>
            <w:pPr>
              <w:pStyle w:val="TableParagraph"/>
              <w:spacing w:before="79"/>
              <w:ind w:left="322" w:right="304"/>
              <w:rPr>
                <w:sz w:val="18"/>
              </w:rPr>
            </w:pPr>
            <w:r>
              <w:rPr>
                <w:sz w:val="18"/>
              </w:rPr>
              <w:t>6.2.8</w:t>
            </w:r>
          </w:p>
        </w:tc>
      </w:tr>
      <w:tr>
        <w:tblPrEx>
          <w:tblW w:w="0" w:type="auto"/>
          <w:jc w:val="left"/>
          <w:tblInd w:w="521" w:type="dxa"/>
          <w:tblLayout w:type="fixed"/>
          <w:tblCellMar>
            <w:top w:w="0" w:type="dxa"/>
            <w:left w:w="0" w:type="dxa"/>
            <w:bottom w:w="0" w:type="dxa"/>
            <w:right w:w="0" w:type="dxa"/>
          </w:tblCellMar>
          <w:tblLook w:val="01E0"/>
        </w:tblPrEx>
        <w:trPr>
          <w:trHeight w:val="390"/>
          <w:jc w:val="left"/>
        </w:trPr>
        <w:tc>
          <w:tcPr>
            <w:tcW w:w="578" w:type="dxa"/>
            <w:tcBorders>
              <w:top w:val="single" w:sz="4" w:space="0" w:color="000000"/>
              <w:bottom w:val="single" w:sz="4" w:space="0" w:color="000000"/>
              <w:right w:val="single" w:sz="4" w:space="0" w:color="000000"/>
            </w:tcBorders>
          </w:tcPr>
          <w:p>
            <w:pPr>
              <w:pStyle w:val="TableParagraph"/>
              <w:spacing w:before="79"/>
              <w:ind w:left="16"/>
              <w:rPr>
                <w:sz w:val="18"/>
              </w:rPr>
            </w:pPr>
            <w:r>
              <w:rPr>
                <w:sz w:val="18"/>
              </w:rPr>
              <w:t>2</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79"/>
              <w:ind w:left="183" w:right="163"/>
              <w:rPr>
                <w:sz w:val="18"/>
              </w:rPr>
            </w:pPr>
            <w:r>
              <w:rPr>
                <w:sz w:val="18"/>
              </w:rPr>
              <w:t>泌水率比</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9"/>
              <w:ind w:left="1176" w:right="1159"/>
              <w:rPr>
                <w:sz w:val="18"/>
              </w:rPr>
            </w:pPr>
            <w:r>
              <w:rPr>
                <w:sz w:val="18"/>
              </w:rPr>
              <w:t>≤70%</w:t>
            </w:r>
          </w:p>
        </w:tc>
        <w:tc>
          <w:tcPr>
            <w:tcW w:w="1403" w:type="dxa"/>
            <w:tcBorders>
              <w:top w:val="single" w:sz="4" w:space="0" w:color="000000"/>
              <w:left w:val="single" w:sz="4" w:space="0" w:color="000000"/>
              <w:bottom w:val="single" w:sz="4" w:space="0" w:color="000000"/>
            </w:tcBorders>
          </w:tcPr>
          <w:p>
            <w:pPr>
              <w:pStyle w:val="TableParagraph"/>
              <w:spacing w:before="79"/>
              <w:ind w:left="322" w:right="304"/>
              <w:rPr>
                <w:sz w:val="18"/>
              </w:rPr>
            </w:pPr>
            <w:r>
              <w:rPr>
                <w:sz w:val="18"/>
              </w:rPr>
              <w:t>6.2.9</w:t>
            </w: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tcBorders>
              <w:top w:val="single" w:sz="4" w:space="0" w:color="000000"/>
              <w:bottom w:val="single" w:sz="4" w:space="0" w:color="000000"/>
              <w:right w:val="single" w:sz="4" w:space="0" w:color="000000"/>
            </w:tcBorders>
          </w:tcPr>
          <w:p>
            <w:pPr>
              <w:pStyle w:val="TableParagraph"/>
              <w:spacing w:before="81"/>
              <w:ind w:left="16"/>
              <w:rPr>
                <w:sz w:val="18"/>
              </w:rPr>
            </w:pPr>
            <w:r>
              <w:rPr>
                <w:sz w:val="18"/>
              </w:rPr>
              <w:t>3</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81"/>
              <w:ind w:left="183" w:right="166"/>
              <w:rPr>
                <w:sz w:val="18"/>
              </w:rPr>
            </w:pPr>
            <w:r>
              <w:rPr>
                <w:sz w:val="18"/>
              </w:rPr>
              <w:t>含气量</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81"/>
              <w:ind w:left="1178" w:right="1159"/>
              <w:rPr>
                <w:sz w:val="18"/>
              </w:rPr>
            </w:pPr>
            <w:r>
              <w:rPr>
                <w:sz w:val="18"/>
              </w:rPr>
              <w:t>≥3.5%</w:t>
            </w:r>
          </w:p>
        </w:tc>
        <w:tc>
          <w:tcPr>
            <w:tcW w:w="1403" w:type="dxa"/>
            <w:tcBorders>
              <w:top w:val="single" w:sz="4" w:space="0" w:color="000000"/>
              <w:left w:val="single" w:sz="4" w:space="0" w:color="000000"/>
              <w:bottom w:val="single" w:sz="4" w:space="0" w:color="000000"/>
            </w:tcBorders>
          </w:tcPr>
          <w:p>
            <w:pPr>
              <w:pStyle w:val="TableParagraph"/>
              <w:spacing w:before="81"/>
              <w:ind w:left="322" w:right="304"/>
              <w:rPr>
                <w:sz w:val="18"/>
              </w:rPr>
            </w:pPr>
            <w:r>
              <w:rPr>
                <w:sz w:val="18"/>
              </w:rPr>
              <w:t>6.2.11</w:t>
            </w:r>
          </w:p>
        </w:tc>
      </w:tr>
      <w:tr>
        <w:tblPrEx>
          <w:tblW w:w="0" w:type="auto"/>
          <w:jc w:val="left"/>
          <w:tblInd w:w="521" w:type="dxa"/>
          <w:tblLayout w:type="fixed"/>
          <w:tblCellMar>
            <w:top w:w="0" w:type="dxa"/>
            <w:left w:w="0" w:type="dxa"/>
            <w:bottom w:w="0" w:type="dxa"/>
            <w:right w:w="0" w:type="dxa"/>
          </w:tblCellMar>
          <w:tblLook w:val="01E0"/>
        </w:tblPrEx>
        <w:trPr>
          <w:trHeight w:val="488"/>
          <w:jc w:val="left"/>
        </w:trPr>
        <w:tc>
          <w:tcPr>
            <w:tcW w:w="578" w:type="dxa"/>
            <w:tcBorders>
              <w:top w:val="single" w:sz="4" w:space="0" w:color="000000"/>
              <w:bottom w:val="single" w:sz="4" w:space="0" w:color="000000"/>
              <w:right w:val="single" w:sz="4" w:space="0" w:color="000000"/>
            </w:tcBorders>
          </w:tcPr>
          <w:p>
            <w:pPr>
              <w:pStyle w:val="TableParagraph"/>
              <w:spacing w:before="129"/>
              <w:ind w:left="16"/>
              <w:rPr>
                <w:sz w:val="18"/>
              </w:rPr>
            </w:pPr>
            <w:r>
              <w:rPr>
                <w:sz w:val="18"/>
              </w:rPr>
              <w:t>4</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7" w:line="230" w:lineRule="atLeast"/>
              <w:ind w:left="383" w:right="8" w:hanging="322"/>
              <w:jc w:val="left"/>
              <w:rPr>
                <w:sz w:val="18"/>
              </w:rPr>
            </w:pPr>
            <w:r>
              <w:rPr>
                <w:spacing w:val="9"/>
                <w:sz w:val="18"/>
              </w:rPr>
              <w:t>含气量</w:t>
            </w:r>
            <w:r>
              <w:rPr>
                <w:sz w:val="18"/>
              </w:rPr>
              <w:t>1 h</w:t>
            </w:r>
            <w:r>
              <w:rPr>
                <w:spacing w:val="-25"/>
                <w:sz w:val="18"/>
              </w:rPr>
              <w:t xml:space="preserve"> 经时</w:t>
            </w:r>
            <w:r>
              <w:rPr>
                <w:sz w:val="18"/>
              </w:rPr>
              <w:t>变化量</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129"/>
              <w:ind w:left="1178" w:right="1159"/>
              <w:rPr>
                <w:sz w:val="18"/>
              </w:rPr>
            </w:pPr>
            <w:r>
              <w:rPr>
                <w:sz w:val="18"/>
              </w:rPr>
              <w:t>-1.5%～+1.5%</w:t>
            </w:r>
          </w:p>
        </w:tc>
        <w:tc>
          <w:tcPr>
            <w:tcW w:w="1403" w:type="dxa"/>
            <w:tcBorders>
              <w:top w:val="single" w:sz="4" w:space="0" w:color="000000"/>
              <w:left w:val="single" w:sz="4" w:space="0" w:color="000000"/>
              <w:bottom w:val="single" w:sz="4" w:space="0" w:color="000000"/>
            </w:tcBorders>
          </w:tcPr>
          <w:p>
            <w:pPr>
              <w:pStyle w:val="TableParagraph"/>
              <w:spacing w:before="129"/>
              <w:ind w:left="322" w:right="304"/>
              <w:rPr>
                <w:sz w:val="18"/>
              </w:rPr>
            </w:pPr>
            <w:r>
              <w:rPr>
                <w:sz w:val="18"/>
              </w:rPr>
              <w:t>6.2.11</w:t>
            </w: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vMerge w:val="restart"/>
            <w:tcBorders>
              <w:top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6"/>
              <w:rPr>
                <w:sz w:val="18"/>
              </w:rPr>
            </w:pPr>
            <w:r>
              <w:rPr>
                <w:sz w:val="18"/>
              </w:rPr>
              <w:t>5</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
              <w:jc w:val="left"/>
              <w:rPr>
                <w:rFonts w:ascii="黑体"/>
                <w:sz w:val="21"/>
              </w:rPr>
            </w:pPr>
          </w:p>
          <w:p>
            <w:pPr>
              <w:pStyle w:val="TableParagraph"/>
              <w:ind w:left="115"/>
              <w:jc w:val="left"/>
              <w:rPr>
                <w:sz w:val="18"/>
              </w:rPr>
            </w:pPr>
            <w:r>
              <w:rPr>
                <w:sz w:val="18"/>
              </w:rPr>
              <w:t>凝结时间之差</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8"/>
              <w:ind w:left="1178" w:right="1159"/>
              <w:rPr>
                <w:sz w:val="18"/>
              </w:rPr>
            </w:pPr>
            <w:r>
              <w:rPr>
                <w:sz w:val="18"/>
              </w:rPr>
              <w:t>初凝：–90 min～+120 min</w:t>
            </w:r>
          </w:p>
        </w:tc>
        <w:tc>
          <w:tcPr>
            <w:tcW w:w="1403" w:type="dxa"/>
            <w:vMerge w:val="restart"/>
            <w:tcBorders>
              <w:top w:val="single" w:sz="4" w:space="0" w:color="000000"/>
              <w:left w:val="single" w:sz="4" w:space="0" w:color="000000"/>
              <w:bottom w:val="single" w:sz="4" w:space="0" w:color="000000"/>
            </w:tcBorders>
          </w:tcPr>
          <w:p>
            <w:pPr>
              <w:pStyle w:val="TableParagraph"/>
              <w:spacing w:before="11"/>
              <w:jc w:val="left"/>
              <w:rPr>
                <w:rFonts w:ascii="黑体"/>
                <w:sz w:val="21"/>
              </w:rPr>
            </w:pPr>
          </w:p>
          <w:p>
            <w:pPr>
              <w:pStyle w:val="TableParagraph"/>
              <w:ind w:left="432"/>
              <w:jc w:val="left"/>
              <w:rPr>
                <w:sz w:val="18"/>
              </w:rPr>
            </w:pPr>
            <w:r>
              <w:rPr>
                <w:sz w:val="18"/>
              </w:rPr>
              <w:t>6.2.12</w:t>
            </w: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vMerge/>
            <w:tcBorders>
              <w:top w:val="nil"/>
              <w:bottom w:val="single" w:sz="4" w:space="0" w:color="000000"/>
              <w:right w:val="single" w:sz="4" w:space="0" w:color="000000"/>
            </w:tcBorders>
          </w:tcPr>
          <w:p>
            <w:pPr>
              <w:rPr>
                <w:sz w:val="2"/>
                <w:szCs w:val="2"/>
              </w:rPr>
            </w:pP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vMerge/>
            <w:tcBorders>
              <w:top w:val="nil"/>
              <w:left w:val="single" w:sz="4" w:space="0" w:color="000000"/>
              <w:bottom w:val="single" w:sz="4" w:space="0" w:color="000000"/>
              <w:right w:val="single" w:sz="4" w:space="0" w:color="000000"/>
            </w:tcBorders>
          </w:tcPr>
          <w:p>
            <w:pPr>
              <w:rPr>
                <w:sz w:val="2"/>
                <w:szCs w:val="2"/>
              </w:rPr>
            </w:pP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8"/>
              <w:ind w:left="1178" w:right="1159"/>
              <w:rPr>
                <w:sz w:val="18"/>
              </w:rPr>
            </w:pPr>
            <w:r>
              <w:rPr>
                <w:sz w:val="18"/>
              </w:rPr>
              <w:t>终凝：–90 min～+120 min</w:t>
            </w:r>
          </w:p>
        </w:tc>
        <w:tc>
          <w:tcPr>
            <w:tcW w:w="1403" w:type="dxa"/>
            <w:vMerge/>
            <w:tcBorders>
              <w:top w:val="nil"/>
              <w:left w:val="single" w:sz="4" w:space="0" w:color="000000"/>
              <w:bottom w:val="single" w:sz="4" w:space="0" w:color="000000"/>
            </w:tcBorders>
          </w:tcPr>
          <w:p>
            <w:pPr>
              <w:rPr>
                <w:sz w:val="2"/>
                <w:szCs w:val="2"/>
              </w:rPr>
            </w:pP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vMerge w:val="restart"/>
            <w:tcBorders>
              <w:top w:val="single" w:sz="4" w:space="0" w:color="000000"/>
              <w:bottom w:val="single" w:sz="4" w:space="0" w:color="000000"/>
              <w:right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16"/>
              <w:rPr>
                <w:sz w:val="18"/>
              </w:rPr>
            </w:pPr>
            <w:r>
              <w:rPr>
                <w:sz w:val="18"/>
              </w:rPr>
              <w:t>6</w:t>
            </w:r>
          </w:p>
        </w:tc>
        <w:tc>
          <w:tcPr>
            <w:tcW w:w="1299"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6"/>
              <w:jc w:val="left"/>
              <w:rPr>
                <w:rFonts w:ascii="黑体"/>
                <w:sz w:val="14"/>
              </w:rPr>
            </w:pPr>
          </w:p>
          <w:p>
            <w:pPr>
              <w:pStyle w:val="TableParagraph"/>
              <w:spacing w:line="242" w:lineRule="auto"/>
              <w:ind w:left="384" w:right="362" w:hanging="3"/>
              <w:rPr>
                <w:sz w:val="18"/>
              </w:rPr>
            </w:pPr>
            <w:r>
              <w:rPr>
                <w:sz w:val="18"/>
              </w:rPr>
              <w:t>硬 化 混凝土性能</w:t>
            </w:r>
          </w:p>
        </w:tc>
        <w:tc>
          <w:tcPr>
            <w:tcW w:w="1300"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203"/>
              <w:jc w:val="left"/>
              <w:rPr>
                <w:sz w:val="18"/>
              </w:rPr>
            </w:pPr>
            <w:r>
              <w:rPr>
                <w:sz w:val="18"/>
              </w:rPr>
              <w:t>抗压强度比</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8"/>
              <w:ind w:left="1178" w:right="1157"/>
              <w:rPr>
                <w:sz w:val="18"/>
              </w:rPr>
            </w:pPr>
            <w:r>
              <w:rPr>
                <w:sz w:val="18"/>
              </w:rPr>
              <w:t>3 d：≥95%</w:t>
            </w:r>
          </w:p>
        </w:tc>
        <w:tc>
          <w:tcPr>
            <w:tcW w:w="1403" w:type="dxa"/>
            <w:vMerge w:val="restart"/>
            <w:tcBorders>
              <w:top w:val="single" w:sz="4" w:space="0" w:color="000000"/>
              <w:left w:val="single" w:sz="4" w:space="0" w:color="000000"/>
              <w:bottom w:val="single" w:sz="4" w:space="0" w:color="000000"/>
            </w:tcBorders>
          </w:tcPr>
          <w:p>
            <w:pPr>
              <w:pStyle w:val="TableParagraph"/>
              <w:jc w:val="left"/>
              <w:rPr>
                <w:rFonts w:ascii="黑体"/>
                <w:sz w:val="18"/>
              </w:rPr>
            </w:pPr>
          </w:p>
          <w:p>
            <w:pPr>
              <w:pStyle w:val="TableParagraph"/>
              <w:spacing w:before="5"/>
              <w:jc w:val="left"/>
              <w:rPr>
                <w:rFonts w:ascii="黑体"/>
                <w:sz w:val="19"/>
              </w:rPr>
            </w:pPr>
          </w:p>
          <w:p>
            <w:pPr>
              <w:pStyle w:val="TableParagraph"/>
              <w:ind w:left="432"/>
              <w:jc w:val="left"/>
              <w:rPr>
                <w:sz w:val="18"/>
              </w:rPr>
            </w:pPr>
            <w:r>
              <w:rPr>
                <w:sz w:val="18"/>
              </w:rPr>
              <w:t>6.2.13</w:t>
            </w:r>
          </w:p>
        </w:tc>
      </w:tr>
      <w:tr>
        <w:tblPrEx>
          <w:tblW w:w="0" w:type="auto"/>
          <w:jc w:val="left"/>
          <w:tblInd w:w="521" w:type="dxa"/>
          <w:tblLayout w:type="fixed"/>
          <w:tblCellMar>
            <w:top w:w="0" w:type="dxa"/>
            <w:left w:w="0" w:type="dxa"/>
            <w:bottom w:w="0" w:type="dxa"/>
            <w:right w:w="0" w:type="dxa"/>
          </w:tblCellMar>
          <w:tblLook w:val="01E0"/>
        </w:tblPrEx>
        <w:trPr>
          <w:trHeight w:val="390"/>
          <w:jc w:val="left"/>
        </w:trPr>
        <w:tc>
          <w:tcPr>
            <w:tcW w:w="578" w:type="dxa"/>
            <w:vMerge/>
            <w:tcBorders>
              <w:top w:val="nil"/>
              <w:bottom w:val="single" w:sz="4" w:space="0" w:color="000000"/>
              <w:right w:val="single" w:sz="4" w:space="0" w:color="000000"/>
            </w:tcBorders>
          </w:tcPr>
          <w:p>
            <w:pPr>
              <w:rPr>
                <w:sz w:val="2"/>
                <w:szCs w:val="2"/>
              </w:rPr>
            </w:pP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vMerge/>
            <w:tcBorders>
              <w:top w:val="nil"/>
              <w:left w:val="single" w:sz="4" w:space="0" w:color="000000"/>
              <w:bottom w:val="single" w:sz="4" w:space="0" w:color="000000"/>
              <w:right w:val="single" w:sz="4" w:space="0" w:color="000000"/>
            </w:tcBorders>
          </w:tcPr>
          <w:p>
            <w:pPr>
              <w:rPr>
                <w:sz w:val="2"/>
                <w:szCs w:val="2"/>
              </w:rPr>
            </w:pP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8"/>
              <w:ind w:left="1178" w:right="1157"/>
              <w:rPr>
                <w:sz w:val="18"/>
              </w:rPr>
            </w:pPr>
            <w:r>
              <w:rPr>
                <w:sz w:val="18"/>
              </w:rPr>
              <w:t>7 d：≥95%</w:t>
            </w:r>
          </w:p>
        </w:tc>
        <w:tc>
          <w:tcPr>
            <w:tcW w:w="1403" w:type="dxa"/>
            <w:vMerge/>
            <w:tcBorders>
              <w:top w:val="nil"/>
              <w:left w:val="single" w:sz="4" w:space="0" w:color="000000"/>
              <w:bottom w:val="single" w:sz="4" w:space="0" w:color="000000"/>
            </w:tcBorders>
          </w:tcPr>
          <w:p>
            <w:pPr>
              <w:rPr>
                <w:sz w:val="2"/>
                <w:szCs w:val="2"/>
              </w:rPr>
            </w:pP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vMerge/>
            <w:tcBorders>
              <w:top w:val="nil"/>
              <w:bottom w:val="single" w:sz="4" w:space="0" w:color="000000"/>
              <w:right w:val="single" w:sz="4" w:space="0" w:color="000000"/>
            </w:tcBorders>
          </w:tcPr>
          <w:p>
            <w:pPr>
              <w:rPr>
                <w:sz w:val="2"/>
                <w:szCs w:val="2"/>
              </w:rPr>
            </w:pP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vMerge/>
            <w:tcBorders>
              <w:top w:val="nil"/>
              <w:left w:val="single" w:sz="4" w:space="0" w:color="000000"/>
              <w:bottom w:val="single" w:sz="4" w:space="0" w:color="000000"/>
              <w:right w:val="single" w:sz="4" w:space="0" w:color="000000"/>
            </w:tcBorders>
          </w:tcPr>
          <w:p>
            <w:pPr>
              <w:rPr>
                <w:sz w:val="2"/>
                <w:szCs w:val="2"/>
              </w:rPr>
            </w:pP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78"/>
              <w:ind w:left="1178" w:right="1159"/>
              <w:rPr>
                <w:sz w:val="18"/>
              </w:rPr>
            </w:pPr>
            <w:r>
              <w:rPr>
                <w:sz w:val="18"/>
              </w:rPr>
              <w:t>28 d：≥90%</w:t>
            </w:r>
          </w:p>
        </w:tc>
        <w:tc>
          <w:tcPr>
            <w:tcW w:w="1403" w:type="dxa"/>
            <w:vMerge/>
            <w:tcBorders>
              <w:top w:val="nil"/>
              <w:left w:val="single" w:sz="4" w:space="0" w:color="000000"/>
              <w:bottom w:val="single" w:sz="4" w:space="0" w:color="000000"/>
            </w:tcBorders>
          </w:tcPr>
          <w:p>
            <w:pPr>
              <w:rPr>
                <w:sz w:val="2"/>
                <w:szCs w:val="2"/>
              </w:rPr>
            </w:pPr>
          </w:p>
        </w:tc>
      </w:tr>
      <w:tr>
        <w:tblPrEx>
          <w:tblW w:w="0" w:type="auto"/>
          <w:jc w:val="left"/>
          <w:tblInd w:w="521" w:type="dxa"/>
          <w:tblLayout w:type="fixed"/>
          <w:tblCellMar>
            <w:top w:w="0" w:type="dxa"/>
            <w:left w:w="0" w:type="dxa"/>
            <w:bottom w:w="0" w:type="dxa"/>
            <w:right w:w="0" w:type="dxa"/>
          </w:tblCellMar>
          <w:tblLook w:val="01E0"/>
        </w:tblPrEx>
        <w:trPr>
          <w:trHeight w:val="390"/>
          <w:jc w:val="left"/>
        </w:trPr>
        <w:tc>
          <w:tcPr>
            <w:tcW w:w="578" w:type="dxa"/>
            <w:tcBorders>
              <w:top w:val="single" w:sz="4" w:space="0" w:color="000000"/>
              <w:bottom w:val="single" w:sz="4" w:space="0" w:color="000000"/>
              <w:right w:val="single" w:sz="4" w:space="0" w:color="000000"/>
            </w:tcBorders>
          </w:tcPr>
          <w:p>
            <w:pPr>
              <w:pStyle w:val="TableParagraph"/>
              <w:spacing w:before="80"/>
              <w:ind w:left="16"/>
              <w:rPr>
                <w:sz w:val="18"/>
              </w:rPr>
            </w:pPr>
            <w:r>
              <w:rPr>
                <w:sz w:val="18"/>
              </w:rPr>
              <w:t>7</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80"/>
              <w:ind w:left="183" w:right="163"/>
              <w:rPr>
                <w:sz w:val="18"/>
              </w:rPr>
            </w:pPr>
            <w:r>
              <w:rPr>
                <w:sz w:val="18"/>
              </w:rPr>
              <w:t>收缩率比</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80"/>
              <w:ind w:left="1178" w:right="1159"/>
              <w:rPr>
                <w:sz w:val="18"/>
              </w:rPr>
            </w:pPr>
            <w:r>
              <w:rPr>
                <w:sz w:val="18"/>
              </w:rPr>
              <w:t>≤130%</w:t>
            </w:r>
          </w:p>
        </w:tc>
        <w:tc>
          <w:tcPr>
            <w:tcW w:w="1403" w:type="dxa"/>
            <w:tcBorders>
              <w:top w:val="single" w:sz="4" w:space="0" w:color="000000"/>
              <w:left w:val="single" w:sz="4" w:space="0" w:color="000000"/>
              <w:bottom w:val="single" w:sz="4" w:space="0" w:color="000000"/>
            </w:tcBorders>
          </w:tcPr>
          <w:p>
            <w:pPr>
              <w:pStyle w:val="TableParagraph"/>
              <w:spacing w:before="80"/>
              <w:ind w:left="322" w:right="304"/>
              <w:rPr>
                <w:sz w:val="18"/>
              </w:rPr>
            </w:pPr>
            <w:r>
              <w:rPr>
                <w:sz w:val="18"/>
              </w:rPr>
              <w:t>6.2.15</w:t>
            </w:r>
          </w:p>
        </w:tc>
      </w:tr>
      <w:tr>
        <w:tblPrEx>
          <w:tblW w:w="0" w:type="auto"/>
          <w:jc w:val="left"/>
          <w:tblInd w:w="521" w:type="dxa"/>
          <w:tblLayout w:type="fixed"/>
          <w:tblCellMar>
            <w:top w:w="0" w:type="dxa"/>
            <w:left w:w="0" w:type="dxa"/>
            <w:bottom w:w="0" w:type="dxa"/>
            <w:right w:w="0" w:type="dxa"/>
          </w:tblCellMar>
          <w:tblLook w:val="01E0"/>
        </w:tblPrEx>
        <w:trPr>
          <w:trHeight w:val="391"/>
          <w:jc w:val="left"/>
        </w:trPr>
        <w:tc>
          <w:tcPr>
            <w:tcW w:w="578" w:type="dxa"/>
            <w:tcBorders>
              <w:top w:val="single" w:sz="4" w:space="0" w:color="000000"/>
              <w:bottom w:val="single" w:sz="4" w:space="0" w:color="000000"/>
              <w:right w:val="single" w:sz="4" w:space="0" w:color="000000"/>
            </w:tcBorders>
          </w:tcPr>
          <w:p>
            <w:pPr>
              <w:pStyle w:val="TableParagraph"/>
              <w:spacing w:before="80"/>
              <w:ind w:left="16"/>
              <w:rPr>
                <w:sz w:val="18"/>
              </w:rPr>
            </w:pPr>
            <w:r>
              <w:rPr>
                <w:sz w:val="18"/>
              </w:rPr>
              <w:t>8</w:t>
            </w:r>
          </w:p>
        </w:tc>
        <w:tc>
          <w:tcPr>
            <w:tcW w:w="1299" w:type="dxa"/>
            <w:vMerge/>
            <w:tcBorders>
              <w:top w:val="nil"/>
              <w:left w:val="single" w:sz="4" w:space="0" w:color="000000"/>
              <w:bottom w:val="single" w:sz="4" w:space="0" w:color="000000"/>
              <w:right w:val="single" w:sz="4" w:space="0" w:color="000000"/>
            </w:tcBorders>
          </w:tcPr>
          <w:p>
            <w:pPr>
              <w:rPr>
                <w:sz w:val="2"/>
                <w:szCs w:val="2"/>
              </w:rPr>
            </w:pPr>
          </w:p>
        </w:tc>
        <w:tc>
          <w:tcPr>
            <w:tcW w:w="1300" w:type="dxa"/>
            <w:tcBorders>
              <w:top w:val="single" w:sz="4" w:space="0" w:color="000000"/>
              <w:left w:val="single" w:sz="4" w:space="0" w:color="000000"/>
              <w:bottom w:val="single" w:sz="4" w:space="0" w:color="000000"/>
              <w:right w:val="single" w:sz="4" w:space="0" w:color="000000"/>
            </w:tcBorders>
          </w:tcPr>
          <w:p>
            <w:pPr>
              <w:pStyle w:val="TableParagraph"/>
              <w:spacing w:before="80"/>
              <w:ind w:left="183" w:right="166"/>
              <w:rPr>
                <w:sz w:val="18"/>
              </w:rPr>
            </w:pPr>
            <w:r>
              <w:rPr>
                <w:sz w:val="18"/>
              </w:rPr>
              <w:t>抗冻性指标</w:t>
            </w:r>
          </w:p>
        </w:tc>
        <w:tc>
          <w:tcPr>
            <w:tcW w:w="4548" w:type="dxa"/>
            <w:tcBorders>
              <w:top w:val="single" w:sz="4" w:space="0" w:color="000000"/>
              <w:left w:val="single" w:sz="4" w:space="0" w:color="000000"/>
              <w:bottom w:val="single" w:sz="4" w:space="0" w:color="000000"/>
              <w:right w:val="single" w:sz="4" w:space="0" w:color="000000"/>
            </w:tcBorders>
          </w:tcPr>
          <w:p>
            <w:pPr>
              <w:pStyle w:val="TableParagraph"/>
              <w:spacing w:before="80"/>
              <w:ind w:left="1176" w:right="1159"/>
              <w:rPr>
                <w:sz w:val="18"/>
              </w:rPr>
            </w:pPr>
            <w:r>
              <w:rPr>
                <w:sz w:val="18"/>
              </w:rPr>
              <w:t>≥80%</w:t>
            </w:r>
          </w:p>
        </w:tc>
        <w:tc>
          <w:tcPr>
            <w:tcW w:w="1403" w:type="dxa"/>
            <w:tcBorders>
              <w:top w:val="single" w:sz="4" w:space="0" w:color="000000"/>
              <w:left w:val="single" w:sz="4" w:space="0" w:color="000000"/>
              <w:bottom w:val="single" w:sz="4" w:space="0" w:color="000000"/>
            </w:tcBorders>
          </w:tcPr>
          <w:p>
            <w:pPr>
              <w:pStyle w:val="TableParagraph"/>
              <w:spacing w:before="80"/>
              <w:ind w:left="322" w:right="304"/>
              <w:rPr>
                <w:sz w:val="18"/>
              </w:rPr>
            </w:pPr>
            <w:r>
              <w:rPr>
                <w:sz w:val="18"/>
              </w:rPr>
              <w:t>6.2.17</w:t>
            </w:r>
          </w:p>
        </w:tc>
      </w:tr>
      <w:tr>
        <w:tblPrEx>
          <w:tblW w:w="0" w:type="auto"/>
          <w:jc w:val="left"/>
          <w:tblInd w:w="521" w:type="dxa"/>
          <w:tblLayout w:type="fixed"/>
          <w:tblCellMar>
            <w:top w:w="0" w:type="dxa"/>
            <w:left w:w="0" w:type="dxa"/>
            <w:bottom w:w="0" w:type="dxa"/>
            <w:right w:w="0" w:type="dxa"/>
          </w:tblCellMar>
          <w:tblLook w:val="01E0"/>
        </w:tblPrEx>
        <w:trPr>
          <w:trHeight w:val="1871"/>
          <w:jc w:val="left"/>
        </w:trPr>
        <w:tc>
          <w:tcPr>
            <w:tcW w:w="9128" w:type="dxa"/>
            <w:gridSpan w:val="5"/>
            <w:tcBorders>
              <w:top w:val="single" w:sz="4" w:space="0" w:color="000000"/>
            </w:tcBorders>
          </w:tcPr>
          <w:p>
            <w:pPr>
              <w:pStyle w:val="TableParagraph"/>
              <w:spacing w:before="52"/>
              <w:ind w:left="328"/>
              <w:jc w:val="left"/>
              <w:rPr>
                <w:sz w:val="16"/>
              </w:rPr>
            </w:pPr>
            <w:r>
              <w:rPr>
                <w:rFonts w:ascii="黑体" w:eastAsia="黑体" w:hAnsi="黑体" w:hint="eastAsia"/>
                <w:sz w:val="16"/>
              </w:rPr>
              <w:t>注 1：</w:t>
            </w:r>
            <w:r>
              <w:rPr>
                <w:sz w:val="16"/>
              </w:rPr>
              <w:t>引气剂检验采用基准混凝土Ⅱ。</w:t>
            </w:r>
          </w:p>
          <w:p>
            <w:pPr>
              <w:pStyle w:val="TableParagraph"/>
              <w:spacing w:before="106" w:line="364" w:lineRule="auto"/>
              <w:ind w:left="767" w:right="17" w:hanging="440"/>
              <w:jc w:val="left"/>
              <w:rPr>
                <w:sz w:val="16"/>
              </w:rPr>
            </w:pPr>
            <w:r>
              <w:rPr>
                <w:rFonts w:ascii="黑体" w:eastAsia="黑体" w:hAnsi="黑体" w:hint="eastAsia"/>
                <w:spacing w:val="-20"/>
                <w:sz w:val="16"/>
              </w:rPr>
              <w:t xml:space="preserve">注 </w:t>
            </w:r>
            <w:r>
              <w:rPr>
                <w:rFonts w:ascii="黑体" w:eastAsia="黑体" w:hAnsi="黑体" w:hint="eastAsia"/>
                <w:sz w:val="16"/>
              </w:rPr>
              <w:t>2：</w:t>
            </w:r>
            <w:r>
              <w:rPr>
                <w:spacing w:val="-16"/>
                <w:sz w:val="16"/>
              </w:rPr>
              <w:t xml:space="preserve">除“减水率”、“含气量”和“含气量 </w:t>
            </w:r>
            <w:r>
              <w:rPr>
                <w:sz w:val="16"/>
              </w:rPr>
              <w:t>1 h</w:t>
            </w:r>
            <w:r>
              <w:rPr>
                <w:spacing w:val="-7"/>
                <w:sz w:val="16"/>
              </w:rPr>
              <w:t xml:space="preserve"> 经时变化量”外，表中所列其他数据为受检混凝土与基准混凝土对应性能指标</w:t>
            </w:r>
            <w:r>
              <w:rPr>
                <w:spacing w:val="-20"/>
                <w:sz w:val="16"/>
              </w:rPr>
              <w:t xml:space="preserve">的差值或比值。“含气量”、“含气量 </w:t>
            </w:r>
            <w:r>
              <w:rPr>
                <w:sz w:val="16"/>
              </w:rPr>
              <w:t>1 h</w:t>
            </w:r>
            <w:r>
              <w:rPr>
                <w:spacing w:val="-7"/>
                <w:sz w:val="16"/>
              </w:rPr>
              <w:t xml:space="preserve"> 经时变化量”和“抗冻性指标”为受检混凝土性能指标。</w:t>
            </w:r>
          </w:p>
          <w:p>
            <w:pPr>
              <w:pStyle w:val="TableParagraph"/>
              <w:spacing w:before="1" w:line="364" w:lineRule="auto"/>
              <w:ind w:left="328" w:right="895"/>
              <w:jc w:val="left"/>
              <w:rPr>
                <w:sz w:val="16"/>
              </w:rPr>
            </w:pPr>
            <w:r>
              <w:rPr>
                <w:rFonts w:ascii="黑体" w:eastAsia="黑体" w:hAnsi="黑体" w:hint="eastAsia"/>
                <w:w w:val="100"/>
                <w:sz w:val="16"/>
              </w:rPr>
              <w:t>注</w:t>
            </w:r>
            <w:r>
              <w:rPr>
                <w:rFonts w:ascii="黑体" w:eastAsia="黑体" w:hAnsi="黑体" w:hint="eastAsia"/>
                <w:spacing w:val="-42"/>
                <w:sz w:val="16"/>
              </w:rPr>
              <w:t xml:space="preserve"> </w:t>
            </w:r>
            <w:r>
              <w:rPr>
                <w:rFonts w:ascii="黑体" w:eastAsia="黑体" w:hAnsi="黑体" w:hint="eastAsia"/>
                <w:spacing w:val="1"/>
                <w:w w:val="100"/>
                <w:sz w:val="16"/>
              </w:rPr>
              <w:t>3</w:t>
            </w:r>
            <w:r>
              <w:rPr>
                <w:rFonts w:ascii="黑体" w:eastAsia="黑体" w:hAnsi="黑体" w:hint="eastAsia"/>
                <w:spacing w:val="-82"/>
                <w:w w:val="100"/>
                <w:sz w:val="16"/>
              </w:rPr>
              <w:t>：</w:t>
            </w:r>
            <w:r>
              <w:rPr>
                <w:spacing w:val="-6"/>
                <w:w w:val="100"/>
                <w:sz w:val="16"/>
              </w:rPr>
              <w:t>“凝结时间之差”中的“–”号表示受检混凝土比基准混凝土的凝结时间提前，“+”号表示凝结时间延缓。</w:t>
            </w:r>
            <w:r>
              <w:rPr>
                <w:rFonts w:ascii="黑体" w:eastAsia="黑体" w:hAnsi="黑体" w:hint="eastAsia"/>
                <w:spacing w:val="-6"/>
                <w:w w:val="100"/>
                <w:sz w:val="16"/>
              </w:rPr>
              <w:t>注</w:t>
            </w:r>
            <w:r>
              <w:rPr>
                <w:rFonts w:ascii="黑体" w:eastAsia="黑体" w:hAnsi="黑体" w:hint="eastAsia"/>
                <w:spacing w:val="-42"/>
                <w:sz w:val="16"/>
              </w:rPr>
              <w:t xml:space="preserve"> </w:t>
            </w:r>
            <w:r>
              <w:rPr>
                <w:rFonts w:ascii="黑体" w:eastAsia="黑体" w:hAnsi="黑体" w:hint="eastAsia"/>
                <w:spacing w:val="1"/>
                <w:w w:val="100"/>
                <w:sz w:val="16"/>
              </w:rPr>
              <w:t>4</w:t>
            </w:r>
            <w:r>
              <w:rPr>
                <w:rFonts w:ascii="黑体" w:eastAsia="黑体" w:hAnsi="黑体" w:hint="eastAsia"/>
                <w:spacing w:val="-82"/>
                <w:w w:val="100"/>
                <w:sz w:val="16"/>
              </w:rPr>
              <w:t>：</w:t>
            </w:r>
            <w:r>
              <w:rPr>
                <w:spacing w:val="-2"/>
                <w:w w:val="100"/>
                <w:sz w:val="16"/>
              </w:rPr>
              <w:t>“含气量</w:t>
            </w:r>
            <w:r>
              <w:rPr>
                <w:spacing w:val="-42"/>
                <w:sz w:val="16"/>
              </w:rPr>
              <w:t xml:space="preserve"> </w:t>
            </w:r>
            <w:r>
              <w:rPr>
                <w:w w:val="100"/>
                <w:sz w:val="16"/>
              </w:rPr>
              <w:t>1</w:t>
            </w:r>
            <w:r>
              <w:rPr>
                <w:sz w:val="16"/>
              </w:rPr>
              <w:t xml:space="preserve"> </w:t>
            </w:r>
            <w:r>
              <w:rPr>
                <w:w w:val="100"/>
                <w:sz w:val="16"/>
              </w:rPr>
              <w:t>h</w:t>
            </w:r>
            <w:r>
              <w:rPr>
                <w:spacing w:val="-41"/>
                <w:sz w:val="16"/>
              </w:rPr>
              <w:t xml:space="preserve"> </w:t>
            </w:r>
            <w:r>
              <w:rPr>
                <w:spacing w:val="-3"/>
                <w:w w:val="100"/>
                <w:sz w:val="16"/>
              </w:rPr>
              <w:t>经时变化量”中的“–”号表示受检混凝土经过</w:t>
            </w:r>
            <w:r>
              <w:rPr>
                <w:spacing w:val="-40"/>
                <w:sz w:val="16"/>
              </w:rPr>
              <w:t xml:space="preserve"> </w:t>
            </w:r>
            <w:r>
              <w:rPr>
                <w:w w:val="100"/>
                <w:sz w:val="16"/>
              </w:rPr>
              <w:t>1</w:t>
            </w:r>
            <w:r>
              <w:rPr>
                <w:spacing w:val="-3"/>
                <w:sz w:val="16"/>
              </w:rPr>
              <w:t xml:space="preserve"> </w:t>
            </w:r>
            <w:r>
              <w:rPr>
                <w:w w:val="100"/>
                <w:sz w:val="16"/>
              </w:rPr>
              <w:t>h</w:t>
            </w:r>
            <w:r>
              <w:rPr>
                <w:spacing w:val="-41"/>
                <w:sz w:val="16"/>
              </w:rPr>
              <w:t xml:space="preserve"> </w:t>
            </w:r>
            <w:r>
              <w:rPr>
                <w:spacing w:val="-11"/>
                <w:w w:val="100"/>
                <w:sz w:val="16"/>
              </w:rPr>
              <w:t>后含气量增加，“+”号表示含气量减小。</w:t>
            </w:r>
          </w:p>
          <w:p>
            <w:pPr>
              <w:pStyle w:val="TableParagraph"/>
              <w:spacing w:before="1"/>
              <w:ind w:left="328"/>
              <w:jc w:val="left"/>
              <w:rPr>
                <w:sz w:val="16"/>
              </w:rPr>
            </w:pPr>
            <w:r>
              <w:rPr>
                <w:rFonts w:ascii="黑体" w:eastAsia="黑体" w:hAnsi="黑体" w:hint="eastAsia"/>
                <w:w w:val="100"/>
                <w:sz w:val="16"/>
              </w:rPr>
              <w:t>注</w:t>
            </w:r>
            <w:r>
              <w:rPr>
                <w:rFonts w:ascii="黑体" w:eastAsia="黑体" w:hAnsi="黑体" w:hint="eastAsia"/>
                <w:spacing w:val="-42"/>
                <w:sz w:val="16"/>
              </w:rPr>
              <w:t xml:space="preserve"> </w:t>
            </w:r>
            <w:r>
              <w:rPr>
                <w:rFonts w:ascii="黑体" w:eastAsia="黑体" w:hAnsi="黑体" w:hint="eastAsia"/>
                <w:spacing w:val="1"/>
                <w:w w:val="100"/>
                <w:sz w:val="16"/>
              </w:rPr>
              <w:t>5</w:t>
            </w:r>
            <w:r>
              <w:rPr>
                <w:rFonts w:ascii="黑体" w:eastAsia="黑体" w:hAnsi="黑体" w:hint="eastAsia"/>
                <w:spacing w:val="-82"/>
                <w:w w:val="100"/>
                <w:sz w:val="16"/>
              </w:rPr>
              <w:t>：</w:t>
            </w:r>
            <w:r>
              <w:rPr>
                <w:spacing w:val="-3"/>
                <w:w w:val="100"/>
                <w:sz w:val="16"/>
              </w:rPr>
              <w:t>“抗冻性指标”中的“≥</w:t>
            </w:r>
            <w:r>
              <w:rPr>
                <w:spacing w:val="1"/>
                <w:w w:val="100"/>
                <w:sz w:val="16"/>
              </w:rPr>
              <w:t>8</w:t>
            </w:r>
            <w:r>
              <w:rPr>
                <w:spacing w:val="-2"/>
                <w:w w:val="100"/>
                <w:sz w:val="16"/>
              </w:rPr>
              <w:t>0%</w:t>
            </w:r>
            <w:r>
              <w:rPr>
                <w:spacing w:val="-1"/>
                <w:w w:val="100"/>
                <w:sz w:val="16"/>
              </w:rPr>
              <w:t>”表示</w:t>
            </w:r>
            <w:r>
              <w:rPr>
                <w:spacing w:val="-42"/>
                <w:sz w:val="16"/>
              </w:rPr>
              <w:t xml:space="preserve"> </w:t>
            </w:r>
            <w:r>
              <w:rPr>
                <w:spacing w:val="-2"/>
                <w:w w:val="100"/>
                <w:sz w:val="16"/>
              </w:rPr>
              <w:t>2</w:t>
            </w:r>
            <w:r>
              <w:rPr>
                <w:w w:val="100"/>
                <w:sz w:val="16"/>
              </w:rPr>
              <w:t>8</w:t>
            </w:r>
            <w:r>
              <w:rPr>
                <w:sz w:val="16"/>
              </w:rPr>
              <w:t xml:space="preserve"> </w:t>
            </w:r>
            <w:r>
              <w:rPr>
                <w:w w:val="100"/>
                <w:sz w:val="16"/>
              </w:rPr>
              <w:t>d</w:t>
            </w:r>
            <w:r>
              <w:rPr>
                <w:spacing w:val="-41"/>
                <w:sz w:val="16"/>
              </w:rPr>
              <w:t xml:space="preserve"> </w:t>
            </w:r>
            <w:r>
              <w:rPr>
                <w:spacing w:val="-3"/>
                <w:w w:val="100"/>
                <w:sz w:val="16"/>
              </w:rPr>
              <w:t>龄期受检混凝土试件采用快速法冻融循环</w:t>
            </w:r>
            <w:r>
              <w:rPr>
                <w:spacing w:val="-40"/>
                <w:sz w:val="16"/>
              </w:rPr>
              <w:t xml:space="preserve"> </w:t>
            </w:r>
            <w:r>
              <w:rPr>
                <w:spacing w:val="-2"/>
                <w:w w:val="100"/>
                <w:sz w:val="16"/>
              </w:rPr>
              <w:t>2</w:t>
            </w:r>
            <w:r>
              <w:rPr>
                <w:spacing w:val="1"/>
                <w:w w:val="100"/>
                <w:sz w:val="16"/>
              </w:rPr>
              <w:t>0</w:t>
            </w:r>
            <w:r>
              <w:rPr>
                <w:w w:val="100"/>
                <w:sz w:val="16"/>
              </w:rPr>
              <w:t>0</w:t>
            </w:r>
            <w:r>
              <w:rPr>
                <w:spacing w:val="-43"/>
                <w:sz w:val="16"/>
              </w:rPr>
              <w:t xml:space="preserve"> </w:t>
            </w:r>
            <w:r>
              <w:rPr>
                <w:spacing w:val="-3"/>
                <w:w w:val="100"/>
                <w:sz w:val="16"/>
              </w:rPr>
              <w:t>次后相对动弹性模量≥</w:t>
            </w:r>
            <w:r>
              <w:rPr>
                <w:spacing w:val="1"/>
                <w:w w:val="100"/>
                <w:sz w:val="16"/>
              </w:rPr>
              <w:t>8</w:t>
            </w:r>
            <w:r>
              <w:rPr>
                <w:spacing w:val="-2"/>
                <w:w w:val="100"/>
                <w:sz w:val="16"/>
              </w:rPr>
              <w:t>0%</w:t>
            </w:r>
            <w:r>
              <w:rPr>
                <w:w w:val="100"/>
                <w:sz w:val="16"/>
              </w:rPr>
              <w:t>。</w:t>
            </w:r>
          </w:p>
        </w:tc>
      </w:tr>
    </w:tbl>
    <w:p>
      <w:pPr>
        <w:pStyle w:val="ListParagraph"/>
        <w:numPr>
          <w:ilvl w:val="2"/>
          <w:numId w:val="31"/>
        </w:numPr>
        <w:tabs>
          <w:tab w:val="left" w:pos="1133"/>
        </w:tabs>
        <w:spacing w:before="177" w:after="0" w:line="240" w:lineRule="auto"/>
        <w:ind w:left="1132" w:right="0" w:hanging="735"/>
        <w:jc w:val="left"/>
        <w:rPr>
          <w:rFonts w:ascii="黑体" w:eastAsia="黑体" w:hint="eastAsia"/>
          <w:sz w:val="21"/>
        </w:rPr>
      </w:pPr>
      <w:bookmarkStart w:id="58" w:name="5.2.9　防水剂"/>
      <w:bookmarkEnd w:id="58"/>
      <w:bookmarkStart w:id="59" w:name="_bookmark16"/>
      <w:bookmarkEnd w:id="59"/>
      <w:r>
        <w:rPr>
          <w:rFonts w:ascii="黑体" w:eastAsia="黑体" w:hint="eastAsia"/>
          <w:sz w:val="21"/>
        </w:rPr>
        <w:t>防水剂</w:t>
      </w:r>
    </w:p>
    <w:p>
      <w:pPr>
        <w:pStyle w:val="BodyText"/>
        <w:spacing w:before="6"/>
        <w:rPr>
          <w:rFonts w:ascii="黑体"/>
          <w:sz w:val="15"/>
        </w:rPr>
      </w:pPr>
    </w:p>
    <w:p>
      <w:pPr>
        <w:pStyle w:val="BodyText"/>
        <w:ind w:left="818"/>
      </w:pPr>
      <w:r>
        <w:t>防水剂的应用性能应符合表10的要求。</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https://d.book118.com/237115046114006035</w:t>
        </w:r>
      </w:hyperlink>
    </w:p>
    <w:p>
      <w:pPr>
        <w:spacing w:after="0"/>
      </w:pPr>
    </w:p>
    <w:sectPr>
      <w:footerReference w:type="even" r:id="rId22"/>
      <w:footerReference w:type="default" r:id="rId23"/>
      <w:pgSz w:w="11910" w:h="16840"/>
      <w:pgMar w:top="1380" w:right="820" w:bottom="1040" w:left="1020" w:header="0" w:footer="1092"/>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pt;height:11pt;margin-top:788.12pt;margin-left:77.76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49" type="#_x0000_t202" style="width:15.1pt;height:13.5pt;margin-top:773.88pt;margin-left:515.28pt;mso-position-horizontal-relative:page;mso-position-vertical-relative:page;position:absolute;z-index:-251658240"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pt;height:11pt;margin-top:788.12pt;margin-left:77.76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1" type="#_x0000_t202" style="width:15.1pt;height:13.5pt;margin-top:773.88pt;margin-left:515.28pt;mso-position-horizontal-relative:page;mso-position-vertical-relative:page;position:absolute;z-index:-251656192"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23</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1pt;height:11pt;margin-top:788.12pt;margin-left:77.76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24</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3" type="#_x0000_t202" style="width:15.1pt;height:13.5pt;margin-top:773.88pt;margin-left:515.28pt;mso-position-horizontal-relative:page;mso-position-vertical-relative:page;position:absolute;z-index:-251654144"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pt;height:11pt;margin-top:788.12pt;margin-left:77.76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5" type="#_x0000_t202" style="width:15.1pt;height:13.5pt;margin-top:773.88pt;margin-left:515.28pt;mso-position-horizontal-relative:page;mso-position-vertical-relative:page;position:absolute;z-index:-251652096"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23</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5.1pt;height:11pt;margin-top:788.12pt;margin-left:77.76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24</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7" type="#_x0000_t202" style="width:15.1pt;height:13.5pt;margin-top:773.88pt;margin-left:515.28pt;mso-position-horizontal-relative:page;mso-position-vertical-relative:page;position:absolute;z-index:-251650048"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pt;height:11pt;margin-top:788.12pt;margin-left:77.76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9" type="#_x0000_t202" style="width:15.1pt;height:13.5pt;margin-top:773.88pt;margin-left:515.28pt;mso-position-horizontal-relative:page;mso-position-vertical-relative:page;position:absolute;z-index:-251648000"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23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5.1pt;height:11pt;margin-top:788.12pt;margin-left:77.76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24</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1" type="#_x0000_t202" style="width:15.1pt;height:13.5pt;margin-top:773.88pt;margin-left:515.28pt;mso-position-horizontal-relative:page;mso-position-vertical-relative:page;position:absolute;z-index:-251645952"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5.1pt;height:11pt;margin-top:788.12pt;margin-left:77.76pt;mso-position-horizontal-relative:page;mso-position-vertical-relative:page;position:absolute;z-index:-25164288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3" type="#_x0000_t202" style="width:15.1pt;height:13.5pt;margin-top:773.88pt;margin-left:515.28pt;mso-position-horizontal-relative:page;mso-position-vertical-relative:page;position:absolute;z-index:-251643904" filled="f" stroked="f">
          <v:textbox inset="0,0,0,0">
            <w:txbxContent>
              <w:p>
                <w:pPr>
                  <w:spacing w:before="0" w:line="225" w:lineRule="exact"/>
                  <w:ind w:left="60" w:right="0" w:firstLine="0"/>
                  <w:jc w:val="left"/>
                  <w:rPr>
                    <w:sz w:val="18"/>
                  </w:rPr>
                </w:pPr>
                <w:r>
                  <w:fldChar w:fldCharType="begin"/>
                </w:r>
                <w:r>
                  <w:rPr>
                    <w:sz w:val="18"/>
                  </w:rPr>
                  <w:instrText xml:space="preserve"> PAGE </w:instrText>
                </w:r>
                <w:r>
                  <w:fldChar w:fldCharType="separate"/>
                </w:r>
                <w:r>
                  <w:rPr>
                    <w:sz w:val="18"/>
                  </w:rPr>
                  <w:t>23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40A25"/>
    <w:multiLevelType w:val="hybridMultilevel"/>
    <w:tmpl w:val="00000000"/>
    <w:lvl w:ilvl="0">
      <w:start w:val="2"/>
      <w:numFmt w:val="upperLetter"/>
      <w:lvlText w:val="%1"/>
      <w:lvlJc w:val="left"/>
      <w:pPr>
        <w:ind w:left="398" w:hanging="735"/>
        <w:jc w:val="left"/>
      </w:pPr>
      <w:rPr>
        <w:rFonts w:hint="default"/>
        <w:lang w:val="en-US" w:eastAsia="zh-CN" w:bidi="ar-SA"/>
      </w:rPr>
    </w:lvl>
    <w:lvl w:ilvl="1">
      <w:start w:val="5"/>
      <w:numFmt w:val="decimal"/>
      <w:lvlText w:val="%1.%2"/>
      <w:lvlJc w:val="left"/>
      <w:pPr>
        <w:ind w:left="398" w:hanging="735"/>
        <w:jc w:val="left"/>
      </w:pPr>
      <w:rPr>
        <w:rFonts w:hint="default"/>
        <w:lang w:val="en-US" w:eastAsia="zh-CN" w:bidi="ar-SA"/>
      </w:rPr>
    </w:lvl>
    <w:lvl w:ilvl="2">
      <w:start w:val="1"/>
      <w:numFmt w:val="decimal"/>
      <w:lvlText w:val="%1.%2.%3"/>
      <w:lvlJc w:val="left"/>
      <w:pPr>
        <w:ind w:left="398" w:hanging="735"/>
        <w:jc w:val="left"/>
      </w:pPr>
      <w:rPr>
        <w:rFonts w:ascii="黑体" w:eastAsia="黑体" w:hAnsi="黑体" w:cs="黑体" w:hint="default"/>
        <w:spacing w:val="-2"/>
        <w:w w:val="99"/>
        <w:sz w:val="21"/>
        <w:szCs w:val="21"/>
        <w:lang w:val="en-US" w:eastAsia="zh-CN" w:bidi="ar-SA"/>
      </w:rPr>
    </w:lvl>
    <w:lvl w:ilvl="3">
      <w:start w:val="0"/>
      <w:numFmt w:val="bullet"/>
      <w:lvlText w:val="•"/>
      <w:lvlJc w:val="left"/>
      <w:pPr>
        <w:ind w:left="3300" w:hanging="735"/>
      </w:pPr>
      <w:rPr>
        <w:rFonts w:hint="default"/>
        <w:lang w:val="en-US" w:eastAsia="zh-CN" w:bidi="ar-SA"/>
      </w:rPr>
    </w:lvl>
    <w:lvl w:ilvl="4">
      <w:start w:val="0"/>
      <w:numFmt w:val="bullet"/>
      <w:lvlText w:val="•"/>
      <w:lvlJc w:val="left"/>
      <w:pPr>
        <w:ind w:left="4266" w:hanging="735"/>
      </w:pPr>
      <w:rPr>
        <w:rFonts w:hint="default"/>
        <w:lang w:val="en-US" w:eastAsia="zh-CN" w:bidi="ar-SA"/>
      </w:rPr>
    </w:lvl>
    <w:lvl w:ilvl="5">
      <w:start w:val="0"/>
      <w:numFmt w:val="bullet"/>
      <w:lvlText w:val="•"/>
      <w:lvlJc w:val="left"/>
      <w:pPr>
        <w:ind w:left="5233" w:hanging="735"/>
      </w:pPr>
      <w:rPr>
        <w:rFonts w:hint="default"/>
        <w:lang w:val="en-US" w:eastAsia="zh-CN" w:bidi="ar-SA"/>
      </w:rPr>
    </w:lvl>
    <w:lvl w:ilvl="6">
      <w:start w:val="0"/>
      <w:numFmt w:val="bullet"/>
      <w:lvlText w:val="•"/>
      <w:lvlJc w:val="left"/>
      <w:pPr>
        <w:ind w:left="6200" w:hanging="735"/>
      </w:pPr>
      <w:rPr>
        <w:rFonts w:hint="default"/>
        <w:lang w:val="en-US" w:eastAsia="zh-CN" w:bidi="ar-SA"/>
      </w:rPr>
    </w:lvl>
    <w:lvl w:ilvl="7">
      <w:start w:val="0"/>
      <w:numFmt w:val="bullet"/>
      <w:lvlText w:val="•"/>
      <w:lvlJc w:val="left"/>
      <w:pPr>
        <w:ind w:left="7166" w:hanging="735"/>
      </w:pPr>
      <w:rPr>
        <w:rFonts w:hint="default"/>
        <w:lang w:val="en-US" w:eastAsia="zh-CN" w:bidi="ar-SA"/>
      </w:rPr>
    </w:lvl>
    <w:lvl w:ilvl="8">
      <w:start w:val="0"/>
      <w:numFmt w:val="bullet"/>
      <w:lvlText w:val="•"/>
      <w:lvlJc w:val="left"/>
      <w:pPr>
        <w:ind w:left="8133" w:hanging="735"/>
      </w:pPr>
      <w:rPr>
        <w:rFonts w:hint="default"/>
        <w:lang w:val="en-US" w:eastAsia="zh-CN" w:bidi="ar-SA"/>
      </w:rPr>
    </w:lvl>
  </w:abstractNum>
  <w:abstractNum w:abstractNumId="1">
    <w:nsid w:val="01B5DE80"/>
    <w:multiLevelType w:val="hybridMultilevel"/>
    <w:tmpl w:val="00000000"/>
    <w:lvl w:ilvl="0">
      <w:start w:val="3"/>
      <w:numFmt w:val="upperLetter"/>
      <w:lvlText w:val="%1"/>
      <w:lvlJc w:val="left"/>
      <w:pPr>
        <w:ind w:left="638" w:hanging="526"/>
        <w:jc w:val="left"/>
      </w:pPr>
      <w:rPr>
        <w:rFonts w:hint="default"/>
        <w:lang w:val="en-US" w:eastAsia="zh-CN" w:bidi="ar-SA"/>
      </w:rPr>
    </w:lvl>
    <w:lvl w:ilvl="1">
      <w:start w:val="1"/>
      <w:numFmt w:val="decimal"/>
      <w:lvlText w:val="%1.%2"/>
      <w:lvlJc w:val="left"/>
      <w:pPr>
        <w:ind w:left="638" w:hanging="526"/>
        <w:jc w:val="right"/>
      </w:pPr>
      <w:rPr>
        <w:rFonts w:ascii="黑体" w:eastAsia="黑体" w:hAnsi="黑体" w:cs="黑体" w:hint="default"/>
        <w:spacing w:val="0"/>
        <w:w w:val="99"/>
        <w:sz w:val="21"/>
        <w:szCs w:val="21"/>
        <w:lang w:val="en-US" w:eastAsia="zh-CN" w:bidi="ar-SA"/>
      </w:rPr>
    </w:lvl>
    <w:lvl w:ilvl="2">
      <w:start w:val="1"/>
      <w:numFmt w:val="decimal"/>
      <w:lvlText w:val="%1.%2.%3"/>
      <w:lvlJc w:val="left"/>
      <w:pPr>
        <w:ind w:left="849" w:hanging="737"/>
        <w:jc w:val="right"/>
      </w:pPr>
      <w:rPr>
        <w:rFonts w:ascii="黑体" w:eastAsia="黑体" w:hAnsi="黑体" w:cs="黑体" w:hint="default"/>
        <w:spacing w:val="-2"/>
        <w:w w:val="99"/>
        <w:sz w:val="21"/>
        <w:szCs w:val="21"/>
        <w:lang w:val="en-US" w:eastAsia="zh-CN" w:bidi="ar-SA"/>
      </w:rPr>
    </w:lvl>
    <w:lvl w:ilvl="3">
      <w:start w:val="1"/>
      <w:numFmt w:val="lowerLetter"/>
      <w:lvlText w:val="%4)"/>
      <w:lvlJc w:val="left"/>
      <w:pPr>
        <w:ind w:left="964"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2">
    <w:nsid w:val="032814DB"/>
    <w:multiLevelType w:val="hybridMultilevel"/>
    <w:tmpl w:val="00000000"/>
    <w:lvl w:ilvl="0">
      <w:start w:val="6"/>
      <w:numFmt w:val="decimal"/>
      <w:lvlText w:val="%1"/>
      <w:lvlJc w:val="left"/>
      <w:pPr>
        <w:ind w:left="1344" w:hanging="946"/>
        <w:jc w:val="left"/>
      </w:pPr>
      <w:rPr>
        <w:rFonts w:hint="default"/>
        <w:lang w:val="en-US" w:eastAsia="zh-CN" w:bidi="ar-SA"/>
      </w:rPr>
    </w:lvl>
    <w:lvl w:ilvl="1">
      <w:start w:val="2"/>
      <w:numFmt w:val="decimal"/>
      <w:lvlText w:val="%1.%2"/>
      <w:lvlJc w:val="left"/>
      <w:pPr>
        <w:ind w:left="1344" w:hanging="946"/>
        <w:jc w:val="left"/>
      </w:pPr>
      <w:rPr>
        <w:rFonts w:hint="default"/>
        <w:lang w:val="en-US" w:eastAsia="zh-CN" w:bidi="ar-SA"/>
      </w:rPr>
    </w:lvl>
    <w:lvl w:ilvl="2">
      <w:start w:val="9"/>
      <w:numFmt w:val="decimal"/>
      <w:lvlText w:val="%1.%2.%3"/>
      <w:lvlJc w:val="left"/>
      <w:pPr>
        <w:ind w:left="1344" w:hanging="946"/>
        <w:jc w:val="left"/>
      </w:pPr>
      <w:rPr>
        <w:rFonts w:hint="default"/>
        <w:lang w:val="en-US" w:eastAsia="zh-CN" w:bidi="ar-SA"/>
      </w:rPr>
    </w:lvl>
    <w:lvl w:ilvl="3">
      <w:start w:val="1"/>
      <w:numFmt w:val="decimal"/>
      <w:lvlText w:val="%1.%2.%3.%4"/>
      <w:lvlJc w:val="left"/>
      <w:pPr>
        <w:ind w:left="1344" w:hanging="946"/>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30" w:hanging="946"/>
      </w:pPr>
      <w:rPr>
        <w:rFonts w:hint="default"/>
        <w:lang w:val="en-US" w:eastAsia="zh-CN" w:bidi="ar-SA"/>
      </w:rPr>
    </w:lvl>
    <w:lvl w:ilvl="5">
      <w:start w:val="0"/>
      <w:numFmt w:val="bullet"/>
      <w:lvlText w:val="•"/>
      <w:lvlJc w:val="left"/>
      <w:pPr>
        <w:ind w:left="5703" w:hanging="946"/>
      </w:pPr>
      <w:rPr>
        <w:rFonts w:hint="default"/>
        <w:lang w:val="en-US" w:eastAsia="zh-CN" w:bidi="ar-SA"/>
      </w:rPr>
    </w:lvl>
    <w:lvl w:ilvl="6">
      <w:start w:val="0"/>
      <w:numFmt w:val="bullet"/>
      <w:lvlText w:val="•"/>
      <w:lvlJc w:val="left"/>
      <w:pPr>
        <w:ind w:left="6576" w:hanging="946"/>
      </w:pPr>
      <w:rPr>
        <w:rFonts w:hint="default"/>
        <w:lang w:val="en-US" w:eastAsia="zh-CN" w:bidi="ar-SA"/>
      </w:rPr>
    </w:lvl>
    <w:lvl w:ilvl="7">
      <w:start w:val="0"/>
      <w:numFmt w:val="bullet"/>
      <w:lvlText w:val="•"/>
      <w:lvlJc w:val="left"/>
      <w:pPr>
        <w:ind w:left="7448" w:hanging="946"/>
      </w:pPr>
      <w:rPr>
        <w:rFonts w:hint="default"/>
        <w:lang w:val="en-US" w:eastAsia="zh-CN" w:bidi="ar-SA"/>
      </w:rPr>
    </w:lvl>
    <w:lvl w:ilvl="8">
      <w:start w:val="0"/>
      <w:numFmt w:val="bullet"/>
      <w:lvlText w:val="•"/>
      <w:lvlJc w:val="left"/>
      <w:pPr>
        <w:ind w:left="8321" w:hanging="946"/>
      </w:pPr>
      <w:rPr>
        <w:rFonts w:hint="default"/>
        <w:lang w:val="en-US" w:eastAsia="zh-CN" w:bidi="ar-SA"/>
      </w:rPr>
    </w:lvl>
  </w:abstractNum>
  <w:abstractNum w:abstractNumId="3">
    <w:nsid w:val="06D88483"/>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4">
    <w:nsid w:val="0809E9E1"/>
    <w:multiLevelType w:val="hybridMultilevel"/>
    <w:tmpl w:val="00000000"/>
    <w:lvl w:ilvl="0">
      <w:start w:val="1"/>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0"/>
      <w:numFmt w:val="bullet"/>
      <w:lvlText w:val="•"/>
      <w:lvlJc w:val="left"/>
      <w:pPr>
        <w:ind w:left="1654" w:hanging="315"/>
      </w:pPr>
      <w:rPr>
        <w:rFonts w:hint="default"/>
        <w:lang w:val="en-US" w:eastAsia="zh-CN" w:bidi="ar-SA"/>
      </w:rPr>
    </w:lvl>
    <w:lvl w:ilvl="2">
      <w:start w:val="0"/>
      <w:numFmt w:val="bullet"/>
      <w:lvlText w:val="•"/>
      <w:lvlJc w:val="left"/>
      <w:pPr>
        <w:ind w:left="2589" w:hanging="315"/>
      </w:pPr>
      <w:rPr>
        <w:rFonts w:hint="default"/>
        <w:lang w:val="en-US" w:eastAsia="zh-CN" w:bidi="ar-SA"/>
      </w:rPr>
    </w:lvl>
    <w:lvl w:ilvl="3">
      <w:start w:val="0"/>
      <w:numFmt w:val="bullet"/>
      <w:lvlText w:val="•"/>
      <w:lvlJc w:val="left"/>
      <w:pPr>
        <w:ind w:left="3524" w:hanging="315"/>
      </w:pPr>
      <w:rPr>
        <w:rFonts w:hint="default"/>
        <w:lang w:val="en-US" w:eastAsia="zh-CN" w:bidi="ar-SA"/>
      </w:rPr>
    </w:lvl>
    <w:lvl w:ilvl="4">
      <w:start w:val="0"/>
      <w:numFmt w:val="bullet"/>
      <w:lvlText w:val="•"/>
      <w:lvlJc w:val="left"/>
      <w:pPr>
        <w:ind w:left="4458" w:hanging="315"/>
      </w:pPr>
      <w:rPr>
        <w:rFonts w:hint="default"/>
        <w:lang w:val="en-US" w:eastAsia="zh-CN" w:bidi="ar-SA"/>
      </w:rPr>
    </w:lvl>
    <w:lvl w:ilvl="5">
      <w:start w:val="0"/>
      <w:numFmt w:val="bullet"/>
      <w:lvlText w:val="•"/>
      <w:lvlJc w:val="left"/>
      <w:pPr>
        <w:ind w:left="5393" w:hanging="315"/>
      </w:pPr>
      <w:rPr>
        <w:rFonts w:hint="default"/>
        <w:lang w:val="en-US" w:eastAsia="zh-CN" w:bidi="ar-SA"/>
      </w:rPr>
    </w:lvl>
    <w:lvl w:ilvl="6">
      <w:start w:val="0"/>
      <w:numFmt w:val="bullet"/>
      <w:lvlText w:val="•"/>
      <w:lvlJc w:val="left"/>
      <w:pPr>
        <w:ind w:left="6328" w:hanging="315"/>
      </w:pPr>
      <w:rPr>
        <w:rFonts w:hint="default"/>
        <w:lang w:val="en-US" w:eastAsia="zh-CN" w:bidi="ar-SA"/>
      </w:rPr>
    </w:lvl>
    <w:lvl w:ilvl="7">
      <w:start w:val="0"/>
      <w:numFmt w:val="bullet"/>
      <w:lvlText w:val="•"/>
      <w:lvlJc w:val="left"/>
      <w:pPr>
        <w:ind w:left="7262" w:hanging="315"/>
      </w:pPr>
      <w:rPr>
        <w:rFonts w:hint="default"/>
        <w:lang w:val="en-US" w:eastAsia="zh-CN" w:bidi="ar-SA"/>
      </w:rPr>
    </w:lvl>
    <w:lvl w:ilvl="8">
      <w:start w:val="0"/>
      <w:numFmt w:val="bullet"/>
      <w:lvlText w:val="•"/>
      <w:lvlJc w:val="left"/>
      <w:pPr>
        <w:ind w:left="8197" w:hanging="315"/>
      </w:pPr>
      <w:rPr>
        <w:rFonts w:hint="default"/>
        <w:lang w:val="en-US" w:eastAsia="zh-CN" w:bidi="ar-SA"/>
      </w:rPr>
    </w:lvl>
  </w:abstractNum>
  <w:abstractNum w:abstractNumId="5">
    <w:nsid w:val="0A12FEA1"/>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6">
    <w:nsid w:val="1190B4BE"/>
    <w:multiLevelType w:val="hybridMultilevel"/>
    <w:tmpl w:val="00000000"/>
    <w:lvl w:ilvl="0">
      <w:start w:val="6"/>
      <w:numFmt w:val="decimal"/>
      <w:lvlText w:val="%1"/>
      <w:lvlJc w:val="left"/>
      <w:pPr>
        <w:ind w:left="1344" w:hanging="946"/>
        <w:jc w:val="left"/>
      </w:pPr>
      <w:rPr>
        <w:rFonts w:hint="default"/>
        <w:lang w:val="en-US" w:eastAsia="zh-CN" w:bidi="ar-SA"/>
      </w:rPr>
    </w:lvl>
    <w:lvl w:ilvl="1">
      <w:start w:val="2"/>
      <w:numFmt w:val="decimal"/>
      <w:lvlText w:val="%1.%2"/>
      <w:lvlJc w:val="left"/>
      <w:pPr>
        <w:ind w:left="1344" w:hanging="946"/>
        <w:jc w:val="left"/>
      </w:pPr>
      <w:rPr>
        <w:rFonts w:hint="default"/>
        <w:lang w:val="en-US" w:eastAsia="zh-CN" w:bidi="ar-SA"/>
      </w:rPr>
    </w:lvl>
    <w:lvl w:ilvl="2">
      <w:start w:val="3"/>
      <w:numFmt w:val="decimal"/>
      <w:lvlText w:val="%1.%2.%3"/>
      <w:lvlJc w:val="left"/>
      <w:pPr>
        <w:ind w:left="1344" w:hanging="946"/>
        <w:jc w:val="left"/>
      </w:pPr>
      <w:rPr>
        <w:rFonts w:hint="default"/>
        <w:lang w:val="en-US" w:eastAsia="zh-CN" w:bidi="ar-SA"/>
      </w:rPr>
    </w:lvl>
    <w:lvl w:ilvl="3">
      <w:start w:val="1"/>
      <w:numFmt w:val="decimal"/>
      <w:lvlText w:val="%1.%2.%3.%4"/>
      <w:lvlJc w:val="left"/>
      <w:pPr>
        <w:ind w:left="1344"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248" w:hanging="425"/>
        <w:jc w:val="left"/>
      </w:pPr>
      <w:rPr>
        <w:rFonts w:ascii="宋体" w:eastAsia="宋体" w:hAnsi="宋体" w:cs="宋体" w:hint="default"/>
        <w:spacing w:val="0"/>
        <w:w w:val="99"/>
        <w:sz w:val="21"/>
        <w:szCs w:val="21"/>
        <w:lang w:val="en-US" w:eastAsia="zh-CN" w:bidi="ar-SA"/>
      </w:rPr>
    </w:lvl>
    <w:lvl w:ilvl="5">
      <w:start w:val="0"/>
      <w:numFmt w:val="bullet"/>
      <w:lvlText w:val="•"/>
      <w:lvlJc w:val="left"/>
      <w:pPr>
        <w:ind w:left="5218" w:hanging="425"/>
      </w:pPr>
      <w:rPr>
        <w:rFonts w:hint="default"/>
        <w:lang w:val="en-US" w:eastAsia="zh-CN" w:bidi="ar-SA"/>
      </w:rPr>
    </w:lvl>
    <w:lvl w:ilvl="6">
      <w:start w:val="0"/>
      <w:numFmt w:val="bullet"/>
      <w:lvlText w:val="•"/>
      <w:lvlJc w:val="left"/>
      <w:pPr>
        <w:ind w:left="6188" w:hanging="425"/>
      </w:pPr>
      <w:rPr>
        <w:rFonts w:hint="default"/>
        <w:lang w:val="en-US" w:eastAsia="zh-CN" w:bidi="ar-SA"/>
      </w:rPr>
    </w:lvl>
    <w:lvl w:ilvl="7">
      <w:start w:val="0"/>
      <w:numFmt w:val="bullet"/>
      <w:lvlText w:val="•"/>
      <w:lvlJc w:val="left"/>
      <w:pPr>
        <w:ind w:left="7158" w:hanging="425"/>
      </w:pPr>
      <w:rPr>
        <w:rFonts w:hint="default"/>
        <w:lang w:val="en-US" w:eastAsia="zh-CN" w:bidi="ar-SA"/>
      </w:rPr>
    </w:lvl>
    <w:lvl w:ilvl="8">
      <w:start w:val="0"/>
      <w:numFmt w:val="bullet"/>
      <w:lvlText w:val="•"/>
      <w:lvlJc w:val="left"/>
      <w:pPr>
        <w:ind w:left="8127" w:hanging="425"/>
      </w:pPr>
      <w:rPr>
        <w:rFonts w:hint="default"/>
        <w:lang w:val="en-US" w:eastAsia="zh-CN" w:bidi="ar-SA"/>
      </w:rPr>
    </w:lvl>
  </w:abstractNum>
  <w:abstractNum w:abstractNumId="7">
    <w:nsid w:val="19978B19"/>
    <w:multiLevelType w:val="hybridMultilevel"/>
    <w:tmpl w:val="00000000"/>
    <w:lvl w:ilvl="0">
      <w:start w:val="6"/>
      <w:numFmt w:val="decimal"/>
      <w:lvlText w:val="%1"/>
      <w:lvlJc w:val="left"/>
      <w:pPr>
        <w:ind w:left="1344" w:hanging="946"/>
        <w:jc w:val="left"/>
      </w:pPr>
      <w:rPr>
        <w:rFonts w:hint="default"/>
        <w:lang w:val="en-US" w:eastAsia="zh-CN" w:bidi="ar-SA"/>
      </w:rPr>
    </w:lvl>
    <w:lvl w:ilvl="1">
      <w:start w:val="2"/>
      <w:numFmt w:val="decimal"/>
      <w:lvlText w:val="%1.%2"/>
      <w:lvlJc w:val="left"/>
      <w:pPr>
        <w:ind w:left="1344" w:hanging="946"/>
        <w:jc w:val="left"/>
      </w:pPr>
      <w:rPr>
        <w:rFonts w:hint="default"/>
        <w:lang w:val="en-US" w:eastAsia="zh-CN" w:bidi="ar-SA"/>
      </w:rPr>
    </w:lvl>
    <w:lvl w:ilvl="2">
      <w:start w:val="7"/>
      <w:numFmt w:val="decimal"/>
      <w:lvlText w:val="%1.%2.%3"/>
      <w:lvlJc w:val="left"/>
      <w:pPr>
        <w:ind w:left="1344" w:hanging="946"/>
        <w:jc w:val="left"/>
      </w:pPr>
      <w:rPr>
        <w:rFonts w:hint="default"/>
        <w:lang w:val="en-US" w:eastAsia="zh-CN" w:bidi="ar-SA"/>
      </w:rPr>
    </w:lvl>
    <w:lvl w:ilvl="3">
      <w:start w:val="1"/>
      <w:numFmt w:val="decimal"/>
      <w:lvlText w:val="%1.%2.%3.%4"/>
      <w:lvlJc w:val="left"/>
      <w:pPr>
        <w:ind w:left="1344" w:hanging="946"/>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30" w:hanging="946"/>
      </w:pPr>
      <w:rPr>
        <w:rFonts w:hint="default"/>
        <w:lang w:val="en-US" w:eastAsia="zh-CN" w:bidi="ar-SA"/>
      </w:rPr>
    </w:lvl>
    <w:lvl w:ilvl="5">
      <w:start w:val="0"/>
      <w:numFmt w:val="bullet"/>
      <w:lvlText w:val="•"/>
      <w:lvlJc w:val="left"/>
      <w:pPr>
        <w:ind w:left="5703" w:hanging="946"/>
      </w:pPr>
      <w:rPr>
        <w:rFonts w:hint="default"/>
        <w:lang w:val="en-US" w:eastAsia="zh-CN" w:bidi="ar-SA"/>
      </w:rPr>
    </w:lvl>
    <w:lvl w:ilvl="6">
      <w:start w:val="0"/>
      <w:numFmt w:val="bullet"/>
      <w:lvlText w:val="•"/>
      <w:lvlJc w:val="left"/>
      <w:pPr>
        <w:ind w:left="6576" w:hanging="946"/>
      </w:pPr>
      <w:rPr>
        <w:rFonts w:hint="default"/>
        <w:lang w:val="en-US" w:eastAsia="zh-CN" w:bidi="ar-SA"/>
      </w:rPr>
    </w:lvl>
    <w:lvl w:ilvl="7">
      <w:start w:val="0"/>
      <w:numFmt w:val="bullet"/>
      <w:lvlText w:val="•"/>
      <w:lvlJc w:val="left"/>
      <w:pPr>
        <w:ind w:left="7448" w:hanging="946"/>
      </w:pPr>
      <w:rPr>
        <w:rFonts w:hint="default"/>
        <w:lang w:val="en-US" w:eastAsia="zh-CN" w:bidi="ar-SA"/>
      </w:rPr>
    </w:lvl>
    <w:lvl w:ilvl="8">
      <w:start w:val="0"/>
      <w:numFmt w:val="bullet"/>
      <w:lvlText w:val="•"/>
      <w:lvlJc w:val="left"/>
      <w:pPr>
        <w:ind w:left="8321" w:hanging="946"/>
      </w:pPr>
      <w:rPr>
        <w:rFonts w:hint="default"/>
        <w:lang w:val="en-US" w:eastAsia="zh-CN" w:bidi="ar-SA"/>
      </w:rPr>
    </w:lvl>
  </w:abstractNum>
  <w:abstractNum w:abstractNumId="8">
    <w:nsid w:val="19E252D3"/>
    <w:multiLevelType w:val="hybridMultilevel"/>
    <w:tmpl w:val="00000000"/>
    <w:lvl w:ilvl="0">
      <w:start w:val="1"/>
      <w:numFmt w:val="upperLetter"/>
      <w:lvlText w:val="%1"/>
      <w:lvlJc w:val="left"/>
      <w:pPr>
        <w:ind w:left="849" w:hanging="737"/>
        <w:jc w:val="left"/>
      </w:pPr>
      <w:rPr>
        <w:rFonts w:hint="default"/>
        <w:lang w:val="en-US" w:eastAsia="zh-CN" w:bidi="ar-SA"/>
      </w:rPr>
    </w:lvl>
    <w:lvl w:ilvl="1">
      <w:start w:val="4"/>
      <w:numFmt w:val="decimal"/>
      <w:lvlText w:val="%1.%2"/>
      <w:lvlJc w:val="left"/>
      <w:pPr>
        <w:ind w:left="849" w:hanging="737"/>
        <w:jc w:val="left"/>
      </w:pPr>
      <w:rPr>
        <w:rFonts w:hint="default"/>
        <w:lang w:val="en-US" w:eastAsia="zh-CN" w:bidi="ar-SA"/>
      </w:rPr>
    </w:lvl>
    <w:lvl w:ilvl="2">
      <w:start w:val="1"/>
      <w:numFmt w:val="decimal"/>
      <w:lvlText w:val="%1.%2.%3"/>
      <w:lvlJc w:val="left"/>
      <w:pPr>
        <w:ind w:left="849" w:hanging="737"/>
        <w:jc w:val="left"/>
      </w:pPr>
      <w:rPr>
        <w:rFonts w:ascii="黑体" w:eastAsia="黑体" w:hAnsi="黑体" w:cs="黑体" w:hint="default"/>
        <w:spacing w:val="-2"/>
        <w:w w:val="99"/>
        <w:sz w:val="21"/>
        <w:szCs w:val="21"/>
        <w:lang w:val="en-US" w:eastAsia="zh-CN" w:bidi="ar-SA"/>
      </w:rPr>
    </w:lvl>
    <w:lvl w:ilvl="3">
      <w:start w:val="0"/>
      <w:numFmt w:val="bullet"/>
      <w:lvlText w:val="•"/>
      <w:lvlJc w:val="left"/>
      <w:pPr>
        <w:ind w:left="3608" w:hanging="737"/>
      </w:pPr>
      <w:rPr>
        <w:rFonts w:hint="default"/>
        <w:lang w:val="en-US" w:eastAsia="zh-CN" w:bidi="ar-SA"/>
      </w:rPr>
    </w:lvl>
    <w:lvl w:ilvl="4">
      <w:start w:val="0"/>
      <w:numFmt w:val="bullet"/>
      <w:lvlText w:val="•"/>
      <w:lvlJc w:val="left"/>
      <w:pPr>
        <w:ind w:left="4530" w:hanging="737"/>
      </w:pPr>
      <w:rPr>
        <w:rFonts w:hint="default"/>
        <w:lang w:val="en-US" w:eastAsia="zh-CN" w:bidi="ar-SA"/>
      </w:rPr>
    </w:lvl>
    <w:lvl w:ilvl="5">
      <w:start w:val="0"/>
      <w:numFmt w:val="bullet"/>
      <w:lvlText w:val="•"/>
      <w:lvlJc w:val="left"/>
      <w:pPr>
        <w:ind w:left="5453" w:hanging="737"/>
      </w:pPr>
      <w:rPr>
        <w:rFonts w:hint="default"/>
        <w:lang w:val="en-US" w:eastAsia="zh-CN" w:bidi="ar-SA"/>
      </w:rPr>
    </w:lvl>
    <w:lvl w:ilvl="6">
      <w:start w:val="0"/>
      <w:numFmt w:val="bullet"/>
      <w:lvlText w:val="•"/>
      <w:lvlJc w:val="left"/>
      <w:pPr>
        <w:ind w:left="6376" w:hanging="737"/>
      </w:pPr>
      <w:rPr>
        <w:rFonts w:hint="default"/>
        <w:lang w:val="en-US" w:eastAsia="zh-CN" w:bidi="ar-SA"/>
      </w:rPr>
    </w:lvl>
    <w:lvl w:ilvl="7">
      <w:start w:val="0"/>
      <w:numFmt w:val="bullet"/>
      <w:lvlText w:val="•"/>
      <w:lvlJc w:val="left"/>
      <w:pPr>
        <w:ind w:left="7298" w:hanging="737"/>
      </w:pPr>
      <w:rPr>
        <w:rFonts w:hint="default"/>
        <w:lang w:val="en-US" w:eastAsia="zh-CN" w:bidi="ar-SA"/>
      </w:rPr>
    </w:lvl>
    <w:lvl w:ilvl="8">
      <w:start w:val="0"/>
      <w:numFmt w:val="bullet"/>
      <w:lvlText w:val="•"/>
      <w:lvlJc w:val="left"/>
      <w:pPr>
        <w:ind w:left="8221" w:hanging="737"/>
      </w:pPr>
      <w:rPr>
        <w:rFonts w:hint="default"/>
        <w:lang w:val="en-US" w:eastAsia="zh-CN" w:bidi="ar-SA"/>
      </w:rPr>
    </w:lvl>
  </w:abstractNum>
  <w:abstractNum w:abstractNumId="9">
    <w:nsid w:val="1C06E4CB"/>
    <w:multiLevelType w:val="hybridMultilevel"/>
    <w:tmpl w:val="00000000"/>
    <w:lvl w:ilvl="0">
      <w:start w:val="6"/>
      <w:numFmt w:val="decimal"/>
      <w:lvlText w:val="%1"/>
      <w:lvlJc w:val="left"/>
      <w:pPr>
        <w:ind w:left="1447" w:hanging="629"/>
        <w:jc w:val="left"/>
      </w:pPr>
      <w:rPr>
        <w:rFonts w:hint="default"/>
        <w:lang w:val="en-US" w:eastAsia="zh-CN" w:bidi="ar-SA"/>
      </w:rPr>
    </w:lvl>
    <w:lvl w:ilvl="1">
      <w:start w:val="2"/>
      <w:numFmt w:val="decimal"/>
      <w:lvlText w:val="%1.%2"/>
      <w:lvlJc w:val="left"/>
      <w:pPr>
        <w:ind w:left="1447" w:hanging="629"/>
        <w:jc w:val="left"/>
      </w:pPr>
      <w:rPr>
        <w:rFonts w:hint="default"/>
        <w:lang w:val="en-US" w:eastAsia="zh-CN" w:bidi="ar-SA"/>
      </w:rPr>
    </w:lvl>
    <w:lvl w:ilvl="2">
      <w:start w:val="2"/>
      <w:numFmt w:val="decimal"/>
      <w:lvlText w:val="%1.%2.%3"/>
      <w:lvlJc w:val="left"/>
      <w:pPr>
        <w:ind w:left="1447" w:hanging="629"/>
        <w:jc w:val="left"/>
      </w:pPr>
      <w:rPr>
        <w:rFonts w:ascii="宋体" w:eastAsia="宋体" w:hAnsi="宋体" w:cs="宋体" w:hint="default"/>
        <w:spacing w:val="-2"/>
        <w:w w:val="99"/>
        <w:sz w:val="21"/>
        <w:szCs w:val="21"/>
        <w:lang w:val="en-US" w:eastAsia="zh-CN" w:bidi="ar-SA"/>
      </w:rPr>
    </w:lvl>
    <w:lvl w:ilvl="3">
      <w:start w:val="0"/>
      <w:numFmt w:val="bullet"/>
      <w:lvlText w:val="•"/>
      <w:lvlJc w:val="left"/>
      <w:pPr>
        <w:ind w:left="4028" w:hanging="629"/>
      </w:pPr>
      <w:rPr>
        <w:rFonts w:hint="default"/>
        <w:lang w:val="en-US" w:eastAsia="zh-CN" w:bidi="ar-SA"/>
      </w:rPr>
    </w:lvl>
    <w:lvl w:ilvl="4">
      <w:start w:val="0"/>
      <w:numFmt w:val="bullet"/>
      <w:lvlText w:val="•"/>
      <w:lvlJc w:val="left"/>
      <w:pPr>
        <w:ind w:left="4890" w:hanging="629"/>
      </w:pPr>
      <w:rPr>
        <w:rFonts w:hint="default"/>
        <w:lang w:val="en-US" w:eastAsia="zh-CN" w:bidi="ar-SA"/>
      </w:rPr>
    </w:lvl>
    <w:lvl w:ilvl="5">
      <w:start w:val="0"/>
      <w:numFmt w:val="bullet"/>
      <w:lvlText w:val="•"/>
      <w:lvlJc w:val="left"/>
      <w:pPr>
        <w:ind w:left="5753" w:hanging="629"/>
      </w:pPr>
      <w:rPr>
        <w:rFonts w:hint="default"/>
        <w:lang w:val="en-US" w:eastAsia="zh-CN" w:bidi="ar-SA"/>
      </w:rPr>
    </w:lvl>
    <w:lvl w:ilvl="6">
      <w:start w:val="0"/>
      <w:numFmt w:val="bullet"/>
      <w:lvlText w:val="•"/>
      <w:lvlJc w:val="left"/>
      <w:pPr>
        <w:ind w:left="6616" w:hanging="629"/>
      </w:pPr>
      <w:rPr>
        <w:rFonts w:hint="default"/>
        <w:lang w:val="en-US" w:eastAsia="zh-CN" w:bidi="ar-SA"/>
      </w:rPr>
    </w:lvl>
    <w:lvl w:ilvl="7">
      <w:start w:val="0"/>
      <w:numFmt w:val="bullet"/>
      <w:lvlText w:val="•"/>
      <w:lvlJc w:val="left"/>
      <w:pPr>
        <w:ind w:left="7478" w:hanging="629"/>
      </w:pPr>
      <w:rPr>
        <w:rFonts w:hint="default"/>
        <w:lang w:val="en-US" w:eastAsia="zh-CN" w:bidi="ar-SA"/>
      </w:rPr>
    </w:lvl>
    <w:lvl w:ilvl="8">
      <w:start w:val="0"/>
      <w:numFmt w:val="bullet"/>
      <w:lvlText w:val="•"/>
      <w:lvlJc w:val="left"/>
      <w:pPr>
        <w:ind w:left="8341" w:hanging="629"/>
      </w:pPr>
      <w:rPr>
        <w:rFonts w:hint="default"/>
        <w:lang w:val="en-US" w:eastAsia="zh-CN" w:bidi="ar-SA"/>
      </w:rPr>
    </w:lvl>
  </w:abstractNum>
  <w:abstractNum w:abstractNumId="10">
    <w:nsid w:val="2311B634"/>
    <w:multiLevelType w:val="hybridMultilevel"/>
    <w:tmpl w:val="00000000"/>
    <w:lvl w:ilvl="0">
      <w:start w:val="6"/>
      <w:numFmt w:val="decimal"/>
      <w:lvlText w:val="%1"/>
      <w:lvlJc w:val="left"/>
      <w:pPr>
        <w:ind w:left="1344" w:hanging="946"/>
        <w:jc w:val="left"/>
      </w:pPr>
      <w:rPr>
        <w:rFonts w:hint="default"/>
        <w:lang w:val="en-US" w:eastAsia="zh-CN" w:bidi="ar-SA"/>
      </w:rPr>
    </w:lvl>
    <w:lvl w:ilvl="1">
      <w:start w:val="2"/>
      <w:numFmt w:val="decimal"/>
      <w:lvlText w:val="%1.%2"/>
      <w:lvlJc w:val="left"/>
      <w:pPr>
        <w:ind w:left="1344" w:hanging="946"/>
        <w:jc w:val="left"/>
      </w:pPr>
      <w:rPr>
        <w:rFonts w:hint="default"/>
        <w:lang w:val="en-US" w:eastAsia="zh-CN" w:bidi="ar-SA"/>
      </w:rPr>
    </w:lvl>
    <w:lvl w:ilvl="2">
      <w:start w:val="5"/>
      <w:numFmt w:val="decimal"/>
      <w:lvlText w:val="%1.%2.%3"/>
      <w:lvlJc w:val="left"/>
      <w:pPr>
        <w:ind w:left="1344" w:hanging="946"/>
        <w:jc w:val="left"/>
      </w:pPr>
      <w:rPr>
        <w:rFonts w:hint="default"/>
        <w:lang w:val="en-US" w:eastAsia="zh-CN" w:bidi="ar-SA"/>
      </w:rPr>
    </w:lvl>
    <w:lvl w:ilvl="3">
      <w:start w:val="1"/>
      <w:numFmt w:val="decimal"/>
      <w:lvlText w:val="%1.%2.%3.%4"/>
      <w:lvlJc w:val="left"/>
      <w:pPr>
        <w:ind w:left="1344" w:hanging="946"/>
        <w:jc w:val="left"/>
      </w:pPr>
      <w:rPr>
        <w:rFonts w:ascii="黑体" w:eastAsia="黑体" w:hAnsi="黑体" w:cs="黑体" w:hint="default"/>
        <w:spacing w:val="-2"/>
        <w:w w:val="99"/>
        <w:sz w:val="21"/>
        <w:szCs w:val="21"/>
        <w:lang w:val="en-US" w:eastAsia="zh-CN" w:bidi="ar-SA"/>
      </w:rPr>
    </w:lvl>
    <w:lvl w:ilvl="4">
      <w:start w:val="1"/>
      <w:numFmt w:val="lowerLetter"/>
      <w:lvlText w:val="%5)"/>
      <w:lvlJc w:val="left"/>
      <w:pPr>
        <w:ind w:left="1248" w:hanging="425"/>
        <w:jc w:val="left"/>
      </w:pPr>
      <w:rPr>
        <w:rFonts w:ascii="宋体" w:eastAsia="宋体" w:hAnsi="宋体" w:cs="宋体" w:hint="default"/>
        <w:spacing w:val="0"/>
        <w:w w:val="99"/>
        <w:sz w:val="21"/>
        <w:szCs w:val="21"/>
        <w:lang w:val="en-US" w:eastAsia="zh-CN" w:bidi="ar-SA"/>
      </w:rPr>
    </w:lvl>
    <w:lvl w:ilvl="5">
      <w:start w:val="0"/>
      <w:numFmt w:val="bullet"/>
      <w:lvlText w:val="•"/>
      <w:lvlJc w:val="left"/>
      <w:pPr>
        <w:ind w:left="5218" w:hanging="425"/>
      </w:pPr>
      <w:rPr>
        <w:rFonts w:hint="default"/>
        <w:lang w:val="en-US" w:eastAsia="zh-CN" w:bidi="ar-SA"/>
      </w:rPr>
    </w:lvl>
    <w:lvl w:ilvl="6">
      <w:start w:val="0"/>
      <w:numFmt w:val="bullet"/>
      <w:lvlText w:val="•"/>
      <w:lvlJc w:val="left"/>
      <w:pPr>
        <w:ind w:left="6188" w:hanging="425"/>
      </w:pPr>
      <w:rPr>
        <w:rFonts w:hint="default"/>
        <w:lang w:val="en-US" w:eastAsia="zh-CN" w:bidi="ar-SA"/>
      </w:rPr>
    </w:lvl>
    <w:lvl w:ilvl="7">
      <w:start w:val="0"/>
      <w:numFmt w:val="bullet"/>
      <w:lvlText w:val="•"/>
      <w:lvlJc w:val="left"/>
      <w:pPr>
        <w:ind w:left="7158" w:hanging="425"/>
      </w:pPr>
      <w:rPr>
        <w:rFonts w:hint="default"/>
        <w:lang w:val="en-US" w:eastAsia="zh-CN" w:bidi="ar-SA"/>
      </w:rPr>
    </w:lvl>
    <w:lvl w:ilvl="8">
      <w:start w:val="0"/>
      <w:numFmt w:val="bullet"/>
      <w:lvlText w:val="•"/>
      <w:lvlJc w:val="left"/>
      <w:pPr>
        <w:ind w:left="8127" w:hanging="425"/>
      </w:pPr>
      <w:rPr>
        <w:rFonts w:hint="default"/>
        <w:lang w:val="en-US" w:eastAsia="zh-CN" w:bidi="ar-SA"/>
      </w:rPr>
    </w:lvl>
  </w:abstractNum>
  <w:abstractNum w:abstractNumId="11">
    <w:nsid w:val="259F3F96"/>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12">
    <w:nsid w:val="3664C7F9"/>
    <w:multiLevelType w:val="hybridMultilevel"/>
    <w:tmpl w:val="00000000"/>
    <w:lvl w:ilvl="0">
      <w:start w:val="7"/>
      <w:numFmt w:val="decimal"/>
      <w:lvlText w:val="%1"/>
      <w:lvlJc w:val="left"/>
      <w:pPr>
        <w:ind w:left="398" w:hanging="946"/>
        <w:jc w:val="left"/>
      </w:pPr>
      <w:rPr>
        <w:rFonts w:hint="default"/>
        <w:lang w:val="en-US" w:eastAsia="zh-CN" w:bidi="ar-SA"/>
      </w:rPr>
    </w:lvl>
    <w:lvl w:ilvl="1">
      <w:start w:val="3"/>
      <w:numFmt w:val="decimal"/>
      <w:lvlText w:val="%1.%2"/>
      <w:lvlJc w:val="left"/>
      <w:pPr>
        <w:ind w:left="398" w:hanging="946"/>
        <w:jc w:val="left"/>
      </w:pPr>
      <w:rPr>
        <w:rFonts w:hint="default"/>
        <w:lang w:val="en-US" w:eastAsia="zh-CN" w:bidi="ar-SA"/>
      </w:rPr>
    </w:lvl>
    <w:lvl w:ilvl="2">
      <w:start w:val="2"/>
      <w:numFmt w:val="decimal"/>
      <w:lvlText w:val="%1.%2.%3"/>
      <w:lvlJc w:val="left"/>
      <w:pPr>
        <w:ind w:left="398" w:hanging="946"/>
        <w:jc w:val="left"/>
      </w:pPr>
      <w:rPr>
        <w:rFonts w:hint="default"/>
        <w:lang w:val="en-US" w:eastAsia="zh-CN" w:bidi="ar-SA"/>
      </w:rPr>
    </w:lvl>
    <w:lvl w:ilvl="3">
      <w:start w:val="1"/>
      <w:numFmt w:val="decimal"/>
      <w:lvlText w:val="%1.%2.%3.%4"/>
      <w:lvlJc w:val="left"/>
      <w:pPr>
        <w:ind w:left="398" w:hanging="946"/>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266" w:hanging="946"/>
      </w:pPr>
      <w:rPr>
        <w:rFonts w:hint="default"/>
        <w:lang w:val="en-US" w:eastAsia="zh-CN" w:bidi="ar-SA"/>
      </w:rPr>
    </w:lvl>
    <w:lvl w:ilvl="5">
      <w:start w:val="0"/>
      <w:numFmt w:val="bullet"/>
      <w:lvlText w:val="•"/>
      <w:lvlJc w:val="left"/>
      <w:pPr>
        <w:ind w:left="5233" w:hanging="946"/>
      </w:pPr>
      <w:rPr>
        <w:rFonts w:hint="default"/>
        <w:lang w:val="en-US" w:eastAsia="zh-CN" w:bidi="ar-SA"/>
      </w:rPr>
    </w:lvl>
    <w:lvl w:ilvl="6">
      <w:start w:val="0"/>
      <w:numFmt w:val="bullet"/>
      <w:lvlText w:val="•"/>
      <w:lvlJc w:val="left"/>
      <w:pPr>
        <w:ind w:left="6200" w:hanging="946"/>
      </w:pPr>
      <w:rPr>
        <w:rFonts w:hint="default"/>
        <w:lang w:val="en-US" w:eastAsia="zh-CN" w:bidi="ar-SA"/>
      </w:rPr>
    </w:lvl>
    <w:lvl w:ilvl="7">
      <w:start w:val="0"/>
      <w:numFmt w:val="bullet"/>
      <w:lvlText w:val="•"/>
      <w:lvlJc w:val="left"/>
      <w:pPr>
        <w:ind w:left="7166" w:hanging="946"/>
      </w:pPr>
      <w:rPr>
        <w:rFonts w:hint="default"/>
        <w:lang w:val="en-US" w:eastAsia="zh-CN" w:bidi="ar-SA"/>
      </w:rPr>
    </w:lvl>
    <w:lvl w:ilvl="8">
      <w:start w:val="0"/>
      <w:numFmt w:val="bullet"/>
      <w:lvlText w:val="•"/>
      <w:lvlJc w:val="left"/>
      <w:pPr>
        <w:ind w:left="8133" w:hanging="946"/>
      </w:pPr>
      <w:rPr>
        <w:rFonts w:hint="default"/>
        <w:lang w:val="en-US" w:eastAsia="zh-CN" w:bidi="ar-SA"/>
      </w:rPr>
    </w:lvl>
  </w:abstractNum>
  <w:abstractNum w:abstractNumId="13">
    <w:nsid w:val="3EEA07FF"/>
    <w:multiLevelType w:val="hybridMultilevel"/>
    <w:tmpl w:val="00000000"/>
    <w:lvl w:ilvl="0">
      <w:start w:val="6"/>
      <w:numFmt w:val="decimal"/>
      <w:lvlText w:val="%1"/>
      <w:lvlJc w:val="left"/>
      <w:pPr>
        <w:ind w:left="1447" w:hanging="1049"/>
        <w:jc w:val="left"/>
      </w:pPr>
      <w:rPr>
        <w:rFonts w:hint="default"/>
        <w:lang w:val="en-US" w:eastAsia="zh-CN" w:bidi="ar-SA"/>
      </w:rPr>
    </w:lvl>
    <w:lvl w:ilvl="1">
      <w:start w:val="2"/>
      <w:numFmt w:val="decimal"/>
      <w:lvlText w:val="%1.%2"/>
      <w:lvlJc w:val="left"/>
      <w:pPr>
        <w:ind w:left="1447" w:hanging="1049"/>
        <w:jc w:val="left"/>
      </w:pPr>
      <w:rPr>
        <w:rFonts w:hint="default"/>
        <w:lang w:val="en-US" w:eastAsia="zh-CN" w:bidi="ar-SA"/>
      </w:rPr>
    </w:lvl>
    <w:lvl w:ilvl="2">
      <w:start w:val="11"/>
      <w:numFmt w:val="decimal"/>
      <w:lvlText w:val="%1.%2.%3"/>
      <w:lvlJc w:val="left"/>
      <w:pPr>
        <w:ind w:left="1447" w:hanging="1049"/>
        <w:jc w:val="left"/>
      </w:pPr>
      <w:rPr>
        <w:rFonts w:hint="default"/>
        <w:lang w:val="en-US" w:eastAsia="zh-CN" w:bidi="ar-SA"/>
      </w:rPr>
    </w:lvl>
    <w:lvl w:ilvl="3">
      <w:start w:val="1"/>
      <w:numFmt w:val="decimal"/>
      <w:lvlText w:val="%1.%2.%3.%4"/>
      <w:lvlJc w:val="left"/>
      <w:pPr>
        <w:ind w:left="1447" w:hanging="1049"/>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90" w:hanging="1049"/>
      </w:pPr>
      <w:rPr>
        <w:rFonts w:hint="default"/>
        <w:lang w:val="en-US" w:eastAsia="zh-CN" w:bidi="ar-SA"/>
      </w:rPr>
    </w:lvl>
    <w:lvl w:ilvl="5">
      <w:start w:val="0"/>
      <w:numFmt w:val="bullet"/>
      <w:lvlText w:val="•"/>
      <w:lvlJc w:val="left"/>
      <w:pPr>
        <w:ind w:left="5753" w:hanging="1049"/>
      </w:pPr>
      <w:rPr>
        <w:rFonts w:hint="default"/>
        <w:lang w:val="en-US" w:eastAsia="zh-CN" w:bidi="ar-SA"/>
      </w:rPr>
    </w:lvl>
    <w:lvl w:ilvl="6">
      <w:start w:val="0"/>
      <w:numFmt w:val="bullet"/>
      <w:lvlText w:val="•"/>
      <w:lvlJc w:val="left"/>
      <w:pPr>
        <w:ind w:left="6616" w:hanging="1049"/>
      </w:pPr>
      <w:rPr>
        <w:rFonts w:hint="default"/>
        <w:lang w:val="en-US" w:eastAsia="zh-CN" w:bidi="ar-SA"/>
      </w:rPr>
    </w:lvl>
    <w:lvl w:ilvl="7">
      <w:start w:val="0"/>
      <w:numFmt w:val="bullet"/>
      <w:lvlText w:val="•"/>
      <w:lvlJc w:val="left"/>
      <w:pPr>
        <w:ind w:left="7478" w:hanging="1049"/>
      </w:pPr>
      <w:rPr>
        <w:rFonts w:hint="default"/>
        <w:lang w:val="en-US" w:eastAsia="zh-CN" w:bidi="ar-SA"/>
      </w:rPr>
    </w:lvl>
    <w:lvl w:ilvl="8">
      <w:start w:val="0"/>
      <w:numFmt w:val="bullet"/>
      <w:lvlText w:val="•"/>
      <w:lvlJc w:val="left"/>
      <w:pPr>
        <w:ind w:left="8341" w:hanging="1049"/>
      </w:pPr>
      <w:rPr>
        <w:rFonts w:hint="default"/>
        <w:lang w:val="en-US" w:eastAsia="zh-CN" w:bidi="ar-SA"/>
      </w:rPr>
    </w:lvl>
  </w:abstractNum>
  <w:abstractNum w:abstractNumId="14">
    <w:nsid w:val="47F01EDF"/>
    <w:multiLevelType w:val="hybridMultilevel"/>
    <w:tmpl w:val="00000000"/>
    <w:lvl w:ilvl="0">
      <w:start w:val="1"/>
      <w:numFmt w:val="lowerLetter"/>
      <w:lvlText w:val="%1)"/>
      <w:lvlJc w:val="left"/>
      <w:pPr>
        <w:ind w:left="1248" w:hanging="425"/>
        <w:jc w:val="right"/>
      </w:pPr>
      <w:rPr>
        <w:rFonts w:ascii="宋体" w:eastAsia="宋体" w:hAnsi="宋体" w:cs="宋体" w:hint="default"/>
        <w:spacing w:val="0"/>
        <w:w w:val="99"/>
        <w:sz w:val="21"/>
        <w:szCs w:val="21"/>
        <w:lang w:val="en-US" w:eastAsia="zh-CN" w:bidi="ar-SA"/>
      </w:rPr>
    </w:lvl>
    <w:lvl w:ilvl="1">
      <w:start w:val="0"/>
      <w:numFmt w:val="bullet"/>
      <w:lvlText w:val="•"/>
      <w:lvlJc w:val="left"/>
      <w:pPr>
        <w:ind w:left="2122" w:hanging="425"/>
      </w:pPr>
      <w:rPr>
        <w:rFonts w:hint="default"/>
        <w:lang w:val="en-US" w:eastAsia="zh-CN" w:bidi="ar-SA"/>
      </w:rPr>
    </w:lvl>
    <w:lvl w:ilvl="2">
      <w:start w:val="0"/>
      <w:numFmt w:val="bullet"/>
      <w:lvlText w:val="•"/>
      <w:lvlJc w:val="left"/>
      <w:pPr>
        <w:ind w:left="3005" w:hanging="425"/>
      </w:pPr>
      <w:rPr>
        <w:rFonts w:hint="default"/>
        <w:lang w:val="en-US" w:eastAsia="zh-CN" w:bidi="ar-SA"/>
      </w:rPr>
    </w:lvl>
    <w:lvl w:ilvl="3">
      <w:start w:val="0"/>
      <w:numFmt w:val="bullet"/>
      <w:lvlText w:val="•"/>
      <w:lvlJc w:val="left"/>
      <w:pPr>
        <w:ind w:left="3888" w:hanging="425"/>
      </w:pPr>
      <w:rPr>
        <w:rFonts w:hint="default"/>
        <w:lang w:val="en-US" w:eastAsia="zh-CN" w:bidi="ar-SA"/>
      </w:rPr>
    </w:lvl>
    <w:lvl w:ilvl="4">
      <w:start w:val="0"/>
      <w:numFmt w:val="bullet"/>
      <w:lvlText w:val="•"/>
      <w:lvlJc w:val="left"/>
      <w:pPr>
        <w:ind w:left="4770" w:hanging="425"/>
      </w:pPr>
      <w:rPr>
        <w:rFonts w:hint="default"/>
        <w:lang w:val="en-US" w:eastAsia="zh-CN" w:bidi="ar-SA"/>
      </w:rPr>
    </w:lvl>
    <w:lvl w:ilvl="5">
      <w:start w:val="0"/>
      <w:numFmt w:val="bullet"/>
      <w:lvlText w:val="•"/>
      <w:lvlJc w:val="left"/>
      <w:pPr>
        <w:ind w:left="5653" w:hanging="425"/>
      </w:pPr>
      <w:rPr>
        <w:rFonts w:hint="default"/>
        <w:lang w:val="en-US" w:eastAsia="zh-CN" w:bidi="ar-SA"/>
      </w:rPr>
    </w:lvl>
    <w:lvl w:ilvl="6">
      <w:start w:val="0"/>
      <w:numFmt w:val="bullet"/>
      <w:lvlText w:val="•"/>
      <w:lvlJc w:val="left"/>
      <w:pPr>
        <w:ind w:left="6536" w:hanging="425"/>
      </w:pPr>
      <w:rPr>
        <w:rFonts w:hint="default"/>
        <w:lang w:val="en-US" w:eastAsia="zh-CN" w:bidi="ar-SA"/>
      </w:rPr>
    </w:lvl>
    <w:lvl w:ilvl="7">
      <w:start w:val="0"/>
      <w:numFmt w:val="bullet"/>
      <w:lvlText w:val="•"/>
      <w:lvlJc w:val="left"/>
      <w:pPr>
        <w:ind w:left="7418" w:hanging="425"/>
      </w:pPr>
      <w:rPr>
        <w:rFonts w:hint="default"/>
        <w:lang w:val="en-US" w:eastAsia="zh-CN" w:bidi="ar-SA"/>
      </w:rPr>
    </w:lvl>
    <w:lvl w:ilvl="8">
      <w:start w:val="0"/>
      <w:numFmt w:val="bullet"/>
      <w:lvlText w:val="•"/>
      <w:lvlJc w:val="left"/>
      <w:pPr>
        <w:ind w:left="8301" w:hanging="425"/>
      </w:pPr>
      <w:rPr>
        <w:rFonts w:hint="default"/>
        <w:lang w:val="en-US" w:eastAsia="zh-CN" w:bidi="ar-SA"/>
      </w:rPr>
    </w:lvl>
  </w:abstractNum>
  <w:abstractNum w:abstractNumId="15">
    <w:nsid w:val="48512373"/>
    <w:multiLevelType w:val="hybridMultilevel"/>
    <w:tmpl w:val="00000000"/>
    <w:lvl w:ilvl="0">
      <w:start w:val="1"/>
      <w:numFmt w:val="lowerLetter"/>
      <w:lvlText w:val="%1)"/>
      <w:lvlJc w:val="left"/>
      <w:pPr>
        <w:ind w:left="964" w:hanging="425"/>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1870" w:hanging="425"/>
      </w:pPr>
      <w:rPr>
        <w:rFonts w:hint="default"/>
        <w:lang w:val="en-US" w:eastAsia="zh-CN" w:bidi="ar-SA"/>
      </w:rPr>
    </w:lvl>
    <w:lvl w:ilvl="2">
      <w:start w:val="0"/>
      <w:numFmt w:val="bullet"/>
      <w:lvlText w:val="•"/>
      <w:lvlJc w:val="left"/>
      <w:pPr>
        <w:ind w:left="2781" w:hanging="425"/>
      </w:pPr>
      <w:rPr>
        <w:rFonts w:hint="default"/>
        <w:lang w:val="en-US" w:eastAsia="zh-CN" w:bidi="ar-SA"/>
      </w:rPr>
    </w:lvl>
    <w:lvl w:ilvl="3">
      <w:start w:val="0"/>
      <w:numFmt w:val="bullet"/>
      <w:lvlText w:val="•"/>
      <w:lvlJc w:val="left"/>
      <w:pPr>
        <w:ind w:left="3692" w:hanging="425"/>
      </w:pPr>
      <w:rPr>
        <w:rFonts w:hint="default"/>
        <w:lang w:val="en-US" w:eastAsia="zh-CN" w:bidi="ar-SA"/>
      </w:rPr>
    </w:lvl>
    <w:lvl w:ilvl="4">
      <w:start w:val="0"/>
      <w:numFmt w:val="bullet"/>
      <w:lvlText w:val="•"/>
      <w:lvlJc w:val="left"/>
      <w:pPr>
        <w:ind w:left="4602" w:hanging="425"/>
      </w:pPr>
      <w:rPr>
        <w:rFonts w:hint="default"/>
        <w:lang w:val="en-US" w:eastAsia="zh-CN" w:bidi="ar-SA"/>
      </w:rPr>
    </w:lvl>
    <w:lvl w:ilvl="5">
      <w:start w:val="0"/>
      <w:numFmt w:val="bullet"/>
      <w:lvlText w:val="•"/>
      <w:lvlJc w:val="left"/>
      <w:pPr>
        <w:ind w:left="5513" w:hanging="425"/>
      </w:pPr>
      <w:rPr>
        <w:rFonts w:hint="default"/>
        <w:lang w:val="en-US" w:eastAsia="zh-CN" w:bidi="ar-SA"/>
      </w:rPr>
    </w:lvl>
    <w:lvl w:ilvl="6">
      <w:start w:val="0"/>
      <w:numFmt w:val="bullet"/>
      <w:lvlText w:val="•"/>
      <w:lvlJc w:val="left"/>
      <w:pPr>
        <w:ind w:left="6424" w:hanging="425"/>
      </w:pPr>
      <w:rPr>
        <w:rFonts w:hint="default"/>
        <w:lang w:val="en-US" w:eastAsia="zh-CN" w:bidi="ar-SA"/>
      </w:rPr>
    </w:lvl>
    <w:lvl w:ilvl="7">
      <w:start w:val="0"/>
      <w:numFmt w:val="bullet"/>
      <w:lvlText w:val="•"/>
      <w:lvlJc w:val="left"/>
      <w:pPr>
        <w:ind w:left="7334" w:hanging="425"/>
      </w:pPr>
      <w:rPr>
        <w:rFonts w:hint="default"/>
        <w:lang w:val="en-US" w:eastAsia="zh-CN" w:bidi="ar-SA"/>
      </w:rPr>
    </w:lvl>
    <w:lvl w:ilvl="8">
      <w:start w:val="0"/>
      <w:numFmt w:val="bullet"/>
      <w:lvlText w:val="•"/>
      <w:lvlJc w:val="left"/>
      <w:pPr>
        <w:ind w:left="8245" w:hanging="425"/>
      </w:pPr>
      <w:rPr>
        <w:rFonts w:hint="default"/>
        <w:lang w:val="en-US" w:eastAsia="zh-CN" w:bidi="ar-SA"/>
      </w:rPr>
    </w:lvl>
  </w:abstractNum>
  <w:abstractNum w:abstractNumId="16">
    <w:nsid w:val="4AC56919"/>
    <w:multiLevelType w:val="hybridMultilevel"/>
    <w:tmpl w:val="00000000"/>
    <w:lvl w:ilvl="0">
      <w:start w:val="1"/>
      <w:numFmt w:val="decimal"/>
      <w:lvlText w:val="%1"/>
      <w:lvlJc w:val="left"/>
      <w:pPr>
        <w:ind w:left="607" w:hanging="209"/>
        <w:jc w:val="left"/>
      </w:pPr>
      <w:rPr>
        <w:rFonts w:ascii="宋体" w:eastAsia="宋体" w:hAnsi="宋体" w:cs="宋体" w:hint="default"/>
        <w:w w:val="99"/>
        <w:sz w:val="21"/>
        <w:szCs w:val="21"/>
        <w:lang w:val="en-US" w:eastAsia="zh-CN" w:bidi="ar-SA"/>
      </w:rPr>
    </w:lvl>
    <w:lvl w:ilvl="1">
      <w:start w:val="1"/>
      <w:numFmt w:val="decimal"/>
      <w:lvlText w:val="%1.%2"/>
      <w:lvlJc w:val="left"/>
      <w:pPr>
        <w:ind w:left="1027" w:hanging="420"/>
        <w:jc w:val="left"/>
      </w:pPr>
      <w:rPr>
        <w:rFonts w:ascii="宋体" w:eastAsia="宋体" w:hAnsi="宋体" w:cs="宋体" w:hint="default"/>
        <w:spacing w:val="0"/>
        <w:w w:val="99"/>
        <w:sz w:val="21"/>
        <w:szCs w:val="21"/>
        <w:lang w:val="en-US" w:eastAsia="zh-CN" w:bidi="ar-SA"/>
      </w:rPr>
    </w:lvl>
    <w:lvl w:ilvl="2">
      <w:start w:val="1"/>
      <w:numFmt w:val="decimal"/>
      <w:lvlText w:val="%1.%2.%3"/>
      <w:lvlJc w:val="left"/>
      <w:pPr>
        <w:ind w:left="1447" w:hanging="629"/>
        <w:jc w:val="left"/>
      </w:pPr>
      <w:rPr>
        <w:rFonts w:ascii="宋体" w:eastAsia="宋体" w:hAnsi="宋体" w:cs="宋体" w:hint="default"/>
        <w:spacing w:val="-2"/>
        <w:w w:val="99"/>
        <w:sz w:val="21"/>
        <w:szCs w:val="21"/>
        <w:lang w:val="en-US" w:eastAsia="zh-CN" w:bidi="ar-SA"/>
      </w:rPr>
    </w:lvl>
    <w:lvl w:ilvl="3">
      <w:start w:val="0"/>
      <w:numFmt w:val="bullet"/>
      <w:lvlText w:val="•"/>
      <w:lvlJc w:val="left"/>
      <w:pPr>
        <w:ind w:left="2518" w:hanging="629"/>
      </w:pPr>
      <w:rPr>
        <w:rFonts w:hint="default"/>
        <w:lang w:val="en-US" w:eastAsia="zh-CN" w:bidi="ar-SA"/>
      </w:rPr>
    </w:lvl>
    <w:lvl w:ilvl="4">
      <w:start w:val="0"/>
      <w:numFmt w:val="bullet"/>
      <w:lvlText w:val="•"/>
      <w:lvlJc w:val="left"/>
      <w:pPr>
        <w:ind w:left="3596" w:hanging="629"/>
      </w:pPr>
      <w:rPr>
        <w:rFonts w:hint="default"/>
        <w:lang w:val="en-US" w:eastAsia="zh-CN" w:bidi="ar-SA"/>
      </w:rPr>
    </w:lvl>
    <w:lvl w:ilvl="5">
      <w:start w:val="0"/>
      <w:numFmt w:val="bullet"/>
      <w:lvlText w:val="•"/>
      <w:lvlJc w:val="left"/>
      <w:pPr>
        <w:ind w:left="4675" w:hanging="629"/>
      </w:pPr>
      <w:rPr>
        <w:rFonts w:hint="default"/>
        <w:lang w:val="en-US" w:eastAsia="zh-CN" w:bidi="ar-SA"/>
      </w:rPr>
    </w:lvl>
    <w:lvl w:ilvl="6">
      <w:start w:val="0"/>
      <w:numFmt w:val="bullet"/>
      <w:lvlText w:val="•"/>
      <w:lvlJc w:val="left"/>
      <w:pPr>
        <w:ind w:left="5753" w:hanging="629"/>
      </w:pPr>
      <w:rPr>
        <w:rFonts w:hint="default"/>
        <w:lang w:val="en-US" w:eastAsia="zh-CN" w:bidi="ar-SA"/>
      </w:rPr>
    </w:lvl>
    <w:lvl w:ilvl="7">
      <w:start w:val="0"/>
      <w:numFmt w:val="bullet"/>
      <w:lvlText w:val="•"/>
      <w:lvlJc w:val="left"/>
      <w:pPr>
        <w:ind w:left="6831" w:hanging="629"/>
      </w:pPr>
      <w:rPr>
        <w:rFonts w:hint="default"/>
        <w:lang w:val="en-US" w:eastAsia="zh-CN" w:bidi="ar-SA"/>
      </w:rPr>
    </w:lvl>
    <w:lvl w:ilvl="8">
      <w:start w:val="0"/>
      <w:numFmt w:val="bullet"/>
      <w:lvlText w:val="•"/>
      <w:lvlJc w:val="left"/>
      <w:pPr>
        <w:ind w:left="7910" w:hanging="629"/>
      </w:pPr>
      <w:rPr>
        <w:rFonts w:hint="default"/>
        <w:lang w:val="en-US" w:eastAsia="zh-CN" w:bidi="ar-SA"/>
      </w:rPr>
    </w:lvl>
  </w:abstractNum>
  <w:abstractNum w:abstractNumId="17">
    <w:nsid w:val="502C2BE9"/>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18">
    <w:nsid w:val="52ECB8B2"/>
    <w:multiLevelType w:val="hybridMultilevel"/>
    <w:tmpl w:val="00000000"/>
    <w:lvl w:ilvl="0">
      <w:start w:val="5"/>
      <w:numFmt w:val="lowerLetter"/>
      <w:lvlText w:val="%1)"/>
      <w:lvlJc w:val="left"/>
      <w:pPr>
        <w:ind w:left="964" w:hanging="425"/>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1870" w:hanging="425"/>
      </w:pPr>
      <w:rPr>
        <w:rFonts w:hint="default"/>
        <w:lang w:val="en-US" w:eastAsia="zh-CN" w:bidi="ar-SA"/>
      </w:rPr>
    </w:lvl>
    <w:lvl w:ilvl="2">
      <w:start w:val="0"/>
      <w:numFmt w:val="bullet"/>
      <w:lvlText w:val="•"/>
      <w:lvlJc w:val="left"/>
      <w:pPr>
        <w:ind w:left="2781" w:hanging="425"/>
      </w:pPr>
      <w:rPr>
        <w:rFonts w:hint="default"/>
        <w:lang w:val="en-US" w:eastAsia="zh-CN" w:bidi="ar-SA"/>
      </w:rPr>
    </w:lvl>
    <w:lvl w:ilvl="3">
      <w:start w:val="0"/>
      <w:numFmt w:val="bullet"/>
      <w:lvlText w:val="•"/>
      <w:lvlJc w:val="left"/>
      <w:pPr>
        <w:ind w:left="3692" w:hanging="425"/>
      </w:pPr>
      <w:rPr>
        <w:rFonts w:hint="default"/>
        <w:lang w:val="en-US" w:eastAsia="zh-CN" w:bidi="ar-SA"/>
      </w:rPr>
    </w:lvl>
    <w:lvl w:ilvl="4">
      <w:start w:val="0"/>
      <w:numFmt w:val="bullet"/>
      <w:lvlText w:val="•"/>
      <w:lvlJc w:val="left"/>
      <w:pPr>
        <w:ind w:left="4602" w:hanging="425"/>
      </w:pPr>
      <w:rPr>
        <w:rFonts w:hint="default"/>
        <w:lang w:val="en-US" w:eastAsia="zh-CN" w:bidi="ar-SA"/>
      </w:rPr>
    </w:lvl>
    <w:lvl w:ilvl="5">
      <w:start w:val="0"/>
      <w:numFmt w:val="bullet"/>
      <w:lvlText w:val="•"/>
      <w:lvlJc w:val="left"/>
      <w:pPr>
        <w:ind w:left="5513" w:hanging="425"/>
      </w:pPr>
      <w:rPr>
        <w:rFonts w:hint="default"/>
        <w:lang w:val="en-US" w:eastAsia="zh-CN" w:bidi="ar-SA"/>
      </w:rPr>
    </w:lvl>
    <w:lvl w:ilvl="6">
      <w:start w:val="0"/>
      <w:numFmt w:val="bullet"/>
      <w:lvlText w:val="•"/>
      <w:lvlJc w:val="left"/>
      <w:pPr>
        <w:ind w:left="6424" w:hanging="425"/>
      </w:pPr>
      <w:rPr>
        <w:rFonts w:hint="default"/>
        <w:lang w:val="en-US" w:eastAsia="zh-CN" w:bidi="ar-SA"/>
      </w:rPr>
    </w:lvl>
    <w:lvl w:ilvl="7">
      <w:start w:val="0"/>
      <w:numFmt w:val="bullet"/>
      <w:lvlText w:val="•"/>
      <w:lvlJc w:val="left"/>
      <w:pPr>
        <w:ind w:left="7334" w:hanging="425"/>
      </w:pPr>
      <w:rPr>
        <w:rFonts w:hint="default"/>
        <w:lang w:val="en-US" w:eastAsia="zh-CN" w:bidi="ar-SA"/>
      </w:rPr>
    </w:lvl>
    <w:lvl w:ilvl="8">
      <w:start w:val="0"/>
      <w:numFmt w:val="bullet"/>
      <w:lvlText w:val="•"/>
      <w:lvlJc w:val="left"/>
      <w:pPr>
        <w:ind w:left="8245" w:hanging="425"/>
      </w:pPr>
      <w:rPr>
        <w:rFonts w:hint="default"/>
        <w:lang w:val="en-US" w:eastAsia="zh-CN" w:bidi="ar-SA"/>
      </w:rPr>
    </w:lvl>
  </w:abstractNum>
  <w:abstractNum w:abstractNumId="19">
    <w:nsid w:val="54E84EBA"/>
    <w:multiLevelType w:val="hybridMultilevel"/>
    <w:tmpl w:val="00000000"/>
    <w:lvl w:ilvl="0">
      <w:start w:val="2"/>
      <w:numFmt w:val="upperLetter"/>
      <w:lvlText w:val="%1"/>
      <w:lvlJc w:val="left"/>
      <w:pPr>
        <w:ind w:left="638" w:hanging="526"/>
        <w:jc w:val="left"/>
      </w:pPr>
      <w:rPr>
        <w:rFonts w:hint="default"/>
        <w:lang w:val="en-US" w:eastAsia="zh-CN" w:bidi="ar-SA"/>
      </w:rPr>
    </w:lvl>
    <w:lvl w:ilvl="1">
      <w:start w:val="1"/>
      <w:numFmt w:val="decimal"/>
      <w:lvlText w:val="%1.%2"/>
      <w:lvlJc w:val="left"/>
      <w:pPr>
        <w:ind w:left="638" w:hanging="526"/>
        <w:jc w:val="right"/>
      </w:pPr>
      <w:rPr>
        <w:rFonts w:ascii="黑体" w:eastAsia="黑体" w:hAnsi="黑体" w:cs="黑体" w:hint="default"/>
        <w:spacing w:val="0"/>
        <w:w w:val="99"/>
        <w:sz w:val="21"/>
        <w:szCs w:val="21"/>
        <w:lang w:val="en-US" w:eastAsia="zh-CN" w:bidi="ar-SA"/>
      </w:rPr>
    </w:lvl>
    <w:lvl w:ilvl="2">
      <w:start w:val="1"/>
      <w:numFmt w:val="lowerLetter"/>
      <w:lvlText w:val="%3)"/>
      <w:lvlJc w:val="left"/>
      <w:pPr>
        <w:ind w:left="964" w:hanging="425"/>
        <w:jc w:val="left"/>
      </w:pPr>
      <w:rPr>
        <w:rFonts w:ascii="宋体" w:eastAsia="宋体" w:hAnsi="宋体" w:cs="宋体" w:hint="default"/>
        <w:spacing w:val="0"/>
        <w:w w:val="99"/>
        <w:sz w:val="21"/>
        <w:szCs w:val="21"/>
        <w:lang w:val="en-US" w:eastAsia="zh-CN" w:bidi="ar-SA"/>
      </w:rPr>
    </w:lvl>
    <w:lvl w:ilvl="3">
      <w:start w:val="0"/>
      <w:numFmt w:val="bullet"/>
      <w:lvlText w:val="•"/>
      <w:lvlJc w:val="left"/>
      <w:pPr>
        <w:ind w:left="2983" w:hanging="425"/>
      </w:pPr>
      <w:rPr>
        <w:rFonts w:hint="default"/>
        <w:lang w:val="en-US" w:eastAsia="zh-CN" w:bidi="ar-SA"/>
      </w:rPr>
    </w:lvl>
    <w:lvl w:ilvl="4">
      <w:start w:val="0"/>
      <w:numFmt w:val="bullet"/>
      <w:lvlText w:val="•"/>
      <w:lvlJc w:val="left"/>
      <w:pPr>
        <w:ind w:left="3995" w:hanging="425"/>
      </w:pPr>
      <w:rPr>
        <w:rFonts w:hint="default"/>
        <w:lang w:val="en-US" w:eastAsia="zh-CN" w:bidi="ar-SA"/>
      </w:rPr>
    </w:lvl>
    <w:lvl w:ilvl="5">
      <w:start w:val="0"/>
      <w:numFmt w:val="bullet"/>
      <w:lvlText w:val="•"/>
      <w:lvlJc w:val="left"/>
      <w:pPr>
        <w:ind w:left="5007" w:hanging="425"/>
      </w:pPr>
      <w:rPr>
        <w:rFonts w:hint="default"/>
        <w:lang w:val="en-US" w:eastAsia="zh-CN" w:bidi="ar-SA"/>
      </w:rPr>
    </w:lvl>
    <w:lvl w:ilvl="6">
      <w:start w:val="0"/>
      <w:numFmt w:val="bullet"/>
      <w:lvlText w:val="•"/>
      <w:lvlJc w:val="left"/>
      <w:pPr>
        <w:ind w:left="6019" w:hanging="425"/>
      </w:pPr>
      <w:rPr>
        <w:rFonts w:hint="default"/>
        <w:lang w:val="en-US" w:eastAsia="zh-CN" w:bidi="ar-SA"/>
      </w:rPr>
    </w:lvl>
    <w:lvl w:ilvl="7">
      <w:start w:val="0"/>
      <w:numFmt w:val="bullet"/>
      <w:lvlText w:val="•"/>
      <w:lvlJc w:val="left"/>
      <w:pPr>
        <w:ind w:left="7031" w:hanging="425"/>
      </w:pPr>
      <w:rPr>
        <w:rFonts w:hint="default"/>
        <w:lang w:val="en-US" w:eastAsia="zh-CN" w:bidi="ar-SA"/>
      </w:rPr>
    </w:lvl>
    <w:lvl w:ilvl="8">
      <w:start w:val="0"/>
      <w:numFmt w:val="bullet"/>
      <w:lvlText w:val="•"/>
      <w:lvlJc w:val="left"/>
      <w:pPr>
        <w:ind w:left="8043" w:hanging="425"/>
      </w:pPr>
      <w:rPr>
        <w:rFonts w:hint="default"/>
        <w:lang w:val="en-US" w:eastAsia="zh-CN" w:bidi="ar-SA"/>
      </w:rPr>
    </w:lvl>
  </w:abstractNum>
  <w:abstractNum w:abstractNumId="20">
    <w:nsid w:val="55F3D3AC"/>
    <w:multiLevelType w:val="hybridMultilevel"/>
    <w:tmpl w:val="00000000"/>
    <w:lvl w:ilvl="0">
      <w:start w:val="2"/>
      <w:numFmt w:val="upperLetter"/>
      <w:lvlText w:val="%1"/>
      <w:lvlJc w:val="left"/>
      <w:pPr>
        <w:ind w:left="849" w:hanging="737"/>
        <w:jc w:val="left"/>
      </w:pPr>
      <w:rPr>
        <w:rFonts w:hint="default"/>
        <w:lang w:val="en-US" w:eastAsia="zh-CN" w:bidi="ar-SA"/>
      </w:rPr>
    </w:lvl>
    <w:lvl w:ilvl="1">
      <w:start w:val="4"/>
      <w:numFmt w:val="decimal"/>
      <w:lvlText w:val="%1.%2"/>
      <w:lvlJc w:val="left"/>
      <w:pPr>
        <w:ind w:left="849" w:hanging="737"/>
        <w:jc w:val="left"/>
      </w:pPr>
      <w:rPr>
        <w:rFonts w:hint="default"/>
        <w:lang w:val="en-US" w:eastAsia="zh-CN" w:bidi="ar-SA"/>
      </w:rPr>
    </w:lvl>
    <w:lvl w:ilvl="2">
      <w:start w:val="1"/>
      <w:numFmt w:val="decimal"/>
      <w:lvlText w:val="%1.%2.%3"/>
      <w:lvlJc w:val="left"/>
      <w:pPr>
        <w:ind w:left="849" w:hanging="737"/>
        <w:jc w:val="left"/>
      </w:pPr>
      <w:rPr>
        <w:rFonts w:ascii="黑体" w:eastAsia="黑体" w:hAnsi="黑体" w:cs="黑体" w:hint="default"/>
        <w:spacing w:val="-2"/>
        <w:w w:val="99"/>
        <w:sz w:val="21"/>
        <w:szCs w:val="21"/>
        <w:lang w:val="en-US" w:eastAsia="zh-CN" w:bidi="ar-SA"/>
      </w:rPr>
    </w:lvl>
    <w:lvl w:ilvl="3">
      <w:start w:val="0"/>
      <w:numFmt w:val="bullet"/>
      <w:lvlText w:val="•"/>
      <w:lvlJc w:val="left"/>
      <w:pPr>
        <w:ind w:left="3608" w:hanging="737"/>
      </w:pPr>
      <w:rPr>
        <w:rFonts w:hint="default"/>
        <w:lang w:val="en-US" w:eastAsia="zh-CN" w:bidi="ar-SA"/>
      </w:rPr>
    </w:lvl>
    <w:lvl w:ilvl="4">
      <w:start w:val="0"/>
      <w:numFmt w:val="bullet"/>
      <w:lvlText w:val="•"/>
      <w:lvlJc w:val="left"/>
      <w:pPr>
        <w:ind w:left="4530" w:hanging="737"/>
      </w:pPr>
      <w:rPr>
        <w:rFonts w:hint="default"/>
        <w:lang w:val="en-US" w:eastAsia="zh-CN" w:bidi="ar-SA"/>
      </w:rPr>
    </w:lvl>
    <w:lvl w:ilvl="5">
      <w:start w:val="0"/>
      <w:numFmt w:val="bullet"/>
      <w:lvlText w:val="•"/>
      <w:lvlJc w:val="left"/>
      <w:pPr>
        <w:ind w:left="5453" w:hanging="737"/>
      </w:pPr>
      <w:rPr>
        <w:rFonts w:hint="default"/>
        <w:lang w:val="en-US" w:eastAsia="zh-CN" w:bidi="ar-SA"/>
      </w:rPr>
    </w:lvl>
    <w:lvl w:ilvl="6">
      <w:start w:val="0"/>
      <w:numFmt w:val="bullet"/>
      <w:lvlText w:val="•"/>
      <w:lvlJc w:val="left"/>
      <w:pPr>
        <w:ind w:left="6376" w:hanging="737"/>
      </w:pPr>
      <w:rPr>
        <w:rFonts w:hint="default"/>
        <w:lang w:val="en-US" w:eastAsia="zh-CN" w:bidi="ar-SA"/>
      </w:rPr>
    </w:lvl>
    <w:lvl w:ilvl="7">
      <w:start w:val="0"/>
      <w:numFmt w:val="bullet"/>
      <w:lvlText w:val="•"/>
      <w:lvlJc w:val="left"/>
      <w:pPr>
        <w:ind w:left="7298" w:hanging="737"/>
      </w:pPr>
      <w:rPr>
        <w:rFonts w:hint="default"/>
        <w:lang w:val="en-US" w:eastAsia="zh-CN" w:bidi="ar-SA"/>
      </w:rPr>
    </w:lvl>
    <w:lvl w:ilvl="8">
      <w:start w:val="0"/>
      <w:numFmt w:val="bullet"/>
      <w:lvlText w:val="•"/>
      <w:lvlJc w:val="left"/>
      <w:pPr>
        <w:ind w:left="8221" w:hanging="737"/>
      </w:pPr>
      <w:rPr>
        <w:rFonts w:hint="default"/>
        <w:lang w:val="en-US" w:eastAsia="zh-CN" w:bidi="ar-SA"/>
      </w:rPr>
    </w:lvl>
  </w:abstractNum>
  <w:abstractNum w:abstractNumId="21">
    <w:nsid w:val="5817FFE5"/>
    <w:multiLevelType w:val="hybridMultilevel"/>
    <w:tmpl w:val="00000000"/>
    <w:lvl w:ilvl="0">
      <w:start w:val="6"/>
      <w:numFmt w:val="decimal"/>
      <w:lvlText w:val="%1"/>
      <w:lvlJc w:val="left"/>
      <w:pPr>
        <w:ind w:left="1344" w:hanging="946"/>
        <w:jc w:val="left"/>
      </w:pPr>
      <w:rPr>
        <w:rFonts w:hint="default"/>
        <w:lang w:val="en-US" w:eastAsia="zh-CN" w:bidi="ar-SA"/>
      </w:rPr>
    </w:lvl>
    <w:lvl w:ilvl="1">
      <w:start w:val="2"/>
      <w:numFmt w:val="decimal"/>
      <w:lvlText w:val="%1.%2"/>
      <w:lvlJc w:val="left"/>
      <w:pPr>
        <w:ind w:left="1344" w:hanging="946"/>
        <w:jc w:val="left"/>
      </w:pPr>
      <w:rPr>
        <w:rFonts w:hint="default"/>
        <w:lang w:val="en-US" w:eastAsia="zh-CN" w:bidi="ar-SA"/>
      </w:rPr>
    </w:lvl>
    <w:lvl w:ilvl="2">
      <w:start w:val="1"/>
      <w:numFmt w:val="decimal"/>
      <w:lvlText w:val="%1.%2.%3"/>
      <w:lvlJc w:val="left"/>
      <w:pPr>
        <w:ind w:left="1344" w:hanging="946"/>
        <w:jc w:val="left"/>
      </w:pPr>
      <w:rPr>
        <w:rFonts w:hint="default"/>
        <w:lang w:val="en-US" w:eastAsia="zh-CN" w:bidi="ar-SA"/>
      </w:rPr>
    </w:lvl>
    <w:lvl w:ilvl="3">
      <w:start w:val="1"/>
      <w:numFmt w:val="decimal"/>
      <w:lvlText w:val="%1.%2.%3.%4"/>
      <w:lvlJc w:val="left"/>
      <w:pPr>
        <w:ind w:left="1344" w:hanging="946"/>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30" w:hanging="946"/>
      </w:pPr>
      <w:rPr>
        <w:rFonts w:hint="default"/>
        <w:lang w:val="en-US" w:eastAsia="zh-CN" w:bidi="ar-SA"/>
      </w:rPr>
    </w:lvl>
    <w:lvl w:ilvl="5">
      <w:start w:val="0"/>
      <w:numFmt w:val="bullet"/>
      <w:lvlText w:val="•"/>
      <w:lvlJc w:val="left"/>
      <w:pPr>
        <w:ind w:left="5703" w:hanging="946"/>
      </w:pPr>
      <w:rPr>
        <w:rFonts w:hint="default"/>
        <w:lang w:val="en-US" w:eastAsia="zh-CN" w:bidi="ar-SA"/>
      </w:rPr>
    </w:lvl>
    <w:lvl w:ilvl="6">
      <w:start w:val="0"/>
      <w:numFmt w:val="bullet"/>
      <w:lvlText w:val="•"/>
      <w:lvlJc w:val="left"/>
      <w:pPr>
        <w:ind w:left="6576" w:hanging="946"/>
      </w:pPr>
      <w:rPr>
        <w:rFonts w:hint="default"/>
        <w:lang w:val="en-US" w:eastAsia="zh-CN" w:bidi="ar-SA"/>
      </w:rPr>
    </w:lvl>
    <w:lvl w:ilvl="7">
      <w:start w:val="0"/>
      <w:numFmt w:val="bullet"/>
      <w:lvlText w:val="•"/>
      <w:lvlJc w:val="left"/>
      <w:pPr>
        <w:ind w:left="7448" w:hanging="946"/>
      </w:pPr>
      <w:rPr>
        <w:rFonts w:hint="default"/>
        <w:lang w:val="en-US" w:eastAsia="zh-CN" w:bidi="ar-SA"/>
      </w:rPr>
    </w:lvl>
    <w:lvl w:ilvl="8">
      <w:start w:val="0"/>
      <w:numFmt w:val="bullet"/>
      <w:lvlText w:val="•"/>
      <w:lvlJc w:val="left"/>
      <w:pPr>
        <w:ind w:left="8321" w:hanging="946"/>
      </w:pPr>
      <w:rPr>
        <w:rFonts w:hint="default"/>
        <w:lang w:val="en-US" w:eastAsia="zh-CN" w:bidi="ar-SA"/>
      </w:rPr>
    </w:lvl>
  </w:abstractNum>
  <w:abstractNum w:abstractNumId="22">
    <w:nsid w:val="593F4225"/>
    <w:multiLevelType w:val="hybridMultilevel"/>
    <w:tmpl w:val="00000000"/>
    <w:lvl w:ilvl="0">
      <w:start w:val="1"/>
      <w:numFmt w:val="lowerLetter"/>
      <w:lvlText w:val="%1)"/>
      <w:lvlJc w:val="left"/>
      <w:pPr>
        <w:ind w:left="1248" w:hanging="425"/>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122" w:hanging="425"/>
      </w:pPr>
      <w:rPr>
        <w:rFonts w:hint="default"/>
        <w:lang w:val="en-US" w:eastAsia="zh-CN" w:bidi="ar-SA"/>
      </w:rPr>
    </w:lvl>
    <w:lvl w:ilvl="2">
      <w:start w:val="0"/>
      <w:numFmt w:val="bullet"/>
      <w:lvlText w:val="•"/>
      <w:lvlJc w:val="left"/>
      <w:pPr>
        <w:ind w:left="3005" w:hanging="425"/>
      </w:pPr>
      <w:rPr>
        <w:rFonts w:hint="default"/>
        <w:lang w:val="en-US" w:eastAsia="zh-CN" w:bidi="ar-SA"/>
      </w:rPr>
    </w:lvl>
    <w:lvl w:ilvl="3">
      <w:start w:val="0"/>
      <w:numFmt w:val="bullet"/>
      <w:lvlText w:val="•"/>
      <w:lvlJc w:val="left"/>
      <w:pPr>
        <w:ind w:left="3888" w:hanging="425"/>
      </w:pPr>
      <w:rPr>
        <w:rFonts w:hint="default"/>
        <w:lang w:val="en-US" w:eastAsia="zh-CN" w:bidi="ar-SA"/>
      </w:rPr>
    </w:lvl>
    <w:lvl w:ilvl="4">
      <w:start w:val="0"/>
      <w:numFmt w:val="bullet"/>
      <w:lvlText w:val="•"/>
      <w:lvlJc w:val="left"/>
      <w:pPr>
        <w:ind w:left="4770" w:hanging="425"/>
      </w:pPr>
      <w:rPr>
        <w:rFonts w:hint="default"/>
        <w:lang w:val="en-US" w:eastAsia="zh-CN" w:bidi="ar-SA"/>
      </w:rPr>
    </w:lvl>
    <w:lvl w:ilvl="5">
      <w:start w:val="0"/>
      <w:numFmt w:val="bullet"/>
      <w:lvlText w:val="•"/>
      <w:lvlJc w:val="left"/>
      <w:pPr>
        <w:ind w:left="5653" w:hanging="425"/>
      </w:pPr>
      <w:rPr>
        <w:rFonts w:hint="default"/>
        <w:lang w:val="en-US" w:eastAsia="zh-CN" w:bidi="ar-SA"/>
      </w:rPr>
    </w:lvl>
    <w:lvl w:ilvl="6">
      <w:start w:val="0"/>
      <w:numFmt w:val="bullet"/>
      <w:lvlText w:val="•"/>
      <w:lvlJc w:val="left"/>
      <w:pPr>
        <w:ind w:left="6536" w:hanging="425"/>
      </w:pPr>
      <w:rPr>
        <w:rFonts w:hint="default"/>
        <w:lang w:val="en-US" w:eastAsia="zh-CN" w:bidi="ar-SA"/>
      </w:rPr>
    </w:lvl>
    <w:lvl w:ilvl="7">
      <w:start w:val="0"/>
      <w:numFmt w:val="bullet"/>
      <w:lvlText w:val="•"/>
      <w:lvlJc w:val="left"/>
      <w:pPr>
        <w:ind w:left="7418" w:hanging="425"/>
      </w:pPr>
      <w:rPr>
        <w:rFonts w:hint="default"/>
        <w:lang w:val="en-US" w:eastAsia="zh-CN" w:bidi="ar-SA"/>
      </w:rPr>
    </w:lvl>
    <w:lvl w:ilvl="8">
      <w:start w:val="0"/>
      <w:numFmt w:val="bullet"/>
      <w:lvlText w:val="•"/>
      <w:lvlJc w:val="left"/>
      <w:pPr>
        <w:ind w:left="8301" w:hanging="425"/>
      </w:pPr>
      <w:rPr>
        <w:rFonts w:hint="default"/>
        <w:lang w:val="en-US" w:eastAsia="zh-CN" w:bidi="ar-SA"/>
      </w:rPr>
    </w:lvl>
  </w:abstractNum>
  <w:abstractNum w:abstractNumId="23">
    <w:nsid w:val="5BCBD82C"/>
    <w:multiLevelType w:val="hybridMultilevel"/>
    <w:tmpl w:val="00000000"/>
    <w:lvl w:ilvl="0">
      <w:start w:val="1"/>
      <w:numFmt w:val="upperLetter"/>
      <w:lvlText w:val="%1"/>
      <w:lvlJc w:val="left"/>
      <w:pPr>
        <w:ind w:left="638" w:hanging="526"/>
        <w:jc w:val="left"/>
      </w:pPr>
      <w:rPr>
        <w:rFonts w:hint="default"/>
        <w:lang w:val="en-US" w:eastAsia="zh-CN" w:bidi="ar-SA"/>
      </w:rPr>
    </w:lvl>
    <w:lvl w:ilvl="1">
      <w:start w:val="1"/>
      <w:numFmt w:val="decimal"/>
      <w:lvlText w:val="%1.%2"/>
      <w:lvlJc w:val="left"/>
      <w:pPr>
        <w:ind w:left="638" w:hanging="526"/>
        <w:jc w:val="left"/>
      </w:pPr>
      <w:rPr>
        <w:rFonts w:ascii="黑体" w:eastAsia="黑体" w:hAnsi="黑体" w:cs="黑体" w:hint="default"/>
        <w:spacing w:val="0"/>
        <w:w w:val="99"/>
        <w:sz w:val="21"/>
        <w:szCs w:val="21"/>
        <w:lang w:val="en-US" w:eastAsia="zh-CN" w:bidi="ar-SA"/>
      </w:rPr>
    </w:lvl>
    <w:lvl w:ilvl="2">
      <w:start w:val="1"/>
      <w:numFmt w:val="lowerLetter"/>
      <w:lvlText w:val="%3)"/>
      <w:lvlJc w:val="left"/>
      <w:pPr>
        <w:ind w:left="964" w:hanging="425"/>
        <w:jc w:val="left"/>
      </w:pPr>
      <w:rPr>
        <w:rFonts w:ascii="宋体" w:eastAsia="宋体" w:hAnsi="宋体" w:cs="宋体" w:hint="default"/>
        <w:spacing w:val="0"/>
        <w:w w:val="99"/>
        <w:sz w:val="21"/>
        <w:szCs w:val="21"/>
        <w:lang w:val="en-US" w:eastAsia="zh-CN" w:bidi="ar-SA"/>
      </w:rPr>
    </w:lvl>
    <w:lvl w:ilvl="3">
      <w:start w:val="0"/>
      <w:numFmt w:val="bullet"/>
      <w:lvlText w:val="•"/>
      <w:lvlJc w:val="left"/>
      <w:pPr>
        <w:ind w:left="2983" w:hanging="425"/>
      </w:pPr>
      <w:rPr>
        <w:rFonts w:hint="default"/>
        <w:lang w:val="en-US" w:eastAsia="zh-CN" w:bidi="ar-SA"/>
      </w:rPr>
    </w:lvl>
    <w:lvl w:ilvl="4">
      <w:start w:val="0"/>
      <w:numFmt w:val="bullet"/>
      <w:lvlText w:val="•"/>
      <w:lvlJc w:val="left"/>
      <w:pPr>
        <w:ind w:left="3995" w:hanging="425"/>
      </w:pPr>
      <w:rPr>
        <w:rFonts w:hint="default"/>
        <w:lang w:val="en-US" w:eastAsia="zh-CN" w:bidi="ar-SA"/>
      </w:rPr>
    </w:lvl>
    <w:lvl w:ilvl="5">
      <w:start w:val="0"/>
      <w:numFmt w:val="bullet"/>
      <w:lvlText w:val="•"/>
      <w:lvlJc w:val="left"/>
      <w:pPr>
        <w:ind w:left="5007" w:hanging="425"/>
      </w:pPr>
      <w:rPr>
        <w:rFonts w:hint="default"/>
        <w:lang w:val="en-US" w:eastAsia="zh-CN" w:bidi="ar-SA"/>
      </w:rPr>
    </w:lvl>
    <w:lvl w:ilvl="6">
      <w:start w:val="0"/>
      <w:numFmt w:val="bullet"/>
      <w:lvlText w:val="•"/>
      <w:lvlJc w:val="left"/>
      <w:pPr>
        <w:ind w:left="6019" w:hanging="425"/>
      </w:pPr>
      <w:rPr>
        <w:rFonts w:hint="default"/>
        <w:lang w:val="en-US" w:eastAsia="zh-CN" w:bidi="ar-SA"/>
      </w:rPr>
    </w:lvl>
    <w:lvl w:ilvl="7">
      <w:start w:val="0"/>
      <w:numFmt w:val="bullet"/>
      <w:lvlText w:val="•"/>
      <w:lvlJc w:val="left"/>
      <w:pPr>
        <w:ind w:left="7031" w:hanging="425"/>
      </w:pPr>
      <w:rPr>
        <w:rFonts w:hint="default"/>
        <w:lang w:val="en-US" w:eastAsia="zh-CN" w:bidi="ar-SA"/>
      </w:rPr>
    </w:lvl>
    <w:lvl w:ilvl="8">
      <w:start w:val="0"/>
      <w:numFmt w:val="bullet"/>
      <w:lvlText w:val="•"/>
      <w:lvlJc w:val="left"/>
      <w:pPr>
        <w:ind w:left="8043" w:hanging="425"/>
      </w:pPr>
      <w:rPr>
        <w:rFonts w:hint="default"/>
        <w:lang w:val="en-US" w:eastAsia="zh-CN" w:bidi="ar-SA"/>
      </w:rPr>
    </w:lvl>
  </w:abstractNum>
  <w:abstractNum w:abstractNumId="24">
    <w:nsid w:val="5D354672"/>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25">
    <w:nsid w:val="5F4D66E9"/>
    <w:multiLevelType w:val="hybridMultilevel"/>
    <w:tmpl w:val="00000000"/>
    <w:lvl w:ilvl="0">
      <w:start w:val="6"/>
      <w:numFmt w:val="decimal"/>
      <w:lvlText w:val="%1"/>
      <w:lvlJc w:val="left"/>
      <w:pPr>
        <w:ind w:left="1447" w:hanging="1049"/>
        <w:jc w:val="left"/>
      </w:pPr>
      <w:rPr>
        <w:rFonts w:hint="default"/>
        <w:lang w:val="en-US" w:eastAsia="zh-CN" w:bidi="ar-SA"/>
      </w:rPr>
    </w:lvl>
    <w:lvl w:ilvl="1">
      <w:start w:val="2"/>
      <w:numFmt w:val="decimal"/>
      <w:lvlText w:val="%1.%2"/>
      <w:lvlJc w:val="left"/>
      <w:pPr>
        <w:ind w:left="1447" w:hanging="1049"/>
        <w:jc w:val="left"/>
      </w:pPr>
      <w:rPr>
        <w:rFonts w:hint="default"/>
        <w:lang w:val="en-US" w:eastAsia="zh-CN" w:bidi="ar-SA"/>
      </w:rPr>
    </w:lvl>
    <w:lvl w:ilvl="2">
      <w:start w:val="12"/>
      <w:numFmt w:val="decimal"/>
      <w:lvlText w:val="%1.%2.%3"/>
      <w:lvlJc w:val="left"/>
      <w:pPr>
        <w:ind w:left="1447" w:hanging="1049"/>
        <w:jc w:val="left"/>
      </w:pPr>
      <w:rPr>
        <w:rFonts w:hint="default"/>
        <w:lang w:val="en-US" w:eastAsia="zh-CN" w:bidi="ar-SA"/>
      </w:rPr>
    </w:lvl>
    <w:lvl w:ilvl="3">
      <w:start w:val="1"/>
      <w:numFmt w:val="decimal"/>
      <w:lvlText w:val="%1.%2.%3.%4"/>
      <w:lvlJc w:val="left"/>
      <w:pPr>
        <w:ind w:left="1447" w:hanging="1049"/>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90" w:hanging="1049"/>
      </w:pPr>
      <w:rPr>
        <w:rFonts w:hint="default"/>
        <w:lang w:val="en-US" w:eastAsia="zh-CN" w:bidi="ar-SA"/>
      </w:rPr>
    </w:lvl>
    <w:lvl w:ilvl="5">
      <w:start w:val="0"/>
      <w:numFmt w:val="bullet"/>
      <w:lvlText w:val="•"/>
      <w:lvlJc w:val="left"/>
      <w:pPr>
        <w:ind w:left="5753" w:hanging="1049"/>
      </w:pPr>
      <w:rPr>
        <w:rFonts w:hint="default"/>
        <w:lang w:val="en-US" w:eastAsia="zh-CN" w:bidi="ar-SA"/>
      </w:rPr>
    </w:lvl>
    <w:lvl w:ilvl="6">
      <w:start w:val="0"/>
      <w:numFmt w:val="bullet"/>
      <w:lvlText w:val="•"/>
      <w:lvlJc w:val="left"/>
      <w:pPr>
        <w:ind w:left="6616" w:hanging="1049"/>
      </w:pPr>
      <w:rPr>
        <w:rFonts w:hint="default"/>
        <w:lang w:val="en-US" w:eastAsia="zh-CN" w:bidi="ar-SA"/>
      </w:rPr>
    </w:lvl>
    <w:lvl w:ilvl="7">
      <w:start w:val="0"/>
      <w:numFmt w:val="bullet"/>
      <w:lvlText w:val="•"/>
      <w:lvlJc w:val="left"/>
      <w:pPr>
        <w:ind w:left="7478" w:hanging="1049"/>
      </w:pPr>
      <w:rPr>
        <w:rFonts w:hint="default"/>
        <w:lang w:val="en-US" w:eastAsia="zh-CN" w:bidi="ar-SA"/>
      </w:rPr>
    </w:lvl>
    <w:lvl w:ilvl="8">
      <w:start w:val="0"/>
      <w:numFmt w:val="bullet"/>
      <w:lvlText w:val="•"/>
      <w:lvlJc w:val="left"/>
      <w:pPr>
        <w:ind w:left="8341" w:hanging="1049"/>
      </w:pPr>
      <w:rPr>
        <w:rFonts w:hint="default"/>
        <w:lang w:val="en-US" w:eastAsia="zh-CN" w:bidi="ar-SA"/>
      </w:rPr>
    </w:lvl>
  </w:abstractNum>
  <w:abstractNum w:abstractNumId="26">
    <w:nsid w:val="60707944"/>
    <w:multiLevelType w:val="hybridMultilevel"/>
    <w:tmpl w:val="00000000"/>
    <w:lvl w:ilvl="0">
      <w:start w:val="6"/>
      <w:numFmt w:val="decimal"/>
      <w:lvlText w:val="%1"/>
      <w:lvlJc w:val="left"/>
      <w:pPr>
        <w:ind w:left="1447" w:hanging="1049"/>
        <w:jc w:val="left"/>
      </w:pPr>
      <w:rPr>
        <w:rFonts w:hint="default"/>
        <w:lang w:val="en-US" w:eastAsia="zh-CN" w:bidi="ar-SA"/>
      </w:rPr>
    </w:lvl>
    <w:lvl w:ilvl="1">
      <w:start w:val="2"/>
      <w:numFmt w:val="decimal"/>
      <w:lvlText w:val="%1.%2"/>
      <w:lvlJc w:val="left"/>
      <w:pPr>
        <w:ind w:left="1447" w:hanging="1049"/>
        <w:jc w:val="left"/>
      </w:pPr>
      <w:rPr>
        <w:rFonts w:hint="default"/>
        <w:lang w:val="en-US" w:eastAsia="zh-CN" w:bidi="ar-SA"/>
      </w:rPr>
    </w:lvl>
    <w:lvl w:ilvl="2">
      <w:start w:val="10"/>
      <w:numFmt w:val="decimal"/>
      <w:lvlText w:val="%1.%2.%3"/>
      <w:lvlJc w:val="left"/>
      <w:pPr>
        <w:ind w:left="1447" w:hanging="1049"/>
        <w:jc w:val="left"/>
      </w:pPr>
      <w:rPr>
        <w:rFonts w:hint="default"/>
        <w:lang w:val="en-US" w:eastAsia="zh-CN" w:bidi="ar-SA"/>
      </w:rPr>
    </w:lvl>
    <w:lvl w:ilvl="3">
      <w:start w:val="1"/>
      <w:numFmt w:val="decimal"/>
      <w:lvlText w:val="%1.%2.%3.%4"/>
      <w:lvlJc w:val="left"/>
      <w:pPr>
        <w:ind w:left="1447" w:hanging="1049"/>
        <w:jc w:val="left"/>
      </w:pPr>
      <w:rPr>
        <w:rFonts w:ascii="黑体" w:eastAsia="黑体" w:hAnsi="黑体" w:cs="黑体" w:hint="default"/>
        <w:spacing w:val="-2"/>
        <w:w w:val="99"/>
        <w:sz w:val="21"/>
        <w:szCs w:val="21"/>
        <w:lang w:val="en-US" w:eastAsia="zh-CN" w:bidi="ar-SA"/>
      </w:rPr>
    </w:lvl>
    <w:lvl w:ilvl="4">
      <w:start w:val="0"/>
      <w:numFmt w:val="bullet"/>
      <w:lvlText w:val="•"/>
      <w:lvlJc w:val="left"/>
      <w:pPr>
        <w:ind w:left="4890" w:hanging="1049"/>
      </w:pPr>
      <w:rPr>
        <w:rFonts w:hint="default"/>
        <w:lang w:val="en-US" w:eastAsia="zh-CN" w:bidi="ar-SA"/>
      </w:rPr>
    </w:lvl>
    <w:lvl w:ilvl="5">
      <w:start w:val="0"/>
      <w:numFmt w:val="bullet"/>
      <w:lvlText w:val="•"/>
      <w:lvlJc w:val="left"/>
      <w:pPr>
        <w:ind w:left="5753" w:hanging="1049"/>
      </w:pPr>
      <w:rPr>
        <w:rFonts w:hint="default"/>
        <w:lang w:val="en-US" w:eastAsia="zh-CN" w:bidi="ar-SA"/>
      </w:rPr>
    </w:lvl>
    <w:lvl w:ilvl="6">
      <w:start w:val="0"/>
      <w:numFmt w:val="bullet"/>
      <w:lvlText w:val="•"/>
      <w:lvlJc w:val="left"/>
      <w:pPr>
        <w:ind w:left="6616" w:hanging="1049"/>
      </w:pPr>
      <w:rPr>
        <w:rFonts w:hint="default"/>
        <w:lang w:val="en-US" w:eastAsia="zh-CN" w:bidi="ar-SA"/>
      </w:rPr>
    </w:lvl>
    <w:lvl w:ilvl="7">
      <w:start w:val="0"/>
      <w:numFmt w:val="bullet"/>
      <w:lvlText w:val="•"/>
      <w:lvlJc w:val="left"/>
      <w:pPr>
        <w:ind w:left="7478" w:hanging="1049"/>
      </w:pPr>
      <w:rPr>
        <w:rFonts w:hint="default"/>
        <w:lang w:val="en-US" w:eastAsia="zh-CN" w:bidi="ar-SA"/>
      </w:rPr>
    </w:lvl>
    <w:lvl w:ilvl="8">
      <w:start w:val="0"/>
      <w:numFmt w:val="bullet"/>
      <w:lvlText w:val="•"/>
      <w:lvlJc w:val="left"/>
      <w:pPr>
        <w:ind w:left="8341" w:hanging="1049"/>
      </w:pPr>
      <w:rPr>
        <w:rFonts w:hint="default"/>
        <w:lang w:val="en-US" w:eastAsia="zh-CN" w:bidi="ar-SA"/>
      </w:rPr>
    </w:lvl>
  </w:abstractNum>
  <w:abstractNum w:abstractNumId="27">
    <w:nsid w:val="668AFBFB"/>
    <w:multiLevelType w:val="hybridMultilevel"/>
    <w:tmpl w:val="00000000"/>
    <w:lvl w:ilvl="0">
      <w:start w:val="4"/>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1"/>
      <w:numFmt w:val="decimal"/>
      <w:lvlText w:val="%1.%2"/>
      <w:lvlJc w:val="left"/>
      <w:pPr>
        <w:ind w:left="924" w:hanging="526"/>
        <w:jc w:val="left"/>
      </w:pPr>
      <w:rPr>
        <w:rFonts w:ascii="黑体" w:eastAsia="黑体" w:hAnsi="黑体" w:cs="黑体" w:hint="default"/>
        <w:spacing w:val="0"/>
        <w:w w:val="99"/>
        <w:sz w:val="21"/>
        <w:szCs w:val="21"/>
        <w:lang w:val="en-US" w:eastAsia="zh-CN" w:bidi="ar-SA"/>
      </w:rPr>
    </w:lvl>
    <w:lvl w:ilvl="2">
      <w:start w:val="1"/>
      <w:numFmt w:val="decimal"/>
      <w:lvlText w:val="%1.%2.%3"/>
      <w:lvlJc w:val="left"/>
      <w:pPr>
        <w:ind w:left="1132" w:hanging="735"/>
        <w:jc w:val="left"/>
      </w:pPr>
      <w:rPr>
        <w:rFonts w:ascii="黑体" w:eastAsia="黑体" w:hAnsi="黑体" w:cs="黑体" w:hint="default"/>
        <w:spacing w:val="-2"/>
        <w:w w:val="99"/>
        <w:sz w:val="21"/>
        <w:szCs w:val="21"/>
        <w:lang w:val="en-US" w:eastAsia="zh-CN" w:bidi="ar-SA"/>
      </w:rPr>
    </w:lvl>
    <w:lvl w:ilvl="3">
      <w:start w:val="1"/>
      <w:numFmt w:val="lowerLetter"/>
      <w:lvlText w:val="%4)"/>
      <w:lvlJc w:val="left"/>
      <w:pPr>
        <w:ind w:left="1248" w:hanging="425"/>
        <w:jc w:val="left"/>
      </w:pPr>
      <w:rPr>
        <w:rFonts w:ascii="宋体" w:eastAsia="宋体" w:hAnsi="宋体" w:cs="宋体" w:hint="default"/>
        <w:spacing w:val="0"/>
        <w:w w:val="99"/>
        <w:sz w:val="21"/>
        <w:szCs w:val="21"/>
        <w:lang w:val="en-US" w:eastAsia="zh-CN" w:bidi="ar-SA"/>
      </w:rPr>
    </w:lvl>
    <w:lvl w:ilvl="4">
      <w:start w:val="0"/>
      <w:numFmt w:val="bullet"/>
      <w:lvlText w:val="•"/>
      <w:lvlJc w:val="left"/>
      <w:pPr>
        <w:ind w:left="2501" w:hanging="425"/>
      </w:pPr>
      <w:rPr>
        <w:rFonts w:hint="default"/>
        <w:lang w:val="en-US" w:eastAsia="zh-CN" w:bidi="ar-SA"/>
      </w:rPr>
    </w:lvl>
    <w:lvl w:ilvl="5">
      <w:start w:val="0"/>
      <w:numFmt w:val="bullet"/>
      <w:lvlText w:val="•"/>
      <w:lvlJc w:val="left"/>
      <w:pPr>
        <w:ind w:left="3762" w:hanging="425"/>
      </w:pPr>
      <w:rPr>
        <w:rFonts w:hint="default"/>
        <w:lang w:val="en-US" w:eastAsia="zh-CN" w:bidi="ar-SA"/>
      </w:rPr>
    </w:lvl>
    <w:lvl w:ilvl="6">
      <w:start w:val="0"/>
      <w:numFmt w:val="bullet"/>
      <w:lvlText w:val="•"/>
      <w:lvlJc w:val="left"/>
      <w:pPr>
        <w:ind w:left="5023" w:hanging="425"/>
      </w:pPr>
      <w:rPr>
        <w:rFonts w:hint="default"/>
        <w:lang w:val="en-US" w:eastAsia="zh-CN" w:bidi="ar-SA"/>
      </w:rPr>
    </w:lvl>
    <w:lvl w:ilvl="7">
      <w:start w:val="0"/>
      <w:numFmt w:val="bullet"/>
      <w:lvlText w:val="•"/>
      <w:lvlJc w:val="left"/>
      <w:pPr>
        <w:ind w:left="6284" w:hanging="425"/>
      </w:pPr>
      <w:rPr>
        <w:rFonts w:hint="default"/>
        <w:lang w:val="en-US" w:eastAsia="zh-CN" w:bidi="ar-SA"/>
      </w:rPr>
    </w:lvl>
    <w:lvl w:ilvl="8">
      <w:start w:val="0"/>
      <w:numFmt w:val="bullet"/>
      <w:lvlText w:val="•"/>
      <w:lvlJc w:val="left"/>
      <w:pPr>
        <w:ind w:left="7545" w:hanging="425"/>
      </w:pPr>
      <w:rPr>
        <w:rFonts w:hint="default"/>
        <w:lang w:val="en-US" w:eastAsia="zh-CN" w:bidi="ar-SA"/>
      </w:rPr>
    </w:lvl>
  </w:abstractNum>
  <w:abstractNum w:abstractNumId="28">
    <w:nsid w:val="67AAD4CD"/>
    <w:multiLevelType w:val="hybridMultilevel"/>
    <w:tmpl w:val="00000000"/>
    <w:lvl w:ilvl="0">
      <w:start w:val="1"/>
      <w:numFmt w:val="upperLetter"/>
      <w:lvlText w:val="%1"/>
      <w:lvlJc w:val="left"/>
      <w:pPr>
        <w:ind w:left="112" w:hanging="737"/>
        <w:jc w:val="left"/>
      </w:pPr>
      <w:rPr>
        <w:rFonts w:hint="default"/>
        <w:lang w:val="en-US" w:eastAsia="zh-CN" w:bidi="ar-SA"/>
      </w:rPr>
    </w:lvl>
    <w:lvl w:ilvl="1">
      <w:start w:val="5"/>
      <w:numFmt w:val="decimal"/>
      <w:lvlText w:val="%1.%2"/>
      <w:lvlJc w:val="left"/>
      <w:pPr>
        <w:ind w:left="112" w:hanging="737"/>
        <w:jc w:val="left"/>
      </w:pPr>
      <w:rPr>
        <w:rFonts w:hint="default"/>
        <w:lang w:val="en-US" w:eastAsia="zh-CN" w:bidi="ar-SA"/>
      </w:rPr>
    </w:lvl>
    <w:lvl w:ilvl="2">
      <w:start w:val="1"/>
      <w:numFmt w:val="decimal"/>
      <w:lvlText w:val="%1.%2.%3"/>
      <w:lvlJc w:val="left"/>
      <w:pPr>
        <w:ind w:left="112" w:hanging="737"/>
        <w:jc w:val="right"/>
      </w:pPr>
      <w:rPr>
        <w:rFonts w:ascii="黑体" w:eastAsia="黑体" w:hAnsi="黑体" w:cs="黑体" w:hint="default"/>
        <w:spacing w:val="-2"/>
        <w:w w:val="99"/>
        <w:sz w:val="21"/>
        <w:szCs w:val="21"/>
        <w:lang w:val="en-US" w:eastAsia="zh-CN" w:bidi="ar-SA"/>
      </w:rPr>
    </w:lvl>
    <w:lvl w:ilvl="3">
      <w:start w:val="0"/>
      <w:numFmt w:val="bullet"/>
      <w:lvlText w:val="•"/>
      <w:lvlJc w:val="left"/>
      <w:pPr>
        <w:ind w:left="3104" w:hanging="737"/>
      </w:pPr>
      <w:rPr>
        <w:rFonts w:hint="default"/>
        <w:lang w:val="en-US" w:eastAsia="zh-CN" w:bidi="ar-SA"/>
      </w:rPr>
    </w:lvl>
    <w:lvl w:ilvl="4">
      <w:start w:val="0"/>
      <w:numFmt w:val="bullet"/>
      <w:lvlText w:val="•"/>
      <w:lvlJc w:val="left"/>
      <w:pPr>
        <w:ind w:left="4098" w:hanging="737"/>
      </w:pPr>
      <w:rPr>
        <w:rFonts w:hint="default"/>
        <w:lang w:val="en-US" w:eastAsia="zh-CN" w:bidi="ar-SA"/>
      </w:rPr>
    </w:lvl>
    <w:lvl w:ilvl="5">
      <w:start w:val="0"/>
      <w:numFmt w:val="bullet"/>
      <w:lvlText w:val="•"/>
      <w:lvlJc w:val="left"/>
      <w:pPr>
        <w:ind w:left="5093" w:hanging="737"/>
      </w:pPr>
      <w:rPr>
        <w:rFonts w:hint="default"/>
        <w:lang w:val="en-US" w:eastAsia="zh-CN" w:bidi="ar-SA"/>
      </w:rPr>
    </w:lvl>
    <w:lvl w:ilvl="6">
      <w:start w:val="0"/>
      <w:numFmt w:val="bullet"/>
      <w:lvlText w:val="•"/>
      <w:lvlJc w:val="left"/>
      <w:pPr>
        <w:ind w:left="6088" w:hanging="737"/>
      </w:pPr>
      <w:rPr>
        <w:rFonts w:hint="default"/>
        <w:lang w:val="en-US" w:eastAsia="zh-CN" w:bidi="ar-SA"/>
      </w:rPr>
    </w:lvl>
    <w:lvl w:ilvl="7">
      <w:start w:val="0"/>
      <w:numFmt w:val="bullet"/>
      <w:lvlText w:val="•"/>
      <w:lvlJc w:val="left"/>
      <w:pPr>
        <w:ind w:left="7082" w:hanging="737"/>
      </w:pPr>
      <w:rPr>
        <w:rFonts w:hint="default"/>
        <w:lang w:val="en-US" w:eastAsia="zh-CN" w:bidi="ar-SA"/>
      </w:rPr>
    </w:lvl>
    <w:lvl w:ilvl="8">
      <w:start w:val="0"/>
      <w:numFmt w:val="bullet"/>
      <w:lvlText w:val="•"/>
      <w:lvlJc w:val="left"/>
      <w:pPr>
        <w:ind w:left="8077" w:hanging="737"/>
      </w:pPr>
      <w:rPr>
        <w:rFonts w:hint="default"/>
        <w:lang w:val="en-US" w:eastAsia="zh-CN" w:bidi="ar-SA"/>
      </w:rPr>
    </w:lvl>
  </w:abstractNum>
  <w:abstractNum w:abstractNumId="29">
    <w:nsid w:val="6D14F74A"/>
    <w:multiLevelType w:val="hybridMultilevel"/>
    <w:tmpl w:val="00000000"/>
    <w:lvl w:ilvl="0">
      <w:start w:val="1"/>
      <w:numFmt w:val="decimal"/>
      <w:lvlText w:val="%1"/>
      <w:lvlJc w:val="left"/>
      <w:pPr>
        <w:ind w:left="712" w:hanging="315"/>
        <w:jc w:val="left"/>
      </w:pPr>
      <w:rPr>
        <w:rFonts w:ascii="黑体" w:eastAsia="黑体" w:hAnsi="黑体" w:cs="黑体" w:hint="default"/>
        <w:w w:val="99"/>
        <w:sz w:val="21"/>
        <w:szCs w:val="21"/>
        <w:lang w:val="en-US" w:eastAsia="zh-CN" w:bidi="ar-SA"/>
      </w:rPr>
    </w:lvl>
    <w:lvl w:ilvl="1">
      <w:start w:val="0"/>
      <w:numFmt w:val="bullet"/>
      <w:lvlText w:val="•"/>
      <w:lvlJc w:val="left"/>
      <w:pPr>
        <w:ind w:left="1654" w:hanging="315"/>
      </w:pPr>
      <w:rPr>
        <w:rFonts w:hint="default"/>
        <w:lang w:val="en-US" w:eastAsia="zh-CN" w:bidi="ar-SA"/>
      </w:rPr>
    </w:lvl>
    <w:lvl w:ilvl="2">
      <w:start w:val="0"/>
      <w:numFmt w:val="bullet"/>
      <w:lvlText w:val="•"/>
      <w:lvlJc w:val="left"/>
      <w:pPr>
        <w:ind w:left="2589" w:hanging="315"/>
      </w:pPr>
      <w:rPr>
        <w:rFonts w:hint="default"/>
        <w:lang w:val="en-US" w:eastAsia="zh-CN" w:bidi="ar-SA"/>
      </w:rPr>
    </w:lvl>
    <w:lvl w:ilvl="3">
      <w:start w:val="0"/>
      <w:numFmt w:val="bullet"/>
      <w:lvlText w:val="•"/>
      <w:lvlJc w:val="left"/>
      <w:pPr>
        <w:ind w:left="3524" w:hanging="315"/>
      </w:pPr>
      <w:rPr>
        <w:rFonts w:hint="default"/>
        <w:lang w:val="en-US" w:eastAsia="zh-CN" w:bidi="ar-SA"/>
      </w:rPr>
    </w:lvl>
    <w:lvl w:ilvl="4">
      <w:start w:val="0"/>
      <w:numFmt w:val="bullet"/>
      <w:lvlText w:val="•"/>
      <w:lvlJc w:val="left"/>
      <w:pPr>
        <w:ind w:left="4458" w:hanging="315"/>
      </w:pPr>
      <w:rPr>
        <w:rFonts w:hint="default"/>
        <w:lang w:val="en-US" w:eastAsia="zh-CN" w:bidi="ar-SA"/>
      </w:rPr>
    </w:lvl>
    <w:lvl w:ilvl="5">
      <w:start w:val="0"/>
      <w:numFmt w:val="bullet"/>
      <w:lvlText w:val="•"/>
      <w:lvlJc w:val="left"/>
      <w:pPr>
        <w:ind w:left="5393" w:hanging="315"/>
      </w:pPr>
      <w:rPr>
        <w:rFonts w:hint="default"/>
        <w:lang w:val="en-US" w:eastAsia="zh-CN" w:bidi="ar-SA"/>
      </w:rPr>
    </w:lvl>
    <w:lvl w:ilvl="6">
      <w:start w:val="0"/>
      <w:numFmt w:val="bullet"/>
      <w:lvlText w:val="•"/>
      <w:lvlJc w:val="left"/>
      <w:pPr>
        <w:ind w:left="6328" w:hanging="315"/>
      </w:pPr>
      <w:rPr>
        <w:rFonts w:hint="default"/>
        <w:lang w:val="en-US" w:eastAsia="zh-CN" w:bidi="ar-SA"/>
      </w:rPr>
    </w:lvl>
    <w:lvl w:ilvl="7">
      <w:start w:val="0"/>
      <w:numFmt w:val="bullet"/>
      <w:lvlText w:val="•"/>
      <w:lvlJc w:val="left"/>
      <w:pPr>
        <w:ind w:left="7262" w:hanging="315"/>
      </w:pPr>
      <w:rPr>
        <w:rFonts w:hint="default"/>
        <w:lang w:val="en-US" w:eastAsia="zh-CN" w:bidi="ar-SA"/>
      </w:rPr>
    </w:lvl>
    <w:lvl w:ilvl="8">
      <w:start w:val="0"/>
      <w:numFmt w:val="bullet"/>
      <w:lvlText w:val="•"/>
      <w:lvlJc w:val="left"/>
      <w:pPr>
        <w:ind w:left="8197" w:hanging="315"/>
      </w:pPr>
      <w:rPr>
        <w:rFonts w:hint="default"/>
        <w:lang w:val="en-US" w:eastAsia="zh-CN" w:bidi="ar-SA"/>
      </w:rPr>
    </w:lvl>
  </w:abstractNum>
  <w:abstractNum w:abstractNumId="30">
    <w:nsid w:val="716042DF"/>
    <w:multiLevelType w:val="hybridMultilevel"/>
    <w:tmpl w:val="00000000"/>
    <w:lvl w:ilvl="0">
      <w:start w:val="1"/>
      <w:numFmt w:val="upperLetter"/>
      <w:lvlText w:val="%1"/>
      <w:lvlJc w:val="left"/>
      <w:pPr>
        <w:ind w:left="112" w:hanging="737"/>
        <w:jc w:val="left"/>
      </w:pPr>
      <w:rPr>
        <w:rFonts w:hint="default"/>
        <w:lang w:val="en-US" w:eastAsia="zh-CN" w:bidi="ar-SA"/>
      </w:rPr>
    </w:lvl>
    <w:lvl w:ilvl="1">
      <w:start w:val="3"/>
      <w:numFmt w:val="decimal"/>
      <w:lvlText w:val="%1.%2"/>
      <w:lvlJc w:val="left"/>
      <w:pPr>
        <w:ind w:left="112" w:hanging="737"/>
        <w:jc w:val="left"/>
      </w:pPr>
      <w:rPr>
        <w:rFonts w:hint="default"/>
        <w:lang w:val="en-US" w:eastAsia="zh-CN" w:bidi="ar-SA"/>
      </w:rPr>
    </w:lvl>
    <w:lvl w:ilvl="2">
      <w:start w:val="1"/>
      <w:numFmt w:val="decimal"/>
      <w:lvlText w:val="%1.%2.%3"/>
      <w:lvlJc w:val="left"/>
      <w:pPr>
        <w:ind w:left="112" w:hanging="737"/>
        <w:jc w:val="left"/>
      </w:pPr>
      <w:rPr>
        <w:rFonts w:ascii="黑体" w:eastAsia="黑体" w:hAnsi="黑体" w:cs="黑体" w:hint="default"/>
        <w:spacing w:val="-2"/>
        <w:w w:val="99"/>
        <w:sz w:val="21"/>
        <w:szCs w:val="21"/>
        <w:lang w:val="en-US" w:eastAsia="zh-CN" w:bidi="ar-SA"/>
      </w:rPr>
    </w:lvl>
    <w:lvl w:ilvl="3">
      <w:start w:val="0"/>
      <w:numFmt w:val="bullet"/>
      <w:lvlText w:val="•"/>
      <w:lvlJc w:val="left"/>
      <w:pPr>
        <w:ind w:left="3104" w:hanging="737"/>
      </w:pPr>
      <w:rPr>
        <w:rFonts w:hint="default"/>
        <w:lang w:val="en-US" w:eastAsia="zh-CN" w:bidi="ar-SA"/>
      </w:rPr>
    </w:lvl>
    <w:lvl w:ilvl="4">
      <w:start w:val="0"/>
      <w:numFmt w:val="bullet"/>
      <w:lvlText w:val="•"/>
      <w:lvlJc w:val="left"/>
      <w:pPr>
        <w:ind w:left="4098" w:hanging="737"/>
      </w:pPr>
      <w:rPr>
        <w:rFonts w:hint="default"/>
        <w:lang w:val="en-US" w:eastAsia="zh-CN" w:bidi="ar-SA"/>
      </w:rPr>
    </w:lvl>
    <w:lvl w:ilvl="5">
      <w:start w:val="0"/>
      <w:numFmt w:val="bullet"/>
      <w:lvlText w:val="•"/>
      <w:lvlJc w:val="left"/>
      <w:pPr>
        <w:ind w:left="5093" w:hanging="737"/>
      </w:pPr>
      <w:rPr>
        <w:rFonts w:hint="default"/>
        <w:lang w:val="en-US" w:eastAsia="zh-CN" w:bidi="ar-SA"/>
      </w:rPr>
    </w:lvl>
    <w:lvl w:ilvl="6">
      <w:start w:val="0"/>
      <w:numFmt w:val="bullet"/>
      <w:lvlText w:val="•"/>
      <w:lvlJc w:val="left"/>
      <w:pPr>
        <w:ind w:left="6088" w:hanging="737"/>
      </w:pPr>
      <w:rPr>
        <w:rFonts w:hint="default"/>
        <w:lang w:val="en-US" w:eastAsia="zh-CN" w:bidi="ar-SA"/>
      </w:rPr>
    </w:lvl>
    <w:lvl w:ilvl="7">
      <w:start w:val="0"/>
      <w:numFmt w:val="bullet"/>
      <w:lvlText w:val="•"/>
      <w:lvlJc w:val="left"/>
      <w:pPr>
        <w:ind w:left="7082" w:hanging="737"/>
      </w:pPr>
      <w:rPr>
        <w:rFonts w:hint="default"/>
        <w:lang w:val="en-US" w:eastAsia="zh-CN" w:bidi="ar-SA"/>
      </w:rPr>
    </w:lvl>
    <w:lvl w:ilvl="8">
      <w:start w:val="0"/>
      <w:numFmt w:val="bullet"/>
      <w:lvlText w:val="•"/>
      <w:lvlJc w:val="left"/>
      <w:pPr>
        <w:ind w:left="8077" w:hanging="737"/>
      </w:pPr>
      <w:rPr>
        <w:rFonts w:hint="default"/>
        <w:lang w:val="en-US" w:eastAsia="zh-CN" w:bidi="ar-SA"/>
      </w:rPr>
    </w:lvl>
  </w:abstractNum>
  <w:num w:numId="1">
    <w:abstractNumId w:val="15"/>
  </w:num>
  <w:num w:numId="2">
    <w:abstractNumId w:val="14"/>
  </w:num>
  <w:num w:numId="3">
    <w:abstractNumId w:val="1"/>
  </w:num>
  <w:num w:numId="4">
    <w:abstractNumId w:val="0"/>
  </w:num>
  <w:num w:numId="5">
    <w:abstractNumId w:val="20"/>
  </w:num>
  <w:num w:numId="6">
    <w:abstractNumId w:val="18"/>
  </w:num>
  <w:num w:numId="7">
    <w:abstractNumId w:val="19"/>
  </w:num>
  <w:num w:numId="8">
    <w:abstractNumId w:val="28"/>
  </w:num>
  <w:num w:numId="9">
    <w:abstractNumId w:val="8"/>
  </w:num>
  <w:num w:numId="10">
    <w:abstractNumId w:val="30"/>
  </w:num>
  <w:num w:numId="11">
    <w:abstractNumId w:val="23"/>
  </w:num>
  <w:num w:numId="12">
    <w:abstractNumId w:val="22"/>
  </w:num>
  <w:num w:numId="13">
    <w:abstractNumId w:val="12"/>
  </w:num>
  <w:num w:numId="14">
    <w:abstractNumId w:val="25"/>
  </w:num>
  <w:num w:numId="15">
    <w:abstractNumId w:val="13"/>
  </w:num>
  <w:num w:numId="16">
    <w:abstractNumId w:val="26"/>
  </w:num>
  <w:num w:numId="17">
    <w:abstractNumId w:val="2"/>
  </w:num>
  <w:num w:numId="18">
    <w:abstractNumId w:val="7"/>
  </w:num>
  <w:num w:numId="19">
    <w:abstractNumId w:val="10"/>
  </w:num>
  <w:num w:numId="20">
    <w:abstractNumId w:val="6"/>
  </w:num>
  <w:num w:numId="21">
    <w:abstractNumId w:val="21"/>
  </w:num>
  <w:num w:numId="22">
    <w:abstractNumId w:val="11"/>
  </w:num>
  <w:num w:numId="23">
    <w:abstractNumId w:val="29"/>
  </w:num>
  <w:num w:numId="24">
    <w:abstractNumId w:val="9"/>
  </w:num>
  <w:num w:numId="25">
    <w:abstractNumId w:val="16"/>
  </w:num>
  <w:num w:numId="26">
    <w:abstractNumId w:val="4"/>
  </w:num>
  <w:num w:numId="27">
    <w:abstractNumId w:val="27"/>
  </w:num>
  <w:num w:numId="28">
    <w:abstractNumId w:val="24"/>
  </w:num>
  <w:num w:numId="29">
    <w:abstractNumId w:val="5"/>
  </w:num>
  <w:num w:numId="30">
    <w:abstractNumId w:val="17"/>
  </w:num>
  <w:num w:numId="3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43"/>
      <w:ind w:left="82"/>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28"/>
      <w:ind w:left="2778" w:right="2415"/>
      <w:jc w:val="center"/>
    </w:pPr>
    <w:rPr>
      <w:rFonts w:ascii="黑体" w:eastAsia="黑体" w:hAnsi="黑体" w:cs="黑体"/>
      <w:sz w:val="52"/>
      <w:szCs w:val="52"/>
      <w:lang w:val="en-US" w:eastAsia="zh-CN" w:bidi="ar-SA"/>
    </w:rPr>
  </w:style>
  <w:style w:type="paragraph" w:styleId="ListParagraph">
    <w:name w:val="List Paragraph"/>
    <w:basedOn w:val="Normal"/>
    <w:uiPriority w:val="1"/>
    <w:qFormat/>
    <w:pPr>
      <w:ind w:left="1248" w:hanging="425"/>
    </w:pPr>
    <w:rPr>
      <w:rFonts w:ascii="宋体" w:eastAsia="宋体" w:hAnsi="宋体" w:cs="宋体"/>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hyperlink" Target="https://d.book118.com/237115046114006035" TargetMode="Externa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WANG LING</dc:creator>
  <cp:revision>0</cp:revision>
  <dcterms:created xsi:type="dcterms:W3CDTF">2024-01-30T13:28:30Z</dcterms:created>
  <dcterms:modified xsi:type="dcterms:W3CDTF">2024-01-30T13:28:30Z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2024-01-22T00:00:00Z</vt:filetime>
  </property>
  <property fmtid="{D5CDD505-2E9C-101B-9397-08002B2CF9AE}" pid="3" name="Creator">
    <vt:lpwstr>WPS 文字</vt:lpwstr>
  </property>
  <property fmtid="{D5CDD505-2E9C-101B-9397-08002B2CF9AE}" pid="4" name="LastSaved">
    <vt:filetime>2024-01-30T00:00:00Z</vt:filetime>
  </property>
</Properties>
</file>