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内墙涂料相关行业项目建议书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35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_Toc7355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14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_Toc4614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_Toc4037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_Toc10773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38" w:history="1">
        <w:r>
          <w:rPr>
            <w:rFonts w:ascii="仿宋" w:eastAsia="仿宋" w:hAnsi="仿宋" w:cs="仿宋" w:hint="eastAsia"/>
            <w:lang w:eastAsia="zh-CN"/>
          </w:rPr>
          <w:t>二、建筑工程可行性分析</w:t>
        </w:r>
        <w:r>
          <w:tab/>
        </w:r>
        <w:r>
          <w:fldChar w:fldCharType="begin"/>
        </w:r>
        <w:r>
          <w:instrText xml:space="preserve"> PAGEREF _Toc23338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0" w:history="1">
        <w:r>
          <w:rPr>
            <w:rFonts w:ascii="仿宋" w:eastAsia="仿宋" w:hAnsi="仿宋" w:cs="仿宋" w:hint="eastAsia"/>
            <w:lang w:eastAsia="zh-CN"/>
          </w:rPr>
          <w:t>(一)、内墙涂料项目工程设计总体要求</w:t>
        </w:r>
        <w:r>
          <w:tab/>
        </w:r>
        <w:r>
          <w:fldChar w:fldCharType="begin"/>
        </w:r>
        <w:r>
          <w:instrText xml:space="preserve"> PAGEREF _Toc22480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6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_Toc16986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3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_Toc28853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27" w:history="1">
        <w:r>
          <w:rPr>
            <w:rFonts w:ascii="仿宋" w:eastAsia="仿宋" w:hAnsi="仿宋" w:cs="仿宋" w:hint="eastAsia"/>
            <w:lang w:eastAsia="zh-CN"/>
          </w:rPr>
          <w:t>三、建设规模与产品方案</w:t>
        </w:r>
        <w:r>
          <w:tab/>
        </w:r>
        <w:r>
          <w:fldChar w:fldCharType="begin"/>
        </w:r>
        <w:r>
          <w:instrText xml:space="preserve"> PAGEREF _Toc11627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5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_Toc10985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0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_Toc14020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83" w:history="1">
        <w:r>
          <w:rPr>
            <w:rFonts w:ascii="仿宋" w:eastAsia="仿宋" w:hAnsi="仿宋" w:cs="仿宋" w:hint="eastAsia"/>
            <w:lang w:eastAsia="zh-CN"/>
          </w:rPr>
          <w:t>四、内墙涂料项目绪论</w:t>
        </w:r>
        <w:r>
          <w:tab/>
        </w:r>
        <w:r>
          <w:fldChar w:fldCharType="begin"/>
        </w:r>
        <w:r>
          <w:instrText xml:space="preserve"> PAGEREF _Toc26783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7" w:history="1">
        <w:r>
          <w:rPr>
            <w:rFonts w:ascii="仿宋" w:eastAsia="仿宋" w:hAnsi="仿宋" w:cs="仿宋" w:hint="eastAsia"/>
            <w:lang w:eastAsia="zh-CN"/>
          </w:rPr>
          <w:t>(一)、内墙涂料项目名称及建设性质</w:t>
        </w:r>
        <w:r>
          <w:tab/>
        </w:r>
        <w:r>
          <w:fldChar w:fldCharType="begin"/>
        </w:r>
        <w:r>
          <w:instrText xml:space="preserve"> PAGEREF _Toc27507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6" w:history="1">
        <w:r>
          <w:rPr>
            <w:rFonts w:ascii="仿宋" w:eastAsia="仿宋" w:hAnsi="仿宋" w:cs="仿宋" w:hint="eastAsia"/>
            <w:lang w:eastAsia="zh-CN"/>
          </w:rPr>
          <w:t>(二)、内墙涂料项目承办单位</w:t>
        </w:r>
        <w:r>
          <w:tab/>
        </w:r>
        <w:r>
          <w:fldChar w:fldCharType="begin"/>
        </w:r>
        <w:r>
          <w:instrText xml:space="preserve"> PAGEREF _Toc4026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1" w:history="1">
        <w:r>
          <w:rPr>
            <w:rFonts w:ascii="仿宋" w:eastAsia="仿宋" w:hAnsi="仿宋" w:cs="仿宋" w:hint="eastAsia"/>
            <w:lang w:eastAsia="zh-CN"/>
          </w:rPr>
          <w:t>(三)、内墙涂料项目定位及建设理由</w:t>
        </w:r>
        <w:r>
          <w:tab/>
        </w:r>
        <w:r>
          <w:fldChar w:fldCharType="begin"/>
        </w:r>
        <w:r>
          <w:instrText xml:space="preserve"> PAGEREF _Toc31441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1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_Toc22331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3" w:history="1">
        <w:r>
          <w:rPr>
            <w:rFonts w:ascii="仿宋" w:eastAsia="仿宋" w:hAnsi="仿宋" w:cs="仿宋" w:hint="eastAsia"/>
            <w:lang w:eastAsia="zh-CN"/>
          </w:rPr>
          <w:t>(五)、内墙涂料项目建设选址</w:t>
        </w:r>
        <w:r>
          <w:tab/>
        </w:r>
        <w:r>
          <w:fldChar w:fldCharType="begin"/>
        </w:r>
        <w:r>
          <w:instrText xml:space="preserve"> PAGEREF _Toc14493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" w:history="1">
        <w:r>
          <w:rPr>
            <w:rFonts w:ascii="仿宋" w:eastAsia="仿宋" w:hAnsi="仿宋" w:cs="仿宋" w:hint="eastAsia"/>
            <w:lang w:eastAsia="zh-CN"/>
          </w:rPr>
          <w:t>(六)、内墙涂料项目生产规模</w:t>
        </w:r>
        <w:r>
          <w:tab/>
        </w:r>
        <w:r>
          <w:fldChar w:fldCharType="begin"/>
        </w:r>
        <w:r>
          <w:instrText xml:space="preserve"> PAGEREF _Toc392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8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_Toc11458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4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_Toc29074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" w:history="1">
        <w:r>
          <w:rPr>
            <w:rFonts w:ascii="仿宋" w:eastAsia="仿宋" w:hAnsi="仿宋" w:cs="仿宋" w:hint="eastAsia"/>
            <w:lang w:eastAsia="zh-CN"/>
          </w:rPr>
          <w:t>(九)、内墙涂料项目总投资及资金构成</w:t>
        </w:r>
        <w:r>
          <w:tab/>
        </w:r>
        <w:r>
          <w:fldChar w:fldCharType="begin"/>
        </w:r>
        <w:r>
          <w:instrText xml:space="preserve"> PAGEREF _Toc1623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4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_Toc14934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7" w:history="1">
        <w:r>
          <w:rPr>
            <w:rFonts w:ascii="仿宋" w:eastAsia="仿宋" w:hAnsi="仿宋" w:cs="仿宋" w:hint="eastAsia"/>
            <w:lang w:eastAsia="zh-CN"/>
          </w:rPr>
          <w:t>(十一)、内墙涂料项目预期经济效益规划目标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" w:history="1">
        <w:r>
          <w:rPr>
            <w:rFonts w:ascii="仿宋" w:eastAsia="仿宋" w:hAnsi="仿宋" w:cs="仿宋" w:hint="eastAsia"/>
            <w:lang w:eastAsia="zh-CN"/>
          </w:rPr>
          <w:t>(十二)、内墙涂料项目建设进度规划</w:t>
        </w:r>
        <w:r>
          <w:tab/>
        </w:r>
        <w:r>
          <w:fldChar w:fldCharType="begin"/>
        </w:r>
        <w:r>
          <w:instrText xml:space="preserve"> PAGEREF _Toc856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59" w:history="1">
        <w:r>
          <w:rPr>
            <w:rFonts w:ascii="仿宋" w:eastAsia="仿宋" w:hAnsi="仿宋" w:cs="仿宋" w:hint="eastAsia"/>
            <w:lang w:eastAsia="zh-CN"/>
          </w:rPr>
          <w:t>(十三)、内墙涂料项目综合评价</w:t>
        </w:r>
        <w:r>
          <w:tab/>
        </w:r>
        <w:r>
          <w:fldChar w:fldCharType="begin"/>
        </w:r>
        <w:r>
          <w:instrText xml:space="preserve"> PAGEREF _Toc12059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07" w:history="1">
        <w:r>
          <w:rPr>
            <w:rFonts w:ascii="仿宋" w:eastAsia="仿宋" w:hAnsi="仿宋" w:cs="仿宋" w:hint="eastAsia"/>
            <w:lang w:eastAsia="zh-CN"/>
          </w:rPr>
          <w:t>五、运营模式分析</w:t>
        </w:r>
        <w:r>
          <w:tab/>
        </w:r>
        <w:r>
          <w:fldChar w:fldCharType="begin"/>
        </w:r>
        <w:r>
          <w:instrText xml:space="preserve"> PAGEREF _Toc12807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_Toc20949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_Toc1834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8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_Toc15778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0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_Toc6340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07" w:history="1">
        <w:r>
          <w:rPr>
            <w:rFonts w:ascii="仿宋" w:eastAsia="仿宋" w:hAnsi="仿宋" w:cs="仿宋" w:hint="eastAsia"/>
            <w:lang w:eastAsia="zh-CN"/>
          </w:rPr>
          <w:t>六、内墙涂料项目选址</w:t>
        </w:r>
        <w:r>
          <w:tab/>
        </w:r>
        <w:r>
          <w:fldChar w:fldCharType="begin"/>
        </w:r>
        <w:r>
          <w:instrText xml:space="preserve"> PAGEREF _Toc17907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40" w:history="1">
        <w:r>
          <w:rPr>
            <w:rFonts w:ascii="仿宋" w:eastAsia="仿宋" w:hAnsi="仿宋" w:cs="仿宋" w:hint="eastAsia"/>
            <w:lang w:eastAsia="zh-CN"/>
          </w:rPr>
          <w:t>(一)、内墙涂料选址影响因素</w:t>
        </w:r>
        <w:r>
          <w:tab/>
        </w:r>
        <w:r>
          <w:fldChar w:fldCharType="begin"/>
        </w:r>
        <w:r>
          <w:instrText xml:space="preserve"> PAGEREF _Toc5140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96" w:history="1">
        <w:r>
          <w:rPr>
            <w:rFonts w:ascii="仿宋" w:eastAsia="仿宋" w:hAnsi="仿宋" w:cs="仿宋" w:hint="eastAsia"/>
            <w:lang w:eastAsia="zh-CN"/>
          </w:rPr>
          <w:t>(二)、行业竞争对内墙涂料选址的影响</w:t>
        </w:r>
        <w:r>
          <w:tab/>
        </w:r>
        <w:r>
          <w:fldChar w:fldCharType="begin"/>
        </w:r>
        <w:r>
          <w:instrText xml:space="preserve"> PAGEREF _Toc13396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7" w:history="1">
        <w:r>
          <w:rPr>
            <w:rFonts w:ascii="仿宋" w:eastAsia="仿宋" w:hAnsi="仿宋" w:cs="仿宋" w:hint="eastAsia"/>
            <w:lang w:eastAsia="zh-CN"/>
          </w:rPr>
          <w:t>(三)、经营成本对内墙涂料选址的影响</w:t>
        </w:r>
        <w:r>
          <w:tab/>
        </w:r>
        <w:r>
          <w:fldChar w:fldCharType="begin"/>
        </w:r>
        <w:r>
          <w:instrText xml:space="preserve"> PAGEREF _Toc20637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9" w:history="1">
        <w:r>
          <w:rPr>
            <w:rFonts w:ascii="仿宋" w:eastAsia="仿宋" w:hAnsi="仿宋" w:cs="仿宋" w:hint="eastAsia"/>
            <w:lang w:eastAsia="zh-CN"/>
          </w:rPr>
          <w:t>(四)、消费习惯对内墙涂料选址的影响</w:t>
        </w:r>
        <w:r>
          <w:tab/>
        </w:r>
        <w:r>
          <w:fldChar w:fldCharType="begin"/>
        </w:r>
        <w:r>
          <w:instrText xml:space="preserve"> PAGEREF _Toc28119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4" w:history="1">
        <w:r>
          <w:rPr>
            <w:rFonts w:ascii="仿宋" w:eastAsia="仿宋" w:hAnsi="仿宋" w:cs="仿宋" w:hint="eastAsia"/>
            <w:lang w:eastAsia="zh-CN"/>
          </w:rPr>
          <w:t>(五)、内墙涂料项目选址原则</w:t>
        </w:r>
        <w:r>
          <w:tab/>
        </w:r>
        <w:r>
          <w:fldChar w:fldCharType="begin"/>
        </w:r>
        <w:r>
          <w:instrText xml:space="preserve"> PAGEREF _Toc17494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2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_Toc26882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7" w:history="1">
        <w:r>
          <w:rPr>
            <w:rFonts w:ascii="仿宋" w:eastAsia="仿宋" w:hAnsi="仿宋" w:cs="仿宋" w:hint="eastAsia"/>
            <w:lang w:eastAsia="zh-CN"/>
          </w:rPr>
          <w:t>(七)、内墙涂料项目选址综合评价</w:t>
        </w:r>
        <w:r>
          <w:tab/>
        </w:r>
        <w:r>
          <w:fldChar w:fldCharType="begin"/>
        </w:r>
        <w:r>
          <w:instrText xml:space="preserve"> PAGEREF _Toc10867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80" w:history="1">
        <w:r>
          <w:rPr>
            <w:rFonts w:ascii="仿宋" w:eastAsia="仿宋" w:hAnsi="仿宋" w:cs="仿宋" w:hint="eastAsia"/>
            <w:lang w:eastAsia="zh-CN"/>
          </w:rPr>
          <w:t>七、风险风险及应对措施</w:t>
        </w:r>
        <w:r>
          <w:tab/>
        </w:r>
        <w:r>
          <w:fldChar w:fldCharType="begin"/>
        </w:r>
        <w:r>
          <w:instrText xml:space="preserve"> PAGEREF _Toc8180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0" w:history="1">
        <w:r>
          <w:rPr>
            <w:rFonts w:ascii="仿宋" w:eastAsia="仿宋" w:hAnsi="仿宋" w:cs="仿宋" w:hint="eastAsia"/>
            <w:lang w:eastAsia="zh-CN"/>
          </w:rPr>
          <w:t>(一)、内墙涂料项目风险分析</w:t>
        </w:r>
        <w:r>
          <w:tab/>
        </w:r>
        <w:r>
          <w:fldChar w:fldCharType="begin"/>
        </w:r>
        <w:r>
          <w:instrText xml:space="preserve"> PAGEREF _Toc31080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7" w:history="1">
        <w:r>
          <w:rPr>
            <w:rFonts w:ascii="仿宋" w:eastAsia="仿宋" w:hAnsi="仿宋" w:cs="仿宋" w:hint="eastAsia"/>
            <w:lang w:eastAsia="zh-CN"/>
          </w:rPr>
          <w:t>(二)、内墙涂料项目风险对策</w:t>
        </w:r>
        <w:r>
          <w:tab/>
        </w:r>
        <w:r>
          <w:fldChar w:fldCharType="begin"/>
        </w:r>
        <w:r>
          <w:instrText xml:space="preserve"> PAGEREF _Toc18647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157" w:history="1">
        <w:r>
          <w:rPr>
            <w:rFonts w:ascii="仿宋" w:eastAsia="仿宋" w:hAnsi="仿宋" w:cs="仿宋" w:hint="eastAsia"/>
            <w:lang w:eastAsia="zh-CN"/>
          </w:rPr>
          <w:t>八、内墙涂料市场营销策略</w:t>
        </w:r>
        <w:r>
          <w:tab/>
        </w:r>
        <w:r>
          <w:fldChar w:fldCharType="begin"/>
        </w:r>
        <w:r>
          <w:instrText xml:space="preserve"> PAGEREF _Toc27157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8" w:history="1">
        <w:r>
          <w:rPr>
            <w:rFonts w:ascii="仿宋" w:eastAsia="仿宋" w:hAnsi="仿宋" w:cs="仿宋" w:hint="eastAsia"/>
            <w:lang w:eastAsia="zh-CN"/>
          </w:rPr>
          <w:t>(一)、内墙涂料市场营销总体思路</w:t>
        </w:r>
        <w:r>
          <w:tab/>
        </w:r>
        <w:r>
          <w:fldChar w:fldCharType="begin"/>
        </w:r>
        <w:r>
          <w:instrText xml:space="preserve"> PAGEREF _Toc12008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07" w:history="1">
        <w:r>
          <w:rPr>
            <w:rFonts w:ascii="仿宋" w:eastAsia="仿宋" w:hAnsi="仿宋" w:cs="仿宋" w:hint="eastAsia"/>
            <w:lang w:eastAsia="zh-CN"/>
          </w:rPr>
          <w:t>(二)、内墙涂料市场地位与竞争战略</w:t>
        </w:r>
        <w:r>
          <w:tab/>
        </w:r>
        <w:r>
          <w:fldChar w:fldCharType="begin"/>
        </w:r>
        <w:r>
          <w:instrText xml:space="preserve"> PAGEREF _Toc8507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4" w:history="1">
        <w:r>
          <w:rPr>
            <w:rFonts w:ascii="仿宋" w:eastAsia="仿宋" w:hAnsi="仿宋" w:cs="仿宋" w:hint="eastAsia"/>
            <w:lang w:eastAsia="zh-CN"/>
          </w:rPr>
          <w:t>(三)、内墙涂料消费者市场分析</w:t>
        </w:r>
        <w:r>
          <w:tab/>
        </w:r>
        <w:r>
          <w:fldChar w:fldCharType="begin"/>
        </w:r>
        <w:r>
          <w:instrText xml:space="preserve"> PAGEREF _Toc6284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9" w:history="1">
        <w:r>
          <w:rPr>
            <w:rFonts w:ascii="仿宋" w:eastAsia="仿宋" w:hAnsi="仿宋" w:cs="仿宋" w:hint="eastAsia"/>
            <w:lang w:eastAsia="zh-CN"/>
          </w:rPr>
          <w:t>(四)、内墙涂料组织市场分析</w:t>
        </w:r>
        <w:r>
          <w:tab/>
        </w:r>
        <w:r>
          <w:fldChar w:fldCharType="begin"/>
        </w:r>
        <w:r>
          <w:instrText xml:space="preserve"> PAGEREF _Toc21929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3" w:history="1">
        <w:r>
          <w:rPr>
            <w:rFonts w:ascii="仿宋" w:eastAsia="仿宋" w:hAnsi="仿宋" w:cs="仿宋" w:hint="eastAsia"/>
            <w:lang w:eastAsia="zh-CN"/>
          </w:rPr>
          <w:t>(五)、内墙涂料促销策略</w:t>
        </w:r>
        <w:r>
          <w:tab/>
        </w:r>
        <w:r>
          <w:fldChar w:fldCharType="begin"/>
        </w:r>
        <w:r>
          <w:instrText xml:space="preserve"> PAGEREF _Toc19283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0" w:history="1">
        <w:r>
          <w:rPr>
            <w:rFonts w:ascii="仿宋" w:eastAsia="仿宋" w:hAnsi="仿宋" w:cs="仿宋" w:hint="eastAsia"/>
            <w:lang w:eastAsia="zh-CN"/>
          </w:rPr>
          <w:t>(六)、内墙涂料品牌策略</w:t>
        </w:r>
        <w:r>
          <w:tab/>
        </w:r>
        <w:r>
          <w:fldChar w:fldCharType="begin"/>
        </w:r>
        <w:r>
          <w:instrText xml:space="preserve"> PAGEREF _Toc24770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" w:history="1">
        <w:r>
          <w:rPr>
            <w:rFonts w:ascii="仿宋" w:eastAsia="仿宋" w:hAnsi="仿宋" w:cs="仿宋" w:hint="eastAsia"/>
            <w:lang w:eastAsia="zh-CN"/>
          </w:rPr>
          <w:t>(七)、内墙涂料整合营销</w:t>
        </w:r>
        <w:r>
          <w:tab/>
        </w:r>
        <w:r>
          <w:fldChar w:fldCharType="begin"/>
        </w:r>
        <w:r>
          <w:instrText xml:space="preserve"> PAGEREF _Toc1244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82" w:history="1">
        <w:r>
          <w:rPr>
            <w:rFonts w:ascii="仿宋" w:eastAsia="仿宋" w:hAnsi="仿宋" w:cs="仿宋" w:hint="eastAsia"/>
            <w:lang w:eastAsia="zh-CN"/>
          </w:rPr>
          <w:t>九、投资方案</w:t>
        </w:r>
        <w:r>
          <w:tab/>
        </w:r>
        <w:r>
          <w:fldChar w:fldCharType="begin"/>
        </w:r>
        <w:r>
          <w:instrText xml:space="preserve"> PAGEREF _Toc21582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4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_Toc14314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3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_Toc18353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_Toc5944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_Toc24575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7" w:history="1">
        <w:r>
          <w:rPr>
            <w:rFonts w:ascii="仿宋" w:eastAsia="仿宋" w:hAnsi="仿宋" w:cs="仿宋" w:hint="eastAsia"/>
            <w:lang w:eastAsia="zh-CN"/>
          </w:rPr>
          <w:t>(五)、内墙涂料项目总投资</w:t>
        </w:r>
        <w:r>
          <w:tab/>
        </w:r>
        <w:r>
          <w:fldChar w:fldCharType="begin"/>
        </w:r>
        <w:r>
          <w:instrText xml:space="preserve"> PAGEREF _Toc967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_Toc29061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75" w:history="1">
        <w:r>
          <w:rPr>
            <w:rFonts w:ascii="仿宋" w:eastAsia="仿宋" w:hAnsi="仿宋" w:cs="仿宋" w:hint="eastAsia"/>
            <w:lang w:eastAsia="zh-CN"/>
          </w:rPr>
          <w:t>十、组织架构分析</w:t>
        </w:r>
        <w:r>
          <w:tab/>
        </w:r>
        <w:r>
          <w:fldChar w:fldCharType="begin"/>
        </w:r>
        <w:r>
          <w:instrText xml:space="preserve"> PAGEREF _Toc25275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4" w:history="1">
        <w:r>
          <w:rPr>
            <w:rFonts w:ascii="仿宋" w:eastAsia="仿宋" w:hAnsi="仿宋" w:cs="仿宋" w:hint="eastAsia"/>
            <w:lang w:eastAsia="zh-CN"/>
          </w:rPr>
          <w:t>(一)、人力资源配</w:t>
        </w:r>
        <w:r>
          <w:tab/>
        </w:r>
        <w:r>
          <w:fldChar w:fldCharType="begin"/>
        </w:r>
        <w:r>
          <w:instrText xml:space="preserve"> PAGEREF _Toc20154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1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_Toc16131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76" w:history="1">
        <w:r>
          <w:rPr>
            <w:rFonts w:ascii="仿宋" w:eastAsia="仿宋" w:hAnsi="仿宋" w:cs="仿宋" w:hint="eastAsia"/>
            <w:lang w:eastAsia="zh-CN"/>
          </w:rPr>
          <w:t>十一、内墙涂料质量管理方案</w:t>
        </w:r>
        <w:r>
          <w:tab/>
        </w:r>
        <w:r>
          <w:fldChar w:fldCharType="begin"/>
        </w:r>
        <w:r>
          <w:instrText xml:space="preserve"> PAGEREF _Toc14276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6" w:history="1">
        <w:r>
          <w:rPr>
            <w:rFonts w:ascii="仿宋" w:eastAsia="仿宋" w:hAnsi="仿宋" w:cs="仿宋" w:hint="eastAsia"/>
            <w:lang w:eastAsia="zh-CN"/>
          </w:rPr>
          <w:t>(一)、内墙涂料全面质量管理方案</w:t>
        </w:r>
        <w:r>
          <w:tab/>
        </w:r>
        <w:r>
          <w:fldChar w:fldCharType="begin"/>
        </w:r>
        <w:r>
          <w:instrText xml:space="preserve"> PAGEREF _Toc32096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0" w:history="1">
        <w:r>
          <w:rPr>
            <w:rFonts w:ascii="仿宋" w:eastAsia="仿宋" w:hAnsi="仿宋" w:cs="仿宋" w:hint="eastAsia"/>
            <w:lang w:eastAsia="zh-CN"/>
          </w:rPr>
          <w:t>(二)、内墙涂料质量管理要求</w:t>
        </w:r>
        <w:r>
          <w:tab/>
        </w:r>
        <w:r>
          <w:fldChar w:fldCharType="begin"/>
        </w:r>
        <w:r>
          <w:instrText xml:space="preserve"> PAGEREF _Toc14050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3" w:history="1">
        <w:r>
          <w:rPr>
            <w:rFonts w:ascii="仿宋" w:eastAsia="仿宋" w:hAnsi="仿宋" w:cs="仿宋" w:hint="eastAsia"/>
            <w:lang w:eastAsia="zh-CN"/>
          </w:rPr>
          <w:t>(三)、内墙涂料质量成本管理方案</w:t>
        </w:r>
        <w:r>
          <w:tab/>
        </w:r>
        <w:r>
          <w:fldChar w:fldCharType="begin"/>
        </w:r>
        <w:r>
          <w:instrText xml:space="preserve"> PAGEREF _Toc23943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8" w:history="1">
        <w:r>
          <w:rPr>
            <w:rFonts w:ascii="仿宋" w:eastAsia="仿宋" w:hAnsi="仿宋" w:cs="仿宋" w:hint="eastAsia"/>
            <w:lang w:eastAsia="zh-CN"/>
          </w:rPr>
          <w:t>(四)、内墙涂料顾客需求管理方案</w:t>
        </w:r>
        <w:r>
          <w:tab/>
        </w:r>
        <w:r>
          <w:fldChar w:fldCharType="begin"/>
        </w:r>
        <w:r>
          <w:instrText xml:space="preserve"> PAGEREF _Toc22918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15" w:history="1">
        <w:r>
          <w:rPr>
            <w:rFonts w:ascii="仿宋" w:eastAsia="仿宋" w:hAnsi="仿宋" w:cs="仿宋" w:hint="eastAsia"/>
            <w:lang w:eastAsia="zh-CN"/>
          </w:rPr>
          <w:t>十二、内墙涂料人力资源管理方案</w:t>
        </w:r>
        <w:r>
          <w:tab/>
        </w:r>
        <w:r>
          <w:fldChar w:fldCharType="begin"/>
        </w:r>
        <w:r>
          <w:instrText xml:space="preserve"> PAGEREF _Toc6515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11" w:history="1">
        <w:r>
          <w:rPr>
            <w:rFonts w:ascii="仿宋" w:eastAsia="仿宋" w:hAnsi="仿宋" w:cs="仿宋" w:hint="eastAsia"/>
            <w:lang w:eastAsia="zh-CN"/>
          </w:rPr>
          <w:t>(一)、内墙涂料人力资源管理原则</w:t>
        </w:r>
        <w:r>
          <w:tab/>
        </w:r>
        <w:r>
          <w:fldChar w:fldCharType="begin"/>
        </w:r>
        <w:r>
          <w:instrText xml:space="preserve"> PAGEREF _Toc29411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1" w:history="1">
        <w:r>
          <w:rPr>
            <w:rFonts w:ascii="仿宋" w:eastAsia="仿宋" w:hAnsi="仿宋" w:cs="仿宋" w:hint="eastAsia"/>
            <w:lang w:eastAsia="zh-CN"/>
          </w:rPr>
          <w:t>(二)、内墙涂料人力资源组织架构</w:t>
        </w:r>
        <w:r>
          <w:tab/>
        </w:r>
        <w:r>
          <w:fldChar w:fldCharType="begin"/>
        </w:r>
        <w:r>
          <w:instrText xml:space="preserve"> PAGEREF _Toc15391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2" w:history="1">
        <w:r>
          <w:rPr>
            <w:rFonts w:ascii="仿宋" w:eastAsia="仿宋" w:hAnsi="仿宋" w:cs="仿宋" w:hint="eastAsia"/>
            <w:lang w:eastAsia="zh-CN"/>
          </w:rPr>
          <w:t>(三)、内墙涂料人力资源培训与开发方案</w:t>
        </w:r>
        <w:r>
          <w:tab/>
        </w:r>
        <w:r>
          <w:fldChar w:fldCharType="begin"/>
        </w:r>
        <w:r>
          <w:instrText xml:space="preserve"> PAGEREF _Toc15412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7" w:history="1">
        <w:r>
          <w:rPr>
            <w:rFonts w:ascii="仿宋" w:eastAsia="仿宋" w:hAnsi="仿宋" w:cs="仿宋" w:hint="eastAsia"/>
            <w:lang w:eastAsia="zh-CN"/>
          </w:rPr>
          <w:t>(四)、内墙涂料人员配置方案</w:t>
        </w:r>
        <w:r>
          <w:tab/>
        </w:r>
        <w:r>
          <w:fldChar w:fldCharType="begin"/>
        </w:r>
        <w:r>
          <w:instrText xml:space="preserve"> PAGEREF _Toc21317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" w:history="1">
        <w:r>
          <w:rPr>
            <w:rFonts w:ascii="仿宋" w:eastAsia="仿宋" w:hAnsi="仿宋" w:cs="仿宋" w:hint="eastAsia"/>
            <w:lang w:eastAsia="zh-CN"/>
          </w:rPr>
          <w:t>(五)、内墙涂料绩效和薪酬管理方案</w:t>
        </w:r>
        <w:r>
          <w:tab/>
        </w:r>
        <w:r>
          <w:fldChar w:fldCharType="begin"/>
        </w:r>
        <w:r>
          <w:instrText xml:space="preserve"> PAGEREF _Toc2068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7" w:history="1">
        <w:r>
          <w:rPr>
            <w:rFonts w:ascii="仿宋" w:eastAsia="仿宋" w:hAnsi="仿宋" w:cs="仿宋" w:hint="eastAsia"/>
            <w:lang w:eastAsia="zh-CN"/>
          </w:rPr>
          <w:t>(六)、内墙涂料员工福利管理方案</w:t>
        </w:r>
        <w:r>
          <w:tab/>
        </w:r>
        <w:r>
          <w:fldChar w:fldCharType="begin"/>
        </w:r>
        <w:r>
          <w:instrText xml:space="preserve"> PAGEREF _Toc31697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40" w:history="1">
        <w:r>
          <w:rPr>
            <w:rFonts w:ascii="仿宋" w:eastAsia="仿宋" w:hAnsi="仿宋" w:cs="仿宋" w:hint="eastAsia"/>
            <w:lang w:eastAsia="zh-CN"/>
          </w:rPr>
          <w:t>十三、内墙涂料行业背景分析</w:t>
        </w:r>
        <w:r>
          <w:tab/>
        </w:r>
        <w:r>
          <w:fldChar w:fldCharType="begin"/>
        </w:r>
        <w:r>
          <w:instrText xml:space="preserve"> PAGEREF _Toc10640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8" w:history="1">
        <w:r>
          <w:rPr>
            <w:rFonts w:ascii="仿宋" w:eastAsia="仿宋" w:hAnsi="仿宋" w:cs="仿宋" w:hint="eastAsia"/>
            <w:lang w:eastAsia="zh-CN"/>
          </w:rPr>
          <w:t>(一)、内墙涂料行业创新驱动</w:t>
        </w:r>
        <w:r>
          <w:tab/>
        </w:r>
        <w:r>
          <w:fldChar w:fldCharType="begin"/>
        </w:r>
        <w:r>
          <w:instrText xml:space="preserve"> PAGEREF _Toc1828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1" w:history="1">
        <w:r>
          <w:rPr>
            <w:rFonts w:ascii="仿宋" w:eastAsia="仿宋" w:hAnsi="仿宋" w:cs="仿宋" w:hint="eastAsia"/>
            <w:lang w:eastAsia="zh-CN"/>
          </w:rPr>
          <w:t>(二)、内墙涂料行业发展形势</w:t>
        </w:r>
        <w:r>
          <w:tab/>
        </w:r>
        <w:r>
          <w:fldChar w:fldCharType="begin"/>
        </w:r>
        <w:r>
          <w:instrText xml:space="preserve"> PAGEREF _Toc29921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2" w:history="1">
        <w:r>
          <w:rPr>
            <w:rFonts w:ascii="仿宋" w:eastAsia="仿宋" w:hAnsi="仿宋" w:cs="仿宋" w:hint="eastAsia"/>
            <w:lang w:eastAsia="zh-CN"/>
          </w:rPr>
          <w:t>(三)、内墙涂料行业特征</w:t>
        </w:r>
        <w:r>
          <w:tab/>
        </w:r>
        <w:r>
          <w:fldChar w:fldCharType="begin"/>
        </w:r>
        <w:r>
          <w:instrText xml:space="preserve"> PAGEREF _Toc10092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1" w:history="1">
        <w:r>
          <w:rPr>
            <w:rFonts w:ascii="仿宋" w:eastAsia="仿宋" w:hAnsi="仿宋" w:cs="仿宋" w:hint="eastAsia"/>
            <w:lang w:eastAsia="zh-CN"/>
          </w:rPr>
          <w:t>(四)、内墙涂料行业前景</w:t>
        </w:r>
        <w:r>
          <w:tab/>
        </w:r>
        <w:r>
          <w:fldChar w:fldCharType="begin"/>
        </w:r>
        <w:r>
          <w:instrText xml:space="preserve"> PAGEREF _Toc12021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90" w:history="1">
        <w:r>
          <w:rPr>
            <w:rFonts w:ascii="仿宋" w:eastAsia="仿宋" w:hAnsi="仿宋" w:cs="仿宋" w:hint="eastAsia"/>
            <w:lang w:eastAsia="zh-CN"/>
          </w:rPr>
          <w:t>十四、环保分析</w:t>
        </w:r>
        <w:r>
          <w:tab/>
        </w:r>
        <w:r>
          <w:fldChar w:fldCharType="begin"/>
        </w:r>
        <w:r>
          <w:instrText xml:space="preserve"> PAGEREF _Toc17290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_Toc10793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_Toc22371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_Toc480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5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_Toc11157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_Toc13285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_Toc18396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4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_Toc3504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1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_Toc23991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771" w:history="1">
        <w:r>
          <w:rPr>
            <w:rFonts w:ascii="仿宋" w:eastAsia="仿宋" w:hAnsi="仿宋" w:cs="仿宋" w:hint="eastAsia"/>
            <w:lang w:eastAsia="zh-CN"/>
          </w:rPr>
          <w:t>十五、内墙涂料场地规划方案</w:t>
        </w:r>
        <w:r>
          <w:tab/>
        </w:r>
        <w:r>
          <w:fldChar w:fldCharType="begin"/>
        </w:r>
        <w:r>
          <w:instrText xml:space="preserve"> PAGEREF _Toc21771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1" w:history="1">
        <w:r>
          <w:rPr>
            <w:rFonts w:ascii="仿宋" w:eastAsia="仿宋" w:hAnsi="仿宋" w:cs="仿宋" w:hint="eastAsia"/>
            <w:lang w:eastAsia="zh-CN"/>
          </w:rPr>
          <w:t>(一)、内墙涂料场地布局原则</w:t>
        </w:r>
        <w:r>
          <w:tab/>
        </w:r>
        <w:r>
          <w:fldChar w:fldCharType="begin"/>
        </w:r>
        <w:r>
          <w:instrText xml:space="preserve"> PAGEREF _Toc5381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4" w:history="1">
        <w:r>
          <w:rPr>
            <w:rFonts w:ascii="仿宋" w:eastAsia="仿宋" w:hAnsi="仿宋" w:cs="仿宋" w:hint="eastAsia"/>
            <w:lang w:eastAsia="zh-CN"/>
          </w:rPr>
          <w:t>(二)、内墙涂料场地装修设计方案</w:t>
        </w:r>
        <w:r>
          <w:tab/>
        </w:r>
        <w:r>
          <w:fldChar w:fldCharType="begin"/>
        </w:r>
        <w:r>
          <w:instrText xml:space="preserve"> PAGEREF _Toc3754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35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在商业世界中，机遇和挑战并存，项目建议书的目的是为一个全新的企业设定清晰的方向。本建议书旨在描绘一个充满活力和创新的创业项目，专注于解决市场需求和实现可持续的商业成功。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这个建议书将探讨市场环境，竞争力，商业策略和运营计划，以确保我们能够满足客户的期望，开拓市场，管理风险，同时为股东创造价值。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我们的目标是建立一个可信赖的企业，为社会带来积极的变革，为员工提供成长和发展的机会，并为投资者创造回报。我们深信创业的力量，以及创新和执着将推动我们不断前进。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614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037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0773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研究推动产业内墙涂料项目的激励政策，采用补贴、落实相关税费政策等手段，激励产业内墙涂料项目建设。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产业示范内墙涂料项目激励，采用补贴、优先评优等方式鼓励建设单位积极申报产业评价标识、产业示范内墙涂料项目。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338"/>
      <w:r>
        <w:rPr>
          <w:rFonts w:ascii="仿宋" w:eastAsia="仿宋" w:hAnsi="仿宋" w:cs="仿宋" w:hint="eastAsia"/>
          <w:sz w:val="28"/>
          <w:lang w:eastAsia="zh-CN"/>
        </w:rPr>
        <w:t>二、建筑工程可行性分析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2480"/>
      <w:r>
        <w:rPr>
          <w:rFonts w:ascii="仿宋" w:eastAsia="仿宋" w:hAnsi="仿宋" w:cs="仿宋" w:hint="eastAsia"/>
          <w:lang w:eastAsia="zh-CN"/>
        </w:rPr>
        <w:t>(一)、内墙涂料项目工程设计总体要求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内墙涂料项目工程设计总体要求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在内墙涂料项目工程设计阶段，我们将遵循以下总体设计原则以确保内墙涂料项目的高效、经济、实用和美观：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6986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内墙涂料项目背景和概述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本内墙涂料项目旨在建设一个现代化、智能化的内墙涂料生产基地，以满足不断增长的市场需求。该基地将专注于XX领域，通过整合先进的技术和创新的管理模式，提供高质量、高效率的内墙涂料。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构建具有高效生产能力的现代化内墙涂料生产基地，年产能达到XX。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内墙涂料项目实施进度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内墙涂料项目实施分为规划设计、设备采购、施工建设、调试运营等多个阶段，预计总体完成周期为XX年。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https://d.book118.com/237146106123006024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内墙涂料相关行业创业项目建议书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B7FD6"/>
    <w:rsid w:val="6E6B7FD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237146106123006024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2023-10-23T04:53:00Z</dcterms:created>
  <dcterms:modified xsi:type="dcterms:W3CDTF">2023-10-23T04:55:11Z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3B5D7D61071B457B9FF166FC5C3BAC47_11</vt:lpwstr>
  </property>
  <property fmtid="{D5CDD505-2E9C-101B-9397-08002B2CF9AE}" pid="3" name="KSOProductBuildVer">
    <vt:lpwstr>2052-12.1.0.15712</vt:lpwstr>
  </property>
</Properties>
</file>