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600" w:lineRule="exact"/>
        <w:jc w:val="center"/>
        <w:rPr>
          <w:rFonts w:ascii="方正小标宋简体" w:eastAsia="方正小标宋简体" w:hint="eastAsia"/>
          <w:sz w:val="44"/>
          <w:szCs w:val="44"/>
        </w:rPr>
      </w:pPr>
      <w:r>
        <w:rPr>
          <w:rFonts w:ascii="方正小标宋简体" w:eastAsia="方正小标宋简体" w:hint="eastAsia"/>
          <w:sz w:val="44"/>
          <w:szCs w:val="44"/>
        </w:rPr>
        <w:t>省基本公共卫生服务项目绩效考核</w:t>
      </w:r>
    </w:p>
    <w:p>
      <w:pPr>
        <w:spacing w:line="600" w:lineRule="exact"/>
        <w:jc w:val="center"/>
        <w:rPr>
          <w:rFonts w:ascii="方正小标宋简体" w:eastAsia="方正小标宋简体" w:hint="eastAsia"/>
          <w:sz w:val="44"/>
          <w:szCs w:val="44"/>
        </w:rPr>
      </w:pPr>
      <w:r>
        <w:rPr>
          <w:rFonts w:ascii="方正小标宋简体" w:eastAsia="方正小标宋简体" w:hint="eastAsia"/>
          <w:sz w:val="44"/>
          <w:szCs w:val="44"/>
        </w:rPr>
        <w:t>迎检工作方案</w:t>
      </w:r>
    </w:p>
    <w:p>
      <w:pPr>
        <w:rPr>
          <w:rFonts w:hint="eastAsia"/>
          <w:sz w:val="44"/>
          <w:szCs w:val="44"/>
        </w:rPr>
      </w:pPr>
    </w:p>
    <w:p>
      <w:pPr>
        <w:spacing w:line="600" w:lineRule="exact"/>
        <w:ind w:firstLine="640" w:firstLineChars="200"/>
        <w:rPr>
          <w:rFonts w:eastAsia="仿宋_GB2312" w:hint="eastAsia"/>
          <w:sz w:val="32"/>
          <w:szCs w:val="32"/>
        </w:rPr>
      </w:pPr>
      <w:r>
        <w:rPr>
          <w:rFonts w:eastAsia="仿宋_GB2312" w:hint="eastAsia"/>
          <w:sz w:val="32"/>
          <w:szCs w:val="32"/>
        </w:rPr>
        <w:t>近期，省卫计委和财政厅</w:t>
      </w:r>
      <w:r>
        <w:rPr>
          <w:rFonts w:eastAsia="仿宋_GB2312"/>
          <w:sz w:val="32"/>
          <w:szCs w:val="32"/>
        </w:rPr>
        <w:t>将</w:t>
      </w:r>
      <w:r>
        <w:rPr>
          <w:rFonts w:eastAsia="仿宋_GB2312" w:hint="eastAsia"/>
          <w:sz w:val="32"/>
          <w:szCs w:val="32"/>
        </w:rPr>
        <w:t>组织开展</w:t>
      </w:r>
      <w:r>
        <w:rPr>
          <w:rFonts w:eastAsia="仿宋_GB2312"/>
          <w:sz w:val="32"/>
          <w:szCs w:val="32"/>
        </w:rPr>
        <w:t>2014年</w:t>
      </w:r>
      <w:r>
        <w:rPr>
          <w:rFonts w:eastAsia="仿宋_GB2312" w:hint="eastAsia"/>
          <w:sz w:val="32"/>
          <w:szCs w:val="32"/>
        </w:rPr>
        <w:t>度</w:t>
      </w:r>
      <w:r>
        <w:rPr>
          <w:rFonts w:eastAsia="仿宋_GB2312"/>
          <w:sz w:val="32"/>
          <w:szCs w:val="32"/>
        </w:rPr>
        <w:t>基本公共卫生服务项目绩效考核，为全面做好各项迎检工作，</w:t>
      </w:r>
      <w:r>
        <w:rPr>
          <w:rFonts w:eastAsia="仿宋_GB2312" w:hint="eastAsia"/>
          <w:sz w:val="32"/>
          <w:szCs w:val="32"/>
        </w:rPr>
        <w:t>确保</w:t>
      </w:r>
      <w:r>
        <w:rPr>
          <w:rFonts w:eastAsia="仿宋_GB2312"/>
          <w:sz w:val="32"/>
          <w:szCs w:val="32"/>
        </w:rPr>
        <w:t>高标准、高质量通过</w:t>
      </w:r>
      <w:r>
        <w:rPr>
          <w:rFonts w:eastAsia="仿宋_GB2312" w:hint="eastAsia"/>
          <w:sz w:val="32"/>
          <w:szCs w:val="32"/>
        </w:rPr>
        <w:t>省级</w:t>
      </w:r>
      <w:r>
        <w:rPr>
          <w:rFonts w:eastAsia="仿宋_GB2312"/>
          <w:sz w:val="32"/>
          <w:szCs w:val="32"/>
        </w:rPr>
        <w:t>考核，</w:t>
      </w:r>
      <w:r>
        <w:rPr>
          <w:rFonts w:ascii="仿宋_GB2312" w:eastAsia="仿宋_GB2312" w:hint="eastAsia"/>
          <w:sz w:val="32"/>
          <w:szCs w:val="32"/>
        </w:rPr>
        <w:t>特制订本方案。</w:t>
      </w:r>
    </w:p>
    <w:p>
      <w:pPr>
        <w:numPr>
          <w:ilvl w:val="0"/>
          <w:numId w:val="1"/>
        </w:numPr>
        <w:tabs>
          <w:tab w:val="left" w:pos="1360"/>
        </w:tabs>
        <w:spacing w:line="600" w:lineRule="exact"/>
        <w:rPr>
          <w:rFonts w:ascii="黑体" w:eastAsia="黑体" w:hAnsi="黑体" w:hint="eastAsia"/>
          <w:sz w:val="32"/>
          <w:szCs w:val="32"/>
        </w:rPr>
      </w:pPr>
      <w:r>
        <w:rPr>
          <w:rFonts w:ascii="黑体" w:eastAsia="黑体" w:hAnsi="黑体" w:hint="eastAsia"/>
          <w:sz w:val="32"/>
          <w:szCs w:val="32"/>
        </w:rPr>
        <w:t>目标要求</w:t>
      </w:r>
    </w:p>
    <w:p>
      <w:pPr>
        <w:snapToGrid w:val="0"/>
        <w:spacing w:line="600" w:lineRule="exact"/>
        <w:ind w:firstLine="645"/>
        <w:rPr>
          <w:rFonts w:ascii="仿宋_GB2312" w:eastAsia="仿宋_GB2312" w:hint="eastAsia"/>
          <w:sz w:val="32"/>
          <w:szCs w:val="32"/>
        </w:rPr>
      </w:pPr>
      <w:r>
        <w:rPr>
          <w:rFonts w:ascii="仿宋_GB2312" w:eastAsia="仿宋_GB2312" w:hint="eastAsia"/>
          <w:sz w:val="32"/>
          <w:szCs w:val="32"/>
        </w:rPr>
        <w:t>各区镇严格按照《2014年度基本公共卫生服务项目省级绩效考核指标体系》要求，在组织管理、资金管理、项目执行和项目工作创新等五个方面下功夫，努力争取在本次省基本公共卫生服务项目绩效考核中取得优异的成绩，做到优势项目</w:t>
      </w:r>
      <w:r>
        <w:rPr>
          <w:rFonts w:ascii="仿宋_GB2312" w:eastAsia="仿宋_GB2312"/>
          <w:sz w:val="32"/>
          <w:szCs w:val="32"/>
        </w:rPr>
        <w:t>得</w:t>
      </w:r>
      <w:r>
        <w:rPr>
          <w:rFonts w:ascii="仿宋_GB2312" w:eastAsia="仿宋_GB2312" w:hint="eastAsia"/>
          <w:sz w:val="32"/>
          <w:szCs w:val="32"/>
        </w:rPr>
        <w:t>满</w:t>
      </w:r>
      <w:r>
        <w:rPr>
          <w:rFonts w:ascii="仿宋_GB2312" w:eastAsia="仿宋_GB2312"/>
          <w:sz w:val="32"/>
          <w:szCs w:val="32"/>
        </w:rPr>
        <w:t>分</w:t>
      </w:r>
      <w:r>
        <w:rPr>
          <w:rFonts w:ascii="仿宋_GB2312" w:eastAsia="仿宋_GB2312" w:hint="eastAsia"/>
          <w:sz w:val="32"/>
          <w:szCs w:val="32"/>
        </w:rPr>
        <w:t>、薄弱项目少失</w:t>
      </w:r>
      <w:r>
        <w:rPr>
          <w:rFonts w:ascii="仿宋_GB2312" w:eastAsia="仿宋_GB2312"/>
          <w:sz w:val="32"/>
          <w:szCs w:val="32"/>
        </w:rPr>
        <w:t>分</w:t>
      </w:r>
      <w:r>
        <w:rPr>
          <w:rFonts w:ascii="仿宋_GB2312" w:eastAsia="仿宋_GB2312" w:hint="eastAsia"/>
          <w:sz w:val="32"/>
          <w:szCs w:val="32"/>
        </w:rPr>
        <w:t>、创新工作多加分、总体评价得高分。</w:t>
      </w:r>
    </w:p>
    <w:p>
      <w:pPr>
        <w:numPr>
          <w:ilvl w:val="0"/>
          <w:numId w:val="1"/>
        </w:numPr>
        <w:tabs>
          <w:tab w:val="left" w:pos="1360"/>
        </w:tabs>
        <w:spacing w:line="600" w:lineRule="exact"/>
        <w:rPr>
          <w:rFonts w:ascii="黑体" w:eastAsia="黑体" w:hAnsi="黑体" w:hint="eastAsia"/>
          <w:sz w:val="32"/>
          <w:szCs w:val="32"/>
        </w:rPr>
      </w:pPr>
      <w:r>
        <w:rPr>
          <w:rFonts w:ascii="黑体" w:eastAsia="黑体" w:hAnsi="黑体" w:hint="eastAsia"/>
          <w:sz w:val="32"/>
          <w:szCs w:val="32"/>
        </w:rPr>
        <w:t>职责分工</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委基公办：负责制定迎检工作方案、接待方案，召开全市迎检工作会议，做好汇报材料撰写，市级资料准备和迎检工作督查等工作。</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委规划财务科：负责项目资金管理考核迎检工作，包括迎检培训、市级资金管理资料准备、区镇现场指导等。</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委医政科教科：负责中医药健康管理项目迎检工作，包括迎检培训、市级中医药资料准备、区镇现场指导等。</w:t>
      </w:r>
    </w:p>
    <w:p>
      <w:pPr>
        <w:spacing w:line="600" w:lineRule="exact"/>
        <w:ind w:firstLine="640" w:firstLineChars="200"/>
        <w:rPr>
          <w:rFonts w:ascii="仿宋_GB2312" w:eastAsia="仿宋_GB2312" w:hint="eastAsia"/>
          <w:sz w:val="32"/>
          <w:szCs w:val="32"/>
        </w:rPr>
        <w:sectPr>
          <w:headerReference w:type="even" r:id="rId4"/>
          <w:headerReference w:type="default" r:id="rId5"/>
          <w:footerReference w:type="even" r:id="rId6"/>
          <w:footerReference w:type="default" r:id="rId7"/>
          <w:headerReference w:type="first" r:id="rId8"/>
          <w:footerReference w:type="first" r:id="rId9"/>
          <w:pgSz w:w="11906" w:h="16838"/>
          <w:pgMar w:top="2098" w:right="1361" w:bottom="1418" w:left="1588" w:header="851" w:footer="992" w:gutter="0"/>
          <w:cols w:space="708"/>
          <w:docGrid w:type="lines" w:linePitch="312"/>
        </w:sectPr>
      </w:pP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委信息科：负责信息系统建设相关迎检准备工作，包括信息系统建设相关迎检资料准备、现场信息系统功能介绍展示、区镇现场指导等。</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市社管中心：负责组织相关专业公共卫生机构开展迎检工作现场督导和模拟考核评估等工作，指导各社区卫生服务中心落实好迎检现场准备工作。</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市卫监所：负责卫生监督协管项目考核迎检工作，包括迎检培训、市级资料准备、区镇现场指导等。</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市疾控中心：负责居民健康档案管理、高血压、糖尿病患者管理、传染病报告及突发事件应急处置、预防接种、老年人中医药健康管理等相关项目的考核迎检工作，包括迎检培训、市级资料准备、区镇现场指导等。</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市妇保所：负责孕产妇保健、儿童保健、儿童中医药健康管理等相关项目考核迎检工作，包括迎检培训、市级资料准备、区镇现场指导等。</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市健康促进中心：负责健康教育、居民知晓率、居民和医务人员满意度等方面的考核迎检工作，包括迎检培训、市级资料准备、区镇现场指导等。</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市精神卫生中心：负责重性精神疾病患者管理项目的考核迎检工作，包括迎检培训、市级资料准备、区镇现场指导等。</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各区镇预防保健所：全面负责本区镇基本公共卫生服务项目考核迎检工作，包括镇级台账资料、现场、医务人员访谈和居民知晓率、满意度调查等各项准备工作。</w:t>
      </w:r>
    </w:p>
    <w:p>
      <w:pPr>
        <w:spacing w:line="600" w:lineRule="exact"/>
        <w:ind w:firstLine="640" w:firstLineChars="200"/>
        <w:rPr>
          <w:rFonts w:ascii="仿宋_GB2312" w:eastAsia="仿宋_GB2312" w:hint="eastAsia"/>
          <w:sz w:val="32"/>
          <w:szCs w:val="32"/>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2098" w:right="1361" w:bottom="1418" w:left="1588" w:header="851" w:footer="992" w:gutter="0"/>
          <w:pgNumType w:start="2"/>
          <w:cols w:space="708"/>
          <w:titlePg w:val="0"/>
          <w:docGrid w:type="lines" w:linePitch="312"/>
        </w:sectPr>
      </w:pP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社区卫生服务中心（站）：负责本辖区内的基本公共卫生服务项目考核迎检工作，包括中心（站）台账资料、现场、居民知晓率，居民和医务人员满意度等各项准备工作。</w:t>
      </w:r>
    </w:p>
    <w:p>
      <w:pPr>
        <w:numPr>
          <w:ilvl w:val="0"/>
          <w:numId w:val="1"/>
        </w:numPr>
        <w:tabs>
          <w:tab w:val="left" w:pos="1360"/>
        </w:tabs>
        <w:spacing w:line="600" w:lineRule="exact"/>
        <w:rPr>
          <w:rFonts w:ascii="黑体" w:eastAsia="黑体" w:hAnsi="黑体" w:hint="eastAsia"/>
          <w:sz w:val="32"/>
          <w:szCs w:val="32"/>
        </w:rPr>
      </w:pPr>
      <w:r>
        <w:rPr>
          <w:rFonts w:ascii="黑体" w:eastAsia="黑体" w:hAnsi="黑体" w:hint="eastAsia"/>
          <w:sz w:val="32"/>
          <w:szCs w:val="32"/>
        </w:rPr>
        <w:t>时间安排</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迎检时间：2015年6月8日-6月18日。具体时间安排如下：</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1. 迎检准备阶段（6月8日）：委基公办制定下发迎检工作方案，召开全市迎检工作会议。</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2. 组织培训阶段（6月9日-10日）：各区镇制定迎检工作方案（6月10日之前报市基公办），召开迎检工作会议，成立专门工作组，排出主要任务分解表。委规划财务科、委医政科教科、委信息科和各市级公共卫生机构组织开展迎检工作条线培训。委基公办组织开展台账资料会审工作。</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3. 现场指导阶段（6月11日-14日）：各区镇全面开展各项迎检查准备工作。委规划财务科、委医政科教科、委信息科和各市级公共卫生机构对各区镇开展现场指导，帮助相关区镇补短、补软、补缺。</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4. 督查模考阶段（6月15日-16日）：委基公办组织相关人员对照省考标准（见附件1）对各社区卫生服务中心开展模拟考评，进一步查找问题，督促相关单位及时整改到位。</w:t>
      </w:r>
    </w:p>
    <w:p>
      <w:pPr>
        <w:spacing w:line="600" w:lineRule="exact"/>
        <w:ind w:firstLine="640" w:firstLineChars="200"/>
        <w:rPr>
          <w:rFonts w:ascii="仿宋_GB2312" w:eastAsia="仿宋_GB2312" w:hint="eastAsia"/>
          <w:sz w:val="32"/>
          <w:szCs w:val="32"/>
        </w:rPr>
      </w:pPr>
      <w:r>
        <w:rPr>
          <w:rFonts w:ascii="仿宋_GB2312" w:eastAsia="仿宋_GB2312" w:hint="eastAsia"/>
          <w:sz w:val="32"/>
          <w:szCs w:val="32"/>
        </w:rPr>
        <w:t>5. 省级考核阶段（6月中下旬，具体时间和安排另行通知）：各社区卫生服务中心全面完成各项准备工作。委基公办根据省考核组行程安排，制定下发迎检通知和接待方案。</w:t>
      </w:r>
    </w:p>
    <w:p>
      <w:pPr>
        <w:numPr>
          <w:ilvl w:val="0"/>
          <w:numId w:val="1"/>
        </w:numPr>
        <w:tabs>
          <w:tab w:val="left" w:pos="1360"/>
        </w:tabs>
        <w:spacing w:line="600" w:lineRule="exact"/>
        <w:rPr>
          <w:rFonts w:ascii="黑体" w:eastAsia="黑体" w:hAnsi="黑体" w:hint="eastAsia"/>
          <w:sz w:val="32"/>
          <w:szCs w:val="32"/>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2098" w:right="1361" w:bottom="1418" w:left="1588" w:header="851" w:footer="992" w:gutter="0"/>
          <w:pgNumType w:start="3"/>
          <w:cols w:space="708"/>
          <w:titlePg w:val="0"/>
          <w:docGrid w:type="lines" w:linePitch="312"/>
        </w:sectPr>
      </w:pPr>
      <w:r>
        <w:rPr>
          <w:rFonts w:ascii="黑体" w:eastAsia="黑体" w:hAnsi="黑体" w:hint="eastAsia"/>
          <w:sz w:val="32"/>
          <w:szCs w:val="32"/>
        </w:rPr>
        <w:t>工作要求</w:t>
      </w:r>
    </w:p>
    <w:p>
      <w:pPr>
        <w:adjustRightInd w:val="0"/>
        <w:snapToGrid w:val="0"/>
        <w:spacing w:line="600" w:lineRule="exact"/>
        <w:ind w:firstLine="640" w:firstLineChars="200"/>
        <w:rPr>
          <w:rFonts w:ascii="仿宋_GB2312" w:eastAsia="仿宋_GB2312" w:hint="eastAsia"/>
          <w:sz w:val="32"/>
          <w:szCs w:val="32"/>
        </w:rPr>
      </w:pPr>
      <w:r>
        <w:rPr>
          <w:rFonts w:ascii="楷体_GB2312" w:eastAsia="楷体_GB2312" w:hAnsi="楷体" w:hint="eastAsia"/>
          <w:b/>
          <w:sz w:val="32"/>
          <w:szCs w:val="32"/>
        </w:rPr>
        <w:t>1.加强组织领导。</w:t>
      </w:r>
      <w:r>
        <w:rPr>
          <w:rFonts w:ascii="仿宋_GB2312" w:eastAsia="仿宋_GB2312" w:hint="eastAsia"/>
          <w:sz w:val="32"/>
          <w:szCs w:val="32"/>
        </w:rPr>
        <w:t>各单位要高度重视本次考核迎检工作，要将本次省考迎检工作作为当前一项重要工作，摆上突出位置，主要负责人要亲自挂帅，集中力量、集中精力、集中智慧，以省基本公共卫生服务项目绩效考核指标体系为重点，全面做好各项迎检准备工作。各市级公共卫生机构要成立迎检工作班子，制定迎检工作方案，落实迎检工作人员，明确条线迎检细则和要点，深入各区镇开展现场指导，对薄弱区镇实行蹲点指导，帮助各区镇落实好各项迎检措施。各区镇预防保健所也要成立迎检工作班子，制定迎检工作方案，严格对照考核标准，督促和指导辖区内的社区卫生服务中心落实好各项迎检措施，逐条逐项落实到位，确保迎检工作取得实效。</w:t>
      </w:r>
    </w:p>
    <w:p>
      <w:pPr>
        <w:spacing w:line="600" w:lineRule="exact"/>
        <w:ind w:firstLine="640" w:firstLineChars="200"/>
        <w:rPr>
          <w:rFonts w:ascii="仿宋_GB2312" w:eastAsia="仿宋_GB2312" w:hint="eastAsia"/>
          <w:sz w:val="32"/>
          <w:szCs w:val="32"/>
        </w:rPr>
      </w:pPr>
      <w:r>
        <w:rPr>
          <w:rFonts w:ascii="楷体_GB2312" w:eastAsia="楷体_GB2312" w:hAnsi="楷体" w:hint="eastAsia"/>
          <w:b/>
          <w:sz w:val="32"/>
          <w:szCs w:val="32"/>
        </w:rPr>
        <w:t>2.落实工作责任。</w:t>
      </w:r>
      <w:r>
        <w:rPr>
          <w:rFonts w:ascii="仿宋_GB2312" w:eastAsia="仿宋_GB2312" w:hint="eastAsia"/>
          <w:sz w:val="32"/>
          <w:szCs w:val="32"/>
        </w:rPr>
        <w:t>委基公办对本次考核迎检工作负总责，统筹全市迎检工作进度。委规划财务科、医政科教科、信息科对资金管理、中医药健康管理、信息化建设等方面迎检工作负总责，要对照考核标准，作出专门部署，指导各区镇落实迎检措施，发现问题及时反馈委基公办。各市级专业公共卫生机构对条线工作负总责，要将具体工作分解到人，落实好相关工作任务和责任。各区镇预防保健所对本辖区基本公共卫生服务项目迎检工作负总责，要做到任务明确、人员明确、责任明确。</w:t>
      </w:r>
    </w:p>
    <w:p>
      <w:pPr>
        <w:spacing w:line="600" w:lineRule="exact"/>
        <w:ind w:firstLine="470" w:firstLineChars="147"/>
        <w:rPr>
          <w:rFonts w:ascii="仿宋_GB2312" w:eastAsia="仿宋_GB2312" w:hint="eastAsia"/>
          <w:sz w:val="32"/>
          <w:szCs w:val="32"/>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2098" w:right="1361" w:bottom="1418" w:left="1588" w:header="851" w:footer="992" w:gutter="0"/>
          <w:pgNumType w:start="4"/>
          <w:cols w:space="708"/>
          <w:titlePg w:val="0"/>
          <w:docGrid w:type="lines" w:linePitch="312"/>
        </w:sectPr>
      </w:pPr>
      <w:r>
        <w:rPr>
          <w:rFonts w:ascii="楷体_GB2312" w:eastAsia="楷体_GB2312" w:hAnsi="楷体" w:hint="eastAsia"/>
          <w:b/>
          <w:sz w:val="32"/>
          <w:szCs w:val="32"/>
        </w:rPr>
        <w:t>3.把握序时进度。</w:t>
      </w:r>
    </w:p>
    <w:p>
      <w:pPr>
        <w:spacing w:line="600" w:lineRule="exact"/>
        <w:ind w:firstLine="470" w:firstLineChars="147"/>
        <w:rPr>
          <w:rFonts w:ascii="仿宋_GB2312" w:eastAsia="仿宋_GB2312" w:hint="eastAsia"/>
          <w:sz w:val="32"/>
          <w:szCs w:val="32"/>
        </w:rPr>
      </w:pPr>
      <w:r>
        <w:rPr>
          <w:rFonts w:ascii="仿宋_GB2312" w:eastAsia="仿宋_GB2312" w:hint="eastAsia"/>
          <w:sz w:val="32"/>
          <w:szCs w:val="32"/>
        </w:rPr>
        <w:t>本次绩效考核迎检工作时间紧、任务重、要求高，因此，各单位要按照委迎检工作安排，严格把握时间进度，认真落实各项迎检措施，及时发现问题和整改存在的不足，原则上6月15日之前各项工作基本到位,并做到数据上下一致，符合逻辑。</w:t>
      </w:r>
    </w:p>
    <w:p>
      <w:pPr>
        <w:spacing w:line="600" w:lineRule="exact"/>
        <w:ind w:firstLine="470" w:firstLineChars="147"/>
        <w:rPr>
          <w:rFonts w:ascii="仿宋_GB2312" w:eastAsia="仿宋_GB2312" w:hint="eastAsia"/>
          <w:sz w:val="32"/>
          <w:szCs w:val="32"/>
        </w:rPr>
      </w:pPr>
    </w:p>
    <w:p>
      <w:pPr>
        <w:snapToGrid w:val="0"/>
        <w:spacing w:line="600" w:lineRule="exact"/>
        <w:ind w:firstLine="645"/>
        <w:rPr>
          <w:rFonts w:ascii="仿宋_GB2312" w:eastAsia="仿宋_GB2312"/>
          <w:sz w:val="32"/>
          <w:szCs w:val="32"/>
        </w:rPr>
      </w:pPr>
      <w:r>
        <w:rPr>
          <w:rFonts w:ascii="仿宋_GB2312" w:eastAsia="仿宋_GB2312" w:hint="eastAsia"/>
          <w:sz w:val="32"/>
          <w:szCs w:val="32"/>
        </w:rPr>
        <w:t>附件： 1. 2014年度基本公共卫生服务项目省级绩效考核指标体系</w:t>
      </w:r>
    </w:p>
    <w:p>
      <w:pPr>
        <w:snapToGrid w:val="0"/>
        <w:spacing w:line="600" w:lineRule="exact"/>
        <w:ind w:firstLine="645"/>
        <w:rPr>
          <w:rFonts w:ascii="仿宋_GB2312" w:eastAsia="仿宋_GB2312" w:hint="eastAsia"/>
          <w:sz w:val="32"/>
          <w:szCs w:val="32"/>
        </w:rPr>
      </w:pPr>
      <w:r>
        <w:rPr>
          <w:rFonts w:ascii="仿宋_GB2312" w:eastAsia="仿宋_GB2312" w:hint="eastAsia"/>
          <w:sz w:val="32"/>
          <w:szCs w:val="32"/>
        </w:rPr>
        <w:t>2. 省基本公共卫生服务项目绩效考核迎检工作要点</w:t>
      </w:r>
    </w:p>
    <w:p>
      <w:pPr>
        <w:snapToGrid w:val="0"/>
        <w:spacing w:line="600" w:lineRule="exact"/>
        <w:ind w:firstLine="645"/>
        <w:rPr>
          <w:rFonts w:ascii="仿宋_GB2312" w:eastAsia="仿宋_GB2312" w:hint="eastAsia"/>
          <w:sz w:val="32"/>
          <w:szCs w:val="32"/>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2098" w:right="1361" w:bottom="1418" w:left="1588" w:header="851" w:footer="992" w:gutter="0"/>
          <w:pgNumType w:start="5"/>
          <w:cols w:space="708"/>
          <w:titlePg w:val="0"/>
          <w:docGrid w:type="lines" w:linePitch="312"/>
        </w:sectPr>
      </w:pPr>
      <w:r>
        <w:rPr>
          <w:rFonts w:ascii="仿宋_GB2312" w:eastAsia="仿宋_GB2312" w:hint="eastAsia"/>
          <w:sz w:val="32"/>
          <w:szCs w:val="32"/>
        </w:rPr>
        <w:t xml:space="preserve">3. </w:t>
      </w:r>
      <w:r>
        <w:rPr>
          <w:rFonts w:ascii="仿宋_GB2312" w:eastAsia="仿宋_GB2312"/>
          <w:sz w:val="32"/>
          <w:szCs w:val="32"/>
        </w:rPr>
        <w:t>社区卫生服务中心</w:t>
      </w:r>
      <w:r>
        <w:rPr>
          <w:rFonts w:ascii="仿宋_GB2312" w:eastAsia="仿宋_GB2312" w:hint="eastAsia"/>
          <w:sz w:val="32"/>
          <w:szCs w:val="32"/>
        </w:rPr>
        <w:t>基本公共卫生服务项目</w:t>
      </w:r>
      <w:r>
        <w:rPr>
          <w:rFonts w:ascii="仿宋_GB2312" w:eastAsia="仿宋_GB2312"/>
          <w:sz w:val="32"/>
          <w:szCs w:val="32"/>
        </w:rPr>
        <w:t>台帐</w:t>
      </w:r>
      <w:r>
        <w:rPr>
          <w:rFonts w:ascii="仿宋_GB2312" w:eastAsia="仿宋_GB2312" w:hint="eastAsia"/>
          <w:sz w:val="32"/>
          <w:szCs w:val="32"/>
        </w:rPr>
        <w:t>目录</w:t>
      </w:r>
    </w:p>
    <w:p>
      <w:pPr>
        <w:rPr>
          <w:rFonts w:ascii="仿宋_GB2312" w:eastAsia="仿宋_GB2312" w:hint="eastAsia"/>
          <w:sz w:val="32"/>
          <w:szCs w:val="32"/>
        </w:rPr>
      </w:pPr>
      <w:r>
        <w:rPr>
          <w:rFonts w:ascii="仿宋_GB2312" w:eastAsia="仿宋_GB2312" w:hint="eastAsia"/>
          <w:sz w:val="32"/>
          <w:szCs w:val="32"/>
        </w:rPr>
        <w:t>附件1</w:t>
      </w:r>
    </w:p>
    <w:p>
      <w:pPr>
        <w:ind w:firstLine="1932" w:firstLineChars="439"/>
      </w:pPr>
      <w:r>
        <w:rPr>
          <w:rFonts w:hint="eastAsia"/>
          <w:b/>
          <w:sz w:val="44"/>
          <w:szCs w:val="44"/>
        </w:rPr>
        <w:t>2014年度基本公共卫生服务项目省级绩效考核指标体系</w:t>
      </w: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tblHeader/>
        </w:trPr>
        <w:tc>
          <w:tcPr>
            <w:tcW w:w="1419" w:type="dxa"/>
            <w:vAlign w:val="center"/>
          </w:tcPr>
          <w:p>
            <w:pPr>
              <w:jc w:val="center"/>
              <w:rPr>
                <w:b/>
                <w:szCs w:val="21"/>
              </w:rPr>
            </w:pPr>
            <w:bookmarkStart w:id="0" w:name="_GoBack"/>
            <w:bookmarkEnd w:id="0"/>
            <w:r>
              <w:rPr>
                <w:rFonts w:hint="eastAsia"/>
                <w:b/>
                <w:szCs w:val="21"/>
              </w:rPr>
              <w:t>一级指标</w:t>
            </w:r>
          </w:p>
        </w:tc>
        <w:tc>
          <w:tcPr>
            <w:tcW w:w="1241" w:type="dxa"/>
            <w:vAlign w:val="center"/>
          </w:tcPr>
          <w:p>
            <w:pPr>
              <w:jc w:val="center"/>
              <w:rPr>
                <w:b/>
                <w:szCs w:val="21"/>
              </w:rPr>
            </w:pPr>
            <w:r>
              <w:rPr>
                <w:rFonts w:hint="eastAsia"/>
                <w:b/>
                <w:szCs w:val="21"/>
              </w:rPr>
              <w:t>二级指标</w:t>
            </w:r>
          </w:p>
        </w:tc>
        <w:tc>
          <w:tcPr>
            <w:tcW w:w="1417" w:type="dxa"/>
            <w:vAlign w:val="center"/>
          </w:tcPr>
          <w:p>
            <w:pPr>
              <w:jc w:val="center"/>
              <w:rPr>
                <w:b/>
                <w:szCs w:val="21"/>
              </w:rPr>
            </w:pPr>
            <w:r>
              <w:rPr>
                <w:rFonts w:hint="eastAsia"/>
                <w:b/>
                <w:szCs w:val="21"/>
              </w:rPr>
              <w:t>三级指标</w:t>
            </w:r>
          </w:p>
        </w:tc>
        <w:tc>
          <w:tcPr>
            <w:tcW w:w="3969" w:type="dxa"/>
            <w:vAlign w:val="center"/>
          </w:tcPr>
          <w:p>
            <w:pPr>
              <w:jc w:val="center"/>
              <w:rPr>
                <w:b/>
                <w:szCs w:val="21"/>
              </w:rPr>
            </w:pPr>
            <w:r>
              <w:rPr>
                <w:rFonts w:hint="eastAsia"/>
                <w:b/>
                <w:szCs w:val="21"/>
              </w:rPr>
              <w:t>指标说明</w:t>
            </w:r>
          </w:p>
        </w:tc>
        <w:tc>
          <w:tcPr>
            <w:tcW w:w="4111" w:type="dxa"/>
            <w:tcBorders>
              <w:right w:val="single" w:sz="4" w:space="0" w:color="auto"/>
            </w:tcBorders>
            <w:vAlign w:val="center"/>
          </w:tcPr>
          <w:p>
            <w:pPr>
              <w:jc w:val="center"/>
              <w:rPr>
                <w:b/>
                <w:szCs w:val="21"/>
              </w:rPr>
            </w:pPr>
            <w:r>
              <w:rPr>
                <w:rFonts w:hint="eastAsia"/>
                <w:b/>
                <w:szCs w:val="21"/>
              </w:rPr>
              <w:t>数据资料来源</w:t>
            </w:r>
          </w:p>
        </w:tc>
        <w:tc>
          <w:tcPr>
            <w:tcW w:w="3686" w:type="dxa"/>
            <w:tcBorders>
              <w:left w:val="single" w:sz="4" w:space="0" w:color="auto"/>
            </w:tcBorders>
            <w:vAlign w:val="center"/>
          </w:tcPr>
          <w:p>
            <w:pPr>
              <w:jc w:val="center"/>
              <w:rPr>
                <w:b/>
                <w:szCs w:val="21"/>
              </w:rPr>
            </w:pPr>
            <w:r>
              <w:rPr>
                <w:rFonts w:hint="eastAsia"/>
                <w:b/>
                <w:szCs w:val="21"/>
              </w:rPr>
              <w:t>评分标准</w:t>
            </w:r>
          </w:p>
        </w:tc>
      </w:tr>
      <w:tr>
        <w:tblPrEx>
          <w:tblW w:w="15843" w:type="dxa"/>
          <w:tblLayout w:type="fixed"/>
          <w:tblCellMar>
            <w:top w:w="0" w:type="dxa"/>
            <w:left w:w="108" w:type="dxa"/>
            <w:bottom w:w="0" w:type="dxa"/>
            <w:right w:w="108" w:type="dxa"/>
          </w:tblCellMar>
          <w:tblLook w:val="0000"/>
        </w:tblPrEx>
        <w:trPr>
          <w:trHeight w:val="1278"/>
        </w:trPr>
        <w:tc>
          <w:tcPr>
            <w:tcW w:w="1419" w:type="dxa"/>
            <w:vMerge w:val="restart"/>
            <w:vAlign w:val="center"/>
          </w:tcPr>
          <w:p>
            <w:pPr>
              <w:jc w:val="center"/>
              <w:rPr>
                <w:b/>
                <w:szCs w:val="21"/>
              </w:rPr>
            </w:pPr>
            <w:r>
              <w:rPr>
                <w:b/>
                <w:szCs w:val="21"/>
              </w:rPr>
              <w:t>1.</w:t>
            </w:r>
            <w:r>
              <w:rPr>
                <w:rFonts w:hint="eastAsia"/>
                <w:b/>
                <w:szCs w:val="21"/>
              </w:rPr>
              <w:t>组织管理</w:t>
            </w:r>
          </w:p>
          <w:p>
            <w:pPr>
              <w:jc w:val="center"/>
              <w:rPr>
                <w:b/>
                <w:szCs w:val="21"/>
              </w:rPr>
            </w:pPr>
            <w:r>
              <w:rPr>
                <w:rFonts w:hint="eastAsia"/>
                <w:b/>
                <w:szCs w:val="21"/>
              </w:rPr>
              <w:t>（15分）</w:t>
            </w:r>
          </w:p>
        </w:tc>
        <w:tc>
          <w:tcPr>
            <w:tcW w:w="1241" w:type="dxa"/>
            <w:vMerge w:val="restart"/>
            <w:vAlign w:val="center"/>
          </w:tcPr>
          <w:p>
            <w:pPr>
              <w:jc w:val="left"/>
              <w:rPr>
                <w:b/>
                <w:szCs w:val="21"/>
              </w:rPr>
            </w:pPr>
            <w:r>
              <w:rPr>
                <w:b/>
                <w:szCs w:val="21"/>
              </w:rPr>
              <w:t>1.1</w:t>
            </w:r>
            <w:r>
              <w:rPr>
                <w:rFonts w:hint="eastAsia"/>
                <w:b/>
                <w:szCs w:val="21"/>
              </w:rPr>
              <w:t>管理体系（3分）</w:t>
            </w:r>
          </w:p>
        </w:tc>
        <w:tc>
          <w:tcPr>
            <w:tcW w:w="1417" w:type="dxa"/>
            <w:vAlign w:val="center"/>
          </w:tcPr>
          <w:p>
            <w:pPr>
              <w:rPr>
                <w:b/>
                <w:szCs w:val="21"/>
              </w:rPr>
            </w:pPr>
            <w:r>
              <w:rPr>
                <w:b/>
                <w:szCs w:val="21"/>
              </w:rPr>
              <w:t>1.1.1</w:t>
            </w:r>
            <w:r>
              <w:rPr>
                <w:rFonts w:hint="eastAsia"/>
                <w:b/>
                <w:szCs w:val="21"/>
              </w:rPr>
              <w:t>制度建设（1分）</w:t>
            </w:r>
          </w:p>
        </w:tc>
        <w:tc>
          <w:tcPr>
            <w:tcW w:w="3969" w:type="dxa"/>
            <w:vAlign w:val="center"/>
          </w:tcPr>
          <w:p>
            <w:pPr>
              <w:rPr>
                <w:szCs w:val="21"/>
              </w:rPr>
            </w:pPr>
            <w:r>
              <w:rPr>
                <w:rFonts w:hint="eastAsia"/>
                <w:szCs w:val="21"/>
              </w:rPr>
              <w:t>制定或转发用于指导本地区国家基本公共卫生服务项目实施的项目管理方案、资金管理制度等制度方案。各级制定的方案、制度应符合国家和省卫生计生委、财政部门有关要求。</w:t>
            </w:r>
          </w:p>
        </w:tc>
        <w:tc>
          <w:tcPr>
            <w:tcW w:w="4111" w:type="dxa"/>
            <w:tcBorders>
              <w:right w:val="single" w:sz="4" w:space="0" w:color="auto"/>
            </w:tcBorders>
            <w:vAlign w:val="center"/>
          </w:tcPr>
          <w:p>
            <w:pPr>
              <w:rPr>
                <w:szCs w:val="21"/>
              </w:rPr>
            </w:pPr>
            <w:r>
              <w:rPr>
                <w:rFonts w:hint="eastAsia"/>
                <w:szCs w:val="21"/>
              </w:rPr>
              <w:t>卫生计生部门提供有关文件和资料。</w:t>
            </w:r>
          </w:p>
        </w:tc>
        <w:tc>
          <w:tcPr>
            <w:tcW w:w="3686" w:type="dxa"/>
            <w:tcBorders>
              <w:left w:val="single" w:sz="4" w:space="0" w:color="auto"/>
            </w:tcBorders>
            <w:vAlign w:val="center"/>
          </w:tcPr>
          <w:p>
            <w:pPr>
              <w:rPr>
                <w:rFonts w:ascii="宋体" w:hAnsi="宋体"/>
                <w:szCs w:val="21"/>
              </w:rPr>
            </w:pPr>
            <w:r>
              <w:rPr>
                <w:rFonts w:ascii="宋体" w:hAnsi="宋体" w:hint="eastAsia"/>
                <w:szCs w:val="21"/>
              </w:rPr>
              <w:t>①</w:t>
            </w:r>
            <w:r>
              <w:rPr>
                <w:rFonts w:ascii="宋体" w:hAnsi="宋体" w:hint="eastAsia"/>
                <w:szCs w:val="21"/>
              </w:rPr>
              <w:t>实施方案包括11类服务，有具体工作指标，各承担服务的机构有任务清单，并结合本地实际细化服务流程；（0.5分）</w:t>
            </w:r>
          </w:p>
          <w:p>
            <w:pPr>
              <w:rPr>
                <w:rFonts w:ascii="宋体" w:hAnsi="宋体"/>
                <w:szCs w:val="21"/>
              </w:rPr>
            </w:pPr>
            <w:r>
              <w:rPr>
                <w:rFonts w:ascii="宋体" w:hAnsi="宋体" w:hint="eastAsia"/>
                <w:szCs w:val="21"/>
              </w:rPr>
              <w:t>②</w:t>
            </w:r>
            <w:r>
              <w:rPr>
                <w:rFonts w:ascii="宋体" w:hAnsi="宋体" w:hint="eastAsia"/>
                <w:szCs w:val="21"/>
              </w:rPr>
              <w:t>资金管理制度明确了资金支出范围，且符合国家及省的规定；（0.5分）</w:t>
            </w:r>
          </w:p>
        </w:tc>
      </w:tr>
      <w:tr>
        <w:tblPrEx>
          <w:tblW w:w="15843" w:type="dxa"/>
          <w:tblLayout w:type="fixed"/>
          <w:tblCellMar>
            <w:top w:w="0" w:type="dxa"/>
            <w:left w:w="108" w:type="dxa"/>
            <w:bottom w:w="0" w:type="dxa"/>
            <w:right w:w="108" w:type="dxa"/>
          </w:tblCellMar>
          <w:tblLook w:val="0000"/>
        </w:tblPrEx>
        <w:trPr>
          <w:trHeight w:val="2842"/>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1.1.2</w:t>
            </w:r>
            <w:r>
              <w:rPr>
                <w:rFonts w:hint="eastAsia"/>
                <w:b/>
                <w:szCs w:val="21"/>
              </w:rPr>
              <w:t>分工协作（2分）</w:t>
            </w:r>
          </w:p>
        </w:tc>
        <w:tc>
          <w:tcPr>
            <w:tcW w:w="3969" w:type="dxa"/>
            <w:vAlign w:val="center"/>
          </w:tcPr>
          <w:p>
            <w:pPr>
              <w:rPr>
                <w:szCs w:val="21"/>
              </w:rPr>
            </w:pPr>
            <w:r>
              <w:rPr>
                <w:rFonts w:hint="eastAsia"/>
                <w:szCs w:val="21"/>
              </w:rPr>
              <w:t>卫生计生部门与当地政府及相关部门合作，建立协调机制。</w:t>
            </w:r>
          </w:p>
          <w:p>
            <w:pPr>
              <w:rPr>
                <w:szCs w:val="21"/>
              </w:rPr>
            </w:pPr>
            <w:r>
              <w:rPr>
                <w:rFonts w:hint="eastAsia"/>
                <w:szCs w:val="21"/>
              </w:rPr>
              <w:t>卫生计生部门明确基本公共卫生服务项目管理机构或人员，明确专业公共卫生机构、基层医疗卫生机构的职能分工，建立技术指导专家组织。</w:t>
            </w:r>
          </w:p>
          <w:p>
            <w:pPr>
              <w:rPr>
                <w:szCs w:val="21"/>
              </w:rPr>
            </w:pPr>
            <w:r>
              <w:rPr>
                <w:rFonts w:hint="eastAsia"/>
                <w:szCs w:val="21"/>
              </w:rPr>
              <w:t>专业公共卫生机构、技术指导专家组织按照相关要求和职能分工开展工作；</w:t>
            </w:r>
          </w:p>
          <w:p>
            <w:pPr>
              <w:spacing w:after="0"/>
              <w:rPr>
                <w:b/>
                <w:color w:val="000000"/>
                <w:szCs w:val="21"/>
              </w:rPr>
            </w:pPr>
            <w:r>
              <w:rPr>
                <w:rFonts w:hint="eastAsia"/>
                <w:b/>
                <w:color w:val="000000"/>
                <w:szCs w:val="21"/>
              </w:rPr>
              <w:t>基层医疗卫生机构、</w:t>
            </w:r>
            <w:r>
              <w:rPr>
                <w:rFonts w:ascii="宋体" w:hAnsi="宋体" w:cs="宋体" w:hint="eastAsia"/>
                <w:b/>
                <w:color w:val="000000"/>
                <w:szCs w:val="21"/>
              </w:rPr>
              <w:t>其他相关服务提供机构</w:t>
            </w:r>
            <w:r>
              <w:rPr>
                <w:rFonts w:ascii="宋体" w:hAnsi="宋体" w:hint="eastAsia"/>
                <w:b/>
                <w:color w:val="000000"/>
                <w:szCs w:val="21"/>
              </w:rPr>
              <w:t>相关机</w:t>
            </w:r>
          </w:p>
        </w:tc>
        <w:tc>
          <w:tcPr>
            <w:tcW w:w="4111" w:type="dxa"/>
            <w:tcBorders>
              <w:right w:val="single" w:sz="4" w:space="0" w:color="auto"/>
            </w:tcBorders>
            <w:vAlign w:val="center"/>
          </w:tcPr>
          <w:p>
            <w:pPr>
              <w:rPr>
                <w:szCs w:val="21"/>
              </w:rPr>
            </w:pPr>
            <w:r>
              <w:rPr>
                <w:rFonts w:hint="eastAsia"/>
                <w:szCs w:val="21"/>
              </w:rPr>
              <w:t>卫生计生部门提供与相关部门建立协调机制的文件或会议记录，提供项目管理机构设置、人员分工、职能分工、技术指导专家组织等有关文件和资料；</w:t>
            </w:r>
          </w:p>
          <w:p>
            <w:pPr>
              <w:rPr>
                <w:b/>
                <w:szCs w:val="21"/>
              </w:rPr>
            </w:pPr>
            <w:r>
              <w:rPr>
                <w:rFonts w:hint="eastAsia"/>
                <w:b/>
                <w:szCs w:val="21"/>
              </w:rPr>
              <w:t>专业公共卫生机构、技术指导专家组织提供有关工作记录资料；</w:t>
            </w:r>
          </w:p>
          <w:p>
            <w:pPr>
              <w:rPr>
                <w:szCs w:val="21"/>
              </w:rPr>
            </w:pPr>
            <w:r>
              <w:rPr>
                <w:rFonts w:hint="eastAsia"/>
                <w:b/>
                <w:szCs w:val="21"/>
              </w:rPr>
              <w:t>基层医疗卫生机构、</w:t>
            </w:r>
            <w:r>
              <w:rPr>
                <w:rFonts w:ascii="宋体" w:hAnsi="宋体" w:cs="宋体" w:hint="eastAsia"/>
                <w:b/>
                <w:color w:val="000000"/>
                <w:szCs w:val="21"/>
              </w:rPr>
              <w:t>其他相关服务提供机构</w:t>
            </w:r>
            <w:r>
              <w:rPr>
                <w:rFonts w:ascii="宋体" w:hAnsi="宋体" w:hint="eastAsia"/>
                <w:b/>
                <w:color w:val="000000"/>
                <w:szCs w:val="21"/>
              </w:rPr>
              <w:t>相关机</w:t>
            </w:r>
            <w:r>
              <w:rPr>
                <w:rFonts w:hint="eastAsia"/>
                <w:b/>
                <w:color w:val="000000"/>
                <w:szCs w:val="21"/>
              </w:rPr>
              <w:t>构</w:t>
            </w:r>
            <w:r>
              <w:rPr>
                <w:rFonts w:hint="eastAsia"/>
                <w:b/>
                <w:szCs w:val="21"/>
              </w:rPr>
              <w:t>提供基本公共卫生服务责任区域划分要求、人员分工要求和按照服务责任区域开展工作的记录、资料</w:t>
            </w:r>
            <w:r>
              <w:rPr>
                <w:rFonts w:hint="eastAsia"/>
                <w:szCs w:val="21"/>
              </w:rPr>
              <w:t xml:space="preserve">。 </w:t>
            </w:r>
          </w:p>
        </w:tc>
        <w:tc>
          <w:tcPr>
            <w:tcW w:w="3686" w:type="dxa"/>
            <w:tcBorders>
              <w:left w:val="single" w:sz="4" w:space="0" w:color="auto"/>
            </w:tcBorders>
            <w:vAlign w:val="center"/>
          </w:tcPr>
          <w:p>
            <w:pPr>
              <w:rPr>
                <w:rFonts w:ascii="宋体" w:hAnsi="宋体"/>
                <w:szCs w:val="21"/>
              </w:rPr>
            </w:pPr>
            <w:r>
              <w:rPr>
                <w:rFonts w:hint="eastAsia"/>
                <w:szCs w:val="21"/>
              </w:rPr>
              <w:t xml:space="preserve"> </w:t>
            </w:r>
            <w:r>
              <w:rPr>
                <w:rFonts w:ascii="宋体" w:hAnsi="宋体" w:hint="eastAsia"/>
                <w:szCs w:val="21"/>
              </w:rPr>
              <w:t>①</w:t>
            </w:r>
            <w:r>
              <w:rPr>
                <w:rFonts w:ascii="宋体" w:hAnsi="宋体" w:hint="eastAsia"/>
                <w:szCs w:val="21"/>
              </w:rPr>
              <w:t>有文件明确专/兼职管理机构</w:t>
            </w:r>
            <w:r>
              <w:rPr>
                <w:rFonts w:ascii="宋体" w:hAnsi="宋体" w:hint="eastAsia"/>
                <w:b/>
                <w:szCs w:val="21"/>
              </w:rPr>
              <w:t>、技术指导专家组织与人员设置</w:t>
            </w:r>
            <w:r>
              <w:rPr>
                <w:rFonts w:ascii="宋体" w:hAnsi="宋体" w:hint="eastAsia"/>
                <w:szCs w:val="21"/>
              </w:rPr>
              <w:t>；（0.3、0.2分）</w:t>
            </w:r>
          </w:p>
          <w:p>
            <w:pPr>
              <w:rPr>
                <w:rFonts w:ascii="宋体" w:hAnsi="宋体"/>
                <w:szCs w:val="21"/>
              </w:rPr>
            </w:pPr>
            <w:r>
              <w:rPr>
                <w:rFonts w:ascii="宋体" w:hAnsi="宋体" w:hint="eastAsia"/>
                <w:szCs w:val="21"/>
              </w:rPr>
              <w:t>②</w:t>
            </w:r>
            <w:r>
              <w:rPr>
                <w:rFonts w:ascii="宋体" w:hAnsi="宋体" w:hint="eastAsia"/>
                <w:szCs w:val="21"/>
              </w:rPr>
              <w:t>、</w:t>
            </w:r>
            <w:r>
              <w:rPr>
                <w:rFonts w:ascii="宋体" w:hAnsi="宋体" w:hint="eastAsia"/>
                <w:b/>
                <w:szCs w:val="21"/>
              </w:rPr>
              <w:t>专业公卫机构、技术指导专家组开展技术指导的工作记录</w:t>
            </w:r>
            <w:r>
              <w:rPr>
                <w:rFonts w:ascii="宋体" w:hAnsi="宋体" w:hint="eastAsia"/>
                <w:szCs w:val="21"/>
              </w:rPr>
              <w:t>；（0.5分）</w:t>
            </w:r>
          </w:p>
          <w:p>
            <w:pPr>
              <w:rPr>
                <w:rFonts w:ascii="宋体" w:hAnsi="宋体"/>
                <w:szCs w:val="21"/>
              </w:rPr>
            </w:pPr>
            <w:r>
              <w:rPr>
                <w:rFonts w:ascii="宋体" w:hAnsi="宋体" w:hint="eastAsia"/>
                <w:szCs w:val="21"/>
              </w:rPr>
              <w:t>③</w:t>
            </w:r>
            <w:r>
              <w:rPr>
                <w:rFonts w:ascii="宋体" w:hAnsi="宋体" w:hint="eastAsia"/>
                <w:b/>
                <w:szCs w:val="21"/>
              </w:rPr>
              <w:t>对实施基本公卫项目有明确、具体的职责分工：专业公卫机构、乡镇卫生院与村卫生室、社区卫生服务中心与站（不承担任务的站除外）。</w:t>
            </w:r>
            <w:r>
              <w:rPr>
                <w:rFonts w:ascii="宋体" w:hAnsi="宋体" w:hint="eastAsia"/>
                <w:szCs w:val="21"/>
              </w:rPr>
              <w:t>（1分）</w:t>
            </w:r>
          </w:p>
        </w:tc>
      </w:tr>
    </w:tbl>
    <w:p>
      <w:pPr>
        <w:sectPr>
          <w:headerReference w:type="even" r:id="rId34"/>
          <w:headerReference w:type="default" r:id="rId35"/>
          <w:footerReference w:type="even" r:id="rId36"/>
          <w:footerReference w:type="default" r:id="rId37"/>
          <w:headerReference w:type="first" r:id="rId38"/>
          <w:footerReference w:type="first" r:id="rId39"/>
          <w:pgSz w:w="16838" w:h="11906" w:orient="landscape"/>
          <w:pgMar w:top="1797" w:right="1440" w:bottom="1797" w:left="1440" w:header="851" w:footer="992" w:gutter="0"/>
          <w:pgNumType w:start="6"/>
          <w:cols w:space="708"/>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42"/>
        </w:trPr>
        <w:tc>
          <w:tcPr>
            <w:tcW w:w="1419" w:type="dxa"/>
            <w:vMerge w:val="restart"/>
            <w:vAlign w:val="center"/>
          </w:tcPr>
          <w:p/>
        </w:tc>
        <w:tc>
          <w:tcPr>
            <w:tcW w:w="1241" w:type="dxa"/>
            <w:vAlign w:val="center"/>
          </w:tcPr>
          <w:p/>
        </w:tc>
        <w:tc>
          <w:tcPr>
            <w:tcW w:w="1417" w:type="dxa"/>
            <w:vAlign w:val="center"/>
          </w:tcPr>
          <w:p/>
        </w:tc>
        <w:tc>
          <w:tcPr>
            <w:tcW w:w="3969" w:type="dxa"/>
            <w:vAlign w:val="center"/>
          </w:tcPr>
          <w:p>
            <w:pPr>
              <w:spacing w:before="0"/>
              <w:rPr>
                <w:b/>
                <w:color w:val="000000"/>
                <w:szCs w:val="21"/>
              </w:rPr>
            </w:pPr>
            <w:r>
              <w:rPr>
                <w:rFonts w:hint="eastAsia"/>
                <w:b/>
                <w:color w:val="000000"/>
                <w:szCs w:val="21"/>
              </w:rPr>
              <w:t>构落实服务责任区域，建立以全科医生为核心的团队提供服务，并将基本公共卫生服务与日常医疗服务相结合，开展相关服务。</w:t>
            </w:r>
          </w:p>
        </w:tc>
        <w:tc>
          <w:tcPr>
            <w:tcW w:w="4111" w:type="dxa"/>
            <w:tcBorders>
              <w:right w:val="single" w:sz="4" w:space="0" w:color="auto"/>
            </w:tcBorders>
            <w:vAlign w:val="center"/>
          </w:tcPr>
          <w:p/>
        </w:tc>
        <w:tc>
          <w:tcPr>
            <w:tcW w:w="3686" w:type="dxa"/>
            <w:tcBorders>
              <w:left w:val="single" w:sz="4" w:space="0" w:color="auto"/>
            </w:tcBorders>
            <w:vAlign w:val="center"/>
          </w:tcPr>
          <w:p/>
        </w:tc>
      </w:tr>
      <w:tr>
        <w:tblPrEx>
          <w:tblW w:w="15843" w:type="dxa"/>
          <w:tblLayout w:type="fixed"/>
          <w:tblCellMar>
            <w:top w:w="0" w:type="dxa"/>
            <w:left w:w="108" w:type="dxa"/>
            <w:bottom w:w="0" w:type="dxa"/>
            <w:right w:w="108" w:type="dxa"/>
          </w:tblCellMar>
          <w:tblLook w:val="0000"/>
        </w:tblPrEx>
        <w:trPr>
          <w:trHeight w:val="2514"/>
        </w:trPr>
        <w:tc>
          <w:tcPr>
            <w:tcW w:w="1419" w:type="dxa"/>
            <w:vMerge/>
            <w:vAlign w:val="center"/>
          </w:tcPr>
          <w:p>
            <w:pPr>
              <w:jc w:val="center"/>
              <w:rPr>
                <w:b/>
                <w:szCs w:val="21"/>
              </w:rPr>
            </w:pPr>
          </w:p>
        </w:tc>
        <w:tc>
          <w:tcPr>
            <w:tcW w:w="1241" w:type="dxa"/>
            <w:vAlign w:val="center"/>
          </w:tcPr>
          <w:p>
            <w:pPr>
              <w:jc w:val="left"/>
              <w:rPr>
                <w:b/>
                <w:szCs w:val="21"/>
              </w:rPr>
            </w:pPr>
            <w:r>
              <w:rPr>
                <w:b/>
                <w:szCs w:val="21"/>
              </w:rPr>
              <w:t>1.2</w:t>
            </w:r>
            <w:r>
              <w:rPr>
                <w:rFonts w:hint="eastAsia"/>
                <w:b/>
                <w:szCs w:val="21"/>
              </w:rPr>
              <w:t>管理落实</w:t>
            </w:r>
          </w:p>
        </w:tc>
        <w:tc>
          <w:tcPr>
            <w:tcW w:w="1417" w:type="dxa"/>
            <w:vAlign w:val="center"/>
          </w:tcPr>
          <w:p>
            <w:pPr>
              <w:rPr>
                <w:b/>
                <w:szCs w:val="21"/>
              </w:rPr>
            </w:pPr>
            <w:r>
              <w:rPr>
                <w:b/>
                <w:szCs w:val="21"/>
              </w:rPr>
              <w:t>1.2.1</w:t>
            </w:r>
            <w:r>
              <w:rPr>
                <w:rFonts w:hint="eastAsia"/>
                <w:b/>
                <w:szCs w:val="21"/>
              </w:rPr>
              <w:t>信息系统建设与应用(2分)</w:t>
            </w:r>
          </w:p>
        </w:tc>
        <w:tc>
          <w:tcPr>
            <w:tcW w:w="3969" w:type="dxa"/>
            <w:vAlign w:val="center"/>
          </w:tcPr>
          <w:p>
            <w:pPr>
              <w:rPr>
                <w:szCs w:val="21"/>
              </w:rPr>
            </w:pPr>
            <w:r>
              <w:rPr>
                <w:rFonts w:hint="eastAsia"/>
                <w:szCs w:val="21"/>
              </w:rPr>
              <w:t>卫生计生行政部门制定或转发用于指导或规划以居民健康档案为基础的信息系统建设的文件或方案。</w:t>
            </w:r>
          </w:p>
          <w:p>
            <w:pPr>
              <w:rPr>
                <w:szCs w:val="21"/>
              </w:rPr>
            </w:pPr>
            <w:r>
              <w:rPr>
                <w:rFonts w:hint="eastAsia"/>
                <w:szCs w:val="21"/>
              </w:rPr>
              <w:t>建立了以居民健康档案为基础的信息系统，逐步实现：</w:t>
            </w:r>
          </w:p>
          <w:p>
            <w:pPr>
              <w:rPr>
                <w:szCs w:val="21"/>
              </w:rPr>
            </w:pPr>
            <w:r>
              <w:rPr>
                <w:rFonts w:hint="eastAsia"/>
                <w:szCs w:val="21"/>
              </w:rPr>
              <w:t>建立区域内统一的信息系统或实现区域内数据互联互通；乡镇卫生院与村卫生室信息系统互联互通；具有统计汇总功能；逐步开展对专业公共卫生机构收集的有关数据的利用；与医疗卫生服务相关系统信息共享。</w:t>
            </w:r>
          </w:p>
          <w:p>
            <w:pPr>
              <w:rPr>
                <w:szCs w:val="21"/>
              </w:rPr>
            </w:pPr>
            <w:r>
              <w:rPr>
                <w:rFonts w:hint="eastAsia"/>
                <w:szCs w:val="21"/>
              </w:rPr>
              <w:t>基层医疗机构及时录入和更新居民健康档案信息和健康管理服务信息，向项目管理部门上传数据。</w:t>
            </w:r>
          </w:p>
        </w:tc>
        <w:tc>
          <w:tcPr>
            <w:tcW w:w="4111" w:type="dxa"/>
            <w:tcBorders>
              <w:right w:val="single" w:sz="4" w:space="0" w:color="auto"/>
            </w:tcBorders>
            <w:vAlign w:val="center"/>
          </w:tcPr>
          <w:p>
            <w:pPr>
              <w:rPr>
                <w:szCs w:val="21"/>
              </w:rPr>
            </w:pPr>
            <w:r>
              <w:rPr>
                <w:rFonts w:hint="eastAsia"/>
                <w:szCs w:val="21"/>
              </w:rPr>
              <w:t>以健康档案为基础的信息系统建设的文件或方案，信息系统的实际使用情况，有关数据的收集和使用情况。</w:t>
            </w:r>
          </w:p>
        </w:tc>
        <w:tc>
          <w:tcPr>
            <w:tcW w:w="3686" w:type="dxa"/>
            <w:tcBorders>
              <w:left w:val="single" w:sz="4" w:space="0" w:color="auto"/>
            </w:tcBorders>
            <w:vAlign w:val="center"/>
          </w:tcPr>
          <w:p>
            <w:pPr>
              <w:rPr>
                <w:szCs w:val="21"/>
              </w:rPr>
            </w:pPr>
            <w:r>
              <w:rPr>
                <w:rFonts w:ascii="宋体" w:hAnsi="宋体" w:hint="eastAsia"/>
                <w:szCs w:val="21"/>
              </w:rPr>
              <w:t>①</w:t>
            </w:r>
            <w:r>
              <w:rPr>
                <w:rFonts w:ascii="宋体" w:hAnsi="宋体" w:hint="eastAsia"/>
                <w:szCs w:val="21"/>
              </w:rPr>
              <w:t>市级：</w:t>
            </w:r>
            <w:r>
              <w:rPr>
                <w:rFonts w:hint="eastAsia"/>
                <w:szCs w:val="21"/>
              </w:rPr>
              <w:t>制定或转发用于指导或规划以居民健康档案为基础的信息系统建设的文件或方案；（0.5分）</w:t>
            </w:r>
          </w:p>
          <w:p>
            <w:pPr>
              <w:rPr>
                <w:rFonts w:ascii="宋体" w:hAnsi="宋体"/>
                <w:b/>
                <w:szCs w:val="21"/>
              </w:rPr>
            </w:pPr>
            <w:r>
              <w:rPr>
                <w:rFonts w:ascii="宋体" w:hAnsi="宋体" w:hint="eastAsia"/>
                <w:szCs w:val="21"/>
              </w:rPr>
              <w:t>②</w:t>
            </w:r>
            <w:r>
              <w:rPr>
                <w:rFonts w:ascii="宋体" w:hAnsi="宋体" w:hint="eastAsia"/>
                <w:b/>
                <w:szCs w:val="21"/>
              </w:rPr>
              <w:t>以县（市、区）为单位建立</w:t>
            </w:r>
            <w:r>
              <w:rPr>
                <w:rFonts w:hint="eastAsia"/>
                <w:b/>
                <w:szCs w:val="21"/>
              </w:rPr>
              <w:t>以居民健康档案为基础的信息系统，</w:t>
            </w:r>
            <w:r>
              <w:rPr>
                <w:rFonts w:ascii="宋体" w:hAnsi="宋体" w:hint="eastAsia"/>
                <w:b/>
                <w:szCs w:val="21"/>
              </w:rPr>
              <w:t>信息系统具有工作数据统计汇总功能</w:t>
            </w:r>
            <w:r>
              <w:rPr>
                <w:rFonts w:hint="eastAsia"/>
                <w:b/>
                <w:szCs w:val="21"/>
              </w:rPr>
              <w:t>；（0.5分 ）</w:t>
            </w:r>
            <w:r>
              <w:rPr>
                <w:rFonts w:ascii="宋体" w:hAnsi="宋体" w:hint="eastAsia"/>
                <w:b/>
                <w:szCs w:val="21"/>
              </w:rPr>
              <w:t>③</w:t>
            </w:r>
            <w:r>
              <w:rPr>
                <w:rFonts w:hint="eastAsia"/>
                <w:b/>
                <w:szCs w:val="21"/>
              </w:rPr>
              <w:t>逐步开展对专业公共卫生机构收集的有关数据的利用；（0.5分 ）</w:t>
            </w:r>
          </w:p>
          <w:p>
            <w:pPr>
              <w:rPr>
                <w:b/>
                <w:szCs w:val="21"/>
              </w:rPr>
            </w:pPr>
            <w:r>
              <w:rPr>
                <w:rFonts w:ascii="宋体" w:hAnsi="宋体" w:hint="eastAsia"/>
                <w:b/>
                <w:szCs w:val="21"/>
              </w:rPr>
              <w:t>④</w:t>
            </w:r>
            <w:r>
              <w:rPr>
                <w:rFonts w:hint="eastAsia"/>
                <w:b/>
                <w:szCs w:val="21"/>
              </w:rPr>
              <w:t>与医疗卫生服务相关系统信息共享</w:t>
            </w:r>
          </w:p>
          <w:p>
            <w:pPr>
              <w:rPr>
                <w:rFonts w:ascii="宋体" w:hAnsi="宋体"/>
                <w:szCs w:val="21"/>
              </w:rPr>
            </w:pPr>
            <w:r>
              <w:rPr>
                <w:rFonts w:ascii="宋体" w:hAnsi="宋体" w:hint="eastAsia"/>
                <w:b/>
                <w:szCs w:val="21"/>
              </w:rPr>
              <w:t>；（0.5分）</w:t>
            </w:r>
          </w:p>
        </w:tc>
      </w:tr>
    </w:tbl>
    <w:p>
      <w:pPr>
        <w:sectPr>
          <w:headerReference w:type="even" r:id="rId40"/>
          <w:headerReference w:type="default" r:id="rId41"/>
          <w:footerReference w:type="even" r:id="rId42"/>
          <w:footerReference w:type="default" r:id="rId43"/>
          <w:headerReference w:type="first" r:id="rId44"/>
          <w:footerReference w:type="first" r:id="rId45"/>
          <w:type w:val="nextPage"/>
          <w:pgSz w:w="16838" w:h="11906" w:orient="landscape"/>
          <w:pgMar w:top="1797" w:right="1440" w:bottom="1797" w:left="1440" w:header="851" w:footer="992" w:gutter="0"/>
          <w:pgNumType w:start="7"/>
          <w:cols w:space="708"/>
          <w:titlePg w:val="0"/>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532"/>
        </w:trPr>
        <w:tc>
          <w:tcPr>
            <w:tcW w:w="1419" w:type="dxa"/>
            <w:vMerge w:val="restart"/>
            <w:vAlign w:val="center"/>
          </w:tcPr>
          <w:p>
            <w:pPr>
              <w:jc w:val="center"/>
              <w:rPr>
                <w:b/>
                <w:szCs w:val="21"/>
              </w:rPr>
            </w:pPr>
            <w:r>
              <w:rPr>
                <w:b/>
                <w:szCs w:val="21"/>
              </w:rPr>
              <w:t>1.</w:t>
            </w:r>
            <w:r>
              <w:rPr>
                <w:rFonts w:hint="eastAsia"/>
                <w:b/>
                <w:szCs w:val="21"/>
              </w:rPr>
              <w:t>组织管理</w:t>
            </w:r>
          </w:p>
        </w:tc>
        <w:tc>
          <w:tcPr>
            <w:tcW w:w="1241" w:type="dxa"/>
            <w:vMerge w:val="restart"/>
            <w:vAlign w:val="center"/>
          </w:tcPr>
          <w:p>
            <w:pPr>
              <w:jc w:val="left"/>
              <w:rPr>
                <w:b/>
                <w:szCs w:val="21"/>
              </w:rPr>
            </w:pPr>
            <w:r>
              <w:rPr>
                <w:b/>
                <w:szCs w:val="21"/>
              </w:rPr>
              <w:t>1.2</w:t>
            </w:r>
            <w:r>
              <w:rPr>
                <w:rFonts w:hint="eastAsia"/>
                <w:b/>
                <w:szCs w:val="21"/>
              </w:rPr>
              <w:t>管理落实（6分）</w:t>
            </w:r>
          </w:p>
        </w:tc>
        <w:tc>
          <w:tcPr>
            <w:tcW w:w="1417" w:type="dxa"/>
            <w:vAlign w:val="center"/>
          </w:tcPr>
          <w:p>
            <w:pPr>
              <w:rPr>
                <w:b/>
                <w:szCs w:val="21"/>
              </w:rPr>
            </w:pPr>
            <w:r>
              <w:rPr>
                <w:b/>
                <w:szCs w:val="21"/>
              </w:rPr>
              <w:t>1.2.2</w:t>
            </w:r>
            <w:r>
              <w:rPr>
                <w:rFonts w:hint="eastAsia"/>
                <w:b/>
                <w:szCs w:val="21"/>
              </w:rPr>
              <w:t>人员培训（1分）</w:t>
            </w:r>
          </w:p>
        </w:tc>
        <w:tc>
          <w:tcPr>
            <w:tcW w:w="3969" w:type="dxa"/>
            <w:vAlign w:val="center"/>
          </w:tcPr>
          <w:p>
            <w:pPr>
              <w:rPr>
                <w:szCs w:val="21"/>
              </w:rPr>
            </w:pPr>
            <w:r>
              <w:rPr>
                <w:rFonts w:hint="eastAsia"/>
                <w:szCs w:val="21"/>
              </w:rPr>
              <w:t>卫生计生部门和有关专业公共卫生机构逐级开展基本公共卫生服务项目有关培训的情况，包括：</w:t>
            </w:r>
          </w:p>
          <w:p>
            <w:pPr>
              <w:rPr>
                <w:szCs w:val="21"/>
              </w:rPr>
            </w:pPr>
            <w:r>
              <w:rPr>
                <w:rFonts w:hint="eastAsia"/>
                <w:szCs w:val="21"/>
              </w:rPr>
              <w:t>行政管理人员对基本公共卫生服务项目的管理能力，公共卫生机构中有关人员对基本公共卫生服务基本知识和技能的掌握程度，基层医务人员对基本公共卫生服务基本知识和技能的掌握程度。</w:t>
            </w:r>
          </w:p>
        </w:tc>
        <w:tc>
          <w:tcPr>
            <w:tcW w:w="4111" w:type="dxa"/>
            <w:tcBorders>
              <w:right w:val="single" w:sz="4" w:space="0" w:color="auto"/>
            </w:tcBorders>
            <w:vAlign w:val="center"/>
          </w:tcPr>
          <w:p>
            <w:pPr>
              <w:rPr>
                <w:szCs w:val="21"/>
              </w:rPr>
            </w:pPr>
            <w:r>
              <w:rPr>
                <w:rFonts w:hint="eastAsia"/>
                <w:szCs w:val="21"/>
              </w:rPr>
              <w:t>卫生计生部门、有关专业公共卫生机构开展基本公共卫生服务培训的有关资料。</w:t>
            </w:r>
          </w:p>
          <w:p>
            <w:pPr>
              <w:rPr>
                <w:szCs w:val="21"/>
              </w:rPr>
            </w:pPr>
            <w:r>
              <w:rPr>
                <w:rFonts w:hint="eastAsia"/>
                <w:szCs w:val="21"/>
              </w:rPr>
              <w:t>从专业公共卫生机构中，随机抽查部分从事项目技术指导、督导考核的人员进行现场问卷调查或考核；</w:t>
            </w:r>
          </w:p>
          <w:p>
            <w:pPr>
              <w:rPr>
                <w:szCs w:val="21"/>
              </w:rPr>
            </w:pPr>
            <w:r>
              <w:rPr>
                <w:rFonts w:hint="eastAsia"/>
                <w:szCs w:val="21"/>
              </w:rPr>
              <w:t>从基层医疗卫生机构中，随机抽查部分从事公共卫生服务的医务人员进行现场问卷调查或考核。</w:t>
            </w:r>
          </w:p>
        </w:tc>
        <w:tc>
          <w:tcPr>
            <w:tcW w:w="3686" w:type="dxa"/>
            <w:tcBorders>
              <w:left w:val="single" w:sz="4" w:space="0" w:color="auto"/>
            </w:tcBorders>
            <w:vAlign w:val="center"/>
          </w:tcPr>
          <w:p>
            <w:pPr>
              <w:rPr>
                <w:b/>
                <w:szCs w:val="21"/>
              </w:rPr>
            </w:pPr>
            <w:r>
              <w:rPr>
                <w:rFonts w:ascii="楷体" w:eastAsia="楷体" w:hAnsi="楷体" w:hint="eastAsia"/>
                <w:b/>
                <w:szCs w:val="21"/>
              </w:rPr>
              <w:t>①</w:t>
            </w:r>
            <w:r>
              <w:rPr>
                <w:rFonts w:hint="eastAsia"/>
                <w:b/>
                <w:szCs w:val="21"/>
              </w:rPr>
              <w:t>采用现场访谈方式每个县（市、区）抽考2人（疾控中心、妇保所各1人）；（0.5分）</w:t>
            </w:r>
          </w:p>
          <w:p>
            <w:pPr>
              <w:rPr>
                <w:b/>
                <w:szCs w:val="21"/>
              </w:rPr>
            </w:pPr>
            <w:r>
              <w:rPr>
                <w:rFonts w:ascii="楷体" w:eastAsia="楷体" w:hAnsi="楷体" w:hint="eastAsia"/>
                <w:b/>
                <w:szCs w:val="21"/>
              </w:rPr>
              <w:t>②</w:t>
            </w:r>
            <w:r>
              <w:rPr>
                <w:rFonts w:hint="eastAsia"/>
                <w:b/>
                <w:szCs w:val="21"/>
              </w:rPr>
              <w:t>每个县（市、区）抽考基层机构医务人员10人（医生4人、护士2人、妇保2人、儿保2人、重精患者管理2人）；（0.5分）</w:t>
            </w:r>
          </w:p>
        </w:tc>
      </w:tr>
      <w:tr>
        <w:tblPrEx>
          <w:tblW w:w="15843" w:type="dxa"/>
          <w:tblLayout w:type="fixed"/>
          <w:tblCellMar>
            <w:top w:w="0" w:type="dxa"/>
            <w:left w:w="108" w:type="dxa"/>
            <w:bottom w:w="0" w:type="dxa"/>
            <w:right w:w="108" w:type="dxa"/>
          </w:tblCellMar>
          <w:tblLook w:val="0000"/>
        </w:tblPrEx>
        <w:trPr>
          <w:trHeight w:val="974"/>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1.2.3</w:t>
            </w:r>
            <w:r>
              <w:rPr>
                <w:rFonts w:hint="eastAsia"/>
                <w:b/>
                <w:szCs w:val="21"/>
              </w:rPr>
              <w:t>项目宣传（1分）</w:t>
            </w:r>
          </w:p>
        </w:tc>
        <w:tc>
          <w:tcPr>
            <w:tcW w:w="3969" w:type="dxa"/>
            <w:vAlign w:val="center"/>
          </w:tcPr>
          <w:p>
            <w:pPr>
              <w:rPr>
                <w:szCs w:val="21"/>
              </w:rPr>
            </w:pPr>
            <w:r>
              <w:rPr>
                <w:rFonts w:hint="eastAsia"/>
                <w:szCs w:val="21"/>
              </w:rPr>
              <w:t>卫生计生部门、基层医疗卫生机构采用多种方式，通过多种媒体平台宣传基本公共卫生服务项目，提高居民对项目的知晓率。</w:t>
            </w:r>
          </w:p>
        </w:tc>
        <w:tc>
          <w:tcPr>
            <w:tcW w:w="4111" w:type="dxa"/>
            <w:tcBorders>
              <w:right w:val="single" w:sz="4" w:space="0" w:color="auto"/>
            </w:tcBorders>
            <w:vAlign w:val="center"/>
          </w:tcPr>
          <w:p>
            <w:pPr>
              <w:rPr>
                <w:szCs w:val="21"/>
              </w:rPr>
            </w:pPr>
            <w:r>
              <w:rPr>
                <w:rFonts w:hint="eastAsia"/>
                <w:szCs w:val="21"/>
              </w:rPr>
              <w:t>卫生计生部门、</w:t>
            </w:r>
            <w:r>
              <w:rPr>
                <w:rFonts w:hint="eastAsia"/>
                <w:b/>
                <w:szCs w:val="21"/>
              </w:rPr>
              <w:t>基层医疗卫生机构开展项目宣传的有关文件、资料和活动记录。</w:t>
            </w:r>
          </w:p>
        </w:tc>
        <w:tc>
          <w:tcPr>
            <w:tcW w:w="3686" w:type="dxa"/>
            <w:tcBorders>
              <w:left w:val="single" w:sz="4" w:space="0" w:color="auto"/>
            </w:tcBorders>
            <w:vAlign w:val="center"/>
          </w:tcPr>
          <w:p>
            <w:pPr>
              <w:rPr>
                <w:szCs w:val="21"/>
              </w:rPr>
            </w:pPr>
            <w:r>
              <w:rPr>
                <w:rFonts w:hint="eastAsia"/>
                <w:szCs w:val="21"/>
              </w:rPr>
              <w:t>满分1分，</w:t>
            </w:r>
            <w:r>
              <w:rPr>
                <w:rFonts w:hint="eastAsia"/>
                <w:b/>
                <w:szCs w:val="21"/>
              </w:rPr>
              <w:t>以县（市、区）为单位，每个单位全年不少于3种媒体（或方式）进行项目宣传，</w:t>
            </w:r>
            <w:r>
              <w:rPr>
                <w:rFonts w:hint="eastAsia"/>
                <w:szCs w:val="21"/>
              </w:rPr>
              <w:t>少1种扣0.3分</w:t>
            </w:r>
          </w:p>
        </w:tc>
      </w:tr>
      <w:tr>
        <w:tblPrEx>
          <w:tblW w:w="15843" w:type="dxa"/>
          <w:tblLayout w:type="fixed"/>
          <w:tblCellMar>
            <w:top w:w="0" w:type="dxa"/>
            <w:left w:w="108" w:type="dxa"/>
            <w:bottom w:w="0" w:type="dxa"/>
            <w:right w:w="108" w:type="dxa"/>
          </w:tblCellMar>
          <w:tblLook w:val="0000"/>
        </w:tblPrEx>
        <w:trPr>
          <w:trHeight w:val="1117"/>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1.2.4</w:t>
            </w:r>
            <w:r>
              <w:rPr>
                <w:rFonts w:hint="eastAsia"/>
                <w:b/>
                <w:szCs w:val="21"/>
              </w:rPr>
              <w:t>问题整改（2分）</w:t>
            </w:r>
          </w:p>
        </w:tc>
        <w:tc>
          <w:tcPr>
            <w:tcW w:w="3969" w:type="dxa"/>
            <w:vAlign w:val="center"/>
          </w:tcPr>
          <w:p>
            <w:pPr>
              <w:rPr>
                <w:szCs w:val="21"/>
              </w:rPr>
            </w:pPr>
            <w:r>
              <w:rPr>
                <w:rFonts w:hint="eastAsia"/>
                <w:szCs w:val="21"/>
              </w:rPr>
              <w:t>卫生计生部门对本地区在上级考核，以及本级自查考核中发现问题的整改情况。</w:t>
            </w:r>
          </w:p>
        </w:tc>
        <w:tc>
          <w:tcPr>
            <w:tcW w:w="4111" w:type="dxa"/>
            <w:tcBorders>
              <w:right w:val="single" w:sz="4" w:space="0" w:color="auto"/>
            </w:tcBorders>
            <w:vAlign w:val="center"/>
          </w:tcPr>
          <w:p>
            <w:pPr>
              <w:rPr>
                <w:szCs w:val="21"/>
              </w:rPr>
            </w:pPr>
            <w:r>
              <w:rPr>
                <w:rFonts w:hint="eastAsia"/>
                <w:szCs w:val="21"/>
              </w:rPr>
              <w:t>卫生计生部门上年度项目自查考核报告，问题整改报告，整改落实有关文件和资料。</w:t>
            </w:r>
          </w:p>
        </w:tc>
        <w:tc>
          <w:tcPr>
            <w:tcW w:w="3686" w:type="dxa"/>
            <w:tcBorders>
              <w:left w:val="single" w:sz="4" w:space="0" w:color="auto"/>
            </w:tcBorders>
            <w:vAlign w:val="center"/>
          </w:tcPr>
          <w:p>
            <w:pPr>
              <w:rPr>
                <w:szCs w:val="21"/>
              </w:rPr>
            </w:pPr>
            <w:r>
              <w:rPr>
                <w:rFonts w:hint="eastAsia"/>
                <w:szCs w:val="21"/>
              </w:rPr>
              <w:t>满分1分。</w:t>
            </w:r>
            <w:r>
              <w:rPr>
                <w:rFonts w:hint="eastAsia"/>
                <w:b/>
                <w:szCs w:val="21"/>
              </w:rPr>
              <w:t>根据上年度整改报告，核实整改情况（按照涉及的部门及有关单位进行核查）。</w:t>
            </w:r>
          </w:p>
        </w:tc>
      </w:tr>
      <w:tr>
        <w:tblPrEx>
          <w:tblW w:w="15843" w:type="dxa"/>
          <w:tblLayout w:type="fixed"/>
          <w:tblCellMar>
            <w:top w:w="0" w:type="dxa"/>
            <w:left w:w="108" w:type="dxa"/>
            <w:bottom w:w="0" w:type="dxa"/>
            <w:right w:w="108" w:type="dxa"/>
          </w:tblCellMar>
          <w:tblLook w:val="0000"/>
        </w:tblPrEx>
        <w:trPr>
          <w:trHeight w:val="1543"/>
        </w:trPr>
        <w:tc>
          <w:tcPr>
            <w:tcW w:w="1419" w:type="dxa"/>
            <w:vMerge/>
            <w:vAlign w:val="center"/>
          </w:tcPr>
          <w:p>
            <w:pPr>
              <w:jc w:val="center"/>
              <w:rPr>
                <w:b/>
                <w:szCs w:val="21"/>
              </w:rPr>
            </w:pPr>
          </w:p>
        </w:tc>
        <w:tc>
          <w:tcPr>
            <w:tcW w:w="1241" w:type="dxa"/>
            <w:vAlign w:val="center"/>
          </w:tcPr>
          <w:p>
            <w:pPr>
              <w:jc w:val="left"/>
              <w:rPr>
                <w:b/>
                <w:szCs w:val="21"/>
              </w:rPr>
            </w:pPr>
            <w:r>
              <w:rPr>
                <w:b/>
                <w:szCs w:val="21"/>
              </w:rPr>
              <w:t>1.3</w:t>
            </w:r>
            <w:r>
              <w:rPr>
                <w:rFonts w:hint="eastAsia"/>
                <w:b/>
                <w:szCs w:val="21"/>
              </w:rPr>
              <w:t>绩效考核（6分）</w:t>
            </w:r>
          </w:p>
        </w:tc>
        <w:tc>
          <w:tcPr>
            <w:tcW w:w="1417" w:type="dxa"/>
            <w:vAlign w:val="center"/>
          </w:tcPr>
          <w:p>
            <w:pPr>
              <w:rPr>
                <w:b/>
                <w:szCs w:val="21"/>
              </w:rPr>
            </w:pPr>
            <w:r>
              <w:rPr>
                <w:b/>
                <w:szCs w:val="21"/>
              </w:rPr>
              <w:t>1.3.1</w:t>
            </w:r>
            <w:r>
              <w:rPr>
                <w:rFonts w:hint="eastAsia"/>
                <w:b/>
                <w:szCs w:val="21"/>
              </w:rPr>
              <w:t>绩效考核组织管理</w:t>
            </w:r>
          </w:p>
          <w:p>
            <w:pPr>
              <w:rPr>
                <w:b/>
                <w:szCs w:val="21"/>
              </w:rPr>
            </w:pPr>
            <w:r>
              <w:rPr>
                <w:rFonts w:hint="eastAsia"/>
                <w:b/>
                <w:szCs w:val="21"/>
              </w:rPr>
              <w:t>（2分）</w:t>
            </w:r>
          </w:p>
        </w:tc>
        <w:tc>
          <w:tcPr>
            <w:tcW w:w="3969" w:type="dxa"/>
            <w:vAlign w:val="center"/>
          </w:tcPr>
          <w:p>
            <w:pPr>
              <w:rPr>
                <w:szCs w:val="21"/>
              </w:rPr>
            </w:pPr>
            <w:r>
              <w:rPr>
                <w:rFonts w:hint="eastAsia"/>
                <w:szCs w:val="21"/>
              </w:rPr>
              <w:t>市、县（市、区）制定或转发用于指导本地区国家基本公共卫生服务项目绩效考核的制度、方案，各级制定的绩效考核方案、绩效考核指标体系。地方绩效考核的有关方案、指标等应符合国家及省卫生计生、财政部门有关要求。</w:t>
            </w:r>
          </w:p>
        </w:tc>
        <w:tc>
          <w:tcPr>
            <w:tcW w:w="4111" w:type="dxa"/>
            <w:tcBorders>
              <w:right w:val="single" w:sz="4" w:space="0" w:color="auto"/>
            </w:tcBorders>
            <w:vAlign w:val="center"/>
          </w:tcPr>
          <w:p>
            <w:pPr>
              <w:rPr>
                <w:szCs w:val="21"/>
              </w:rPr>
            </w:pPr>
            <w:r>
              <w:rPr>
                <w:rFonts w:hint="eastAsia"/>
                <w:szCs w:val="21"/>
              </w:rPr>
              <w:t>卫生计生部门提供的绩效考核方案、考核指标等有关文件、资料。</w:t>
            </w:r>
          </w:p>
        </w:tc>
        <w:tc>
          <w:tcPr>
            <w:tcW w:w="3686" w:type="dxa"/>
            <w:tcBorders>
              <w:left w:val="single" w:sz="4" w:space="0" w:color="auto"/>
            </w:tcBorders>
            <w:vAlign w:val="center"/>
          </w:tcPr>
          <w:p>
            <w:pPr>
              <w:rPr>
                <w:rFonts w:ascii="宋体" w:hAnsi="宋体"/>
                <w:szCs w:val="21"/>
              </w:rPr>
            </w:pPr>
            <w:r>
              <w:rPr>
                <w:rFonts w:ascii="宋体" w:hAnsi="宋体" w:hint="eastAsia"/>
                <w:szCs w:val="21"/>
              </w:rPr>
              <w:t>①</w:t>
            </w:r>
            <w:r>
              <w:rPr>
                <w:rFonts w:ascii="宋体" w:hAnsi="宋体" w:hint="eastAsia"/>
                <w:szCs w:val="21"/>
              </w:rPr>
              <w:t>市级有绩效考核指导方案，县（市、区）有绩效考核实施方案，；（0.5分）</w:t>
            </w:r>
          </w:p>
          <w:p>
            <w:pPr>
              <w:rPr>
                <w:rFonts w:ascii="宋体" w:hAnsi="宋体"/>
                <w:szCs w:val="21"/>
              </w:rPr>
            </w:pPr>
            <w:r>
              <w:rPr>
                <w:rFonts w:ascii="宋体" w:hAnsi="宋体" w:hint="eastAsia"/>
                <w:szCs w:val="21"/>
              </w:rPr>
              <w:t>②</w:t>
            </w:r>
            <w:r>
              <w:rPr>
                <w:rFonts w:ascii="宋体" w:hAnsi="宋体" w:hint="eastAsia"/>
                <w:szCs w:val="21"/>
              </w:rPr>
              <w:t>考核方案明确了考核实施机构、考核时间、考核周期等；（0.5分）</w:t>
            </w:r>
          </w:p>
          <w:p>
            <w:pPr>
              <w:rPr>
                <w:rFonts w:ascii="宋体" w:hAnsi="宋体"/>
                <w:szCs w:val="21"/>
              </w:rPr>
            </w:pPr>
            <w:r>
              <w:rPr>
                <w:rFonts w:ascii="宋体" w:hAnsi="宋体" w:hint="eastAsia"/>
                <w:szCs w:val="21"/>
              </w:rPr>
              <w:t>③</w:t>
            </w:r>
            <w:r>
              <w:rPr>
                <w:rFonts w:ascii="宋体" w:hAnsi="宋体" w:hint="eastAsia"/>
                <w:szCs w:val="21"/>
              </w:rPr>
              <w:t>考核内容涵盖组织管理、资金管理、项目实施等，考核指标具体可操作；（0.5分）</w:t>
            </w:r>
          </w:p>
          <w:p>
            <w:pPr>
              <w:rPr>
                <w:rFonts w:ascii="宋体" w:hAnsi="宋体"/>
                <w:szCs w:val="21"/>
              </w:rPr>
            </w:pPr>
            <w:r>
              <w:rPr>
                <w:rFonts w:ascii="宋体" w:hAnsi="宋体" w:hint="eastAsia"/>
                <w:szCs w:val="21"/>
              </w:rPr>
              <w:t>④</w:t>
            </w:r>
            <w:r>
              <w:rPr>
                <w:rFonts w:ascii="宋体" w:hAnsi="宋体" w:hint="eastAsia"/>
                <w:szCs w:val="21"/>
              </w:rPr>
              <w:t>明确考核结果应用方式，并与资金分配挂钩；（0.5分）</w:t>
            </w:r>
          </w:p>
        </w:tc>
      </w:tr>
    </w:tbl>
    <w:p>
      <w:pPr>
        <w:sectPr>
          <w:headerReference w:type="even" r:id="rId46"/>
          <w:headerReference w:type="default" r:id="rId47"/>
          <w:footerReference w:type="even" r:id="rId48"/>
          <w:footerReference w:type="default" r:id="rId49"/>
          <w:headerReference w:type="first" r:id="rId50"/>
          <w:footerReference w:type="first" r:id="rId51"/>
          <w:type w:val="nextPage"/>
          <w:pgSz w:w="16838" w:h="11906" w:orient="landscape"/>
          <w:pgMar w:top="1797" w:right="1440" w:bottom="1797" w:left="1440" w:header="851" w:footer="992" w:gutter="0"/>
          <w:pgNumType w:start="8"/>
          <w:cols w:space="708"/>
          <w:titlePg w:val="0"/>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1381"/>
        </w:trPr>
        <w:tc>
          <w:tcPr>
            <w:tcW w:w="1419" w:type="dxa"/>
            <w:vMerge w:val="restart"/>
            <w:vAlign w:val="center"/>
          </w:tcPr>
          <w:p>
            <w:pPr>
              <w:jc w:val="center"/>
              <w:rPr>
                <w:b/>
                <w:szCs w:val="21"/>
              </w:rPr>
            </w:pPr>
          </w:p>
        </w:tc>
        <w:tc>
          <w:tcPr>
            <w:tcW w:w="1241" w:type="dxa"/>
            <w:vMerge w:val="restart"/>
            <w:vAlign w:val="center"/>
          </w:tcPr>
          <w:p>
            <w:pPr>
              <w:jc w:val="left"/>
              <w:rPr>
                <w:b/>
                <w:szCs w:val="21"/>
              </w:rPr>
            </w:pPr>
          </w:p>
        </w:tc>
        <w:tc>
          <w:tcPr>
            <w:tcW w:w="1417" w:type="dxa"/>
            <w:vAlign w:val="center"/>
          </w:tcPr>
          <w:p>
            <w:pPr>
              <w:rPr>
                <w:b/>
                <w:szCs w:val="21"/>
              </w:rPr>
            </w:pPr>
            <w:r>
              <w:rPr>
                <w:b/>
                <w:szCs w:val="21"/>
              </w:rPr>
              <w:t>1.3.2</w:t>
            </w:r>
            <w:r>
              <w:rPr>
                <w:rFonts w:hint="eastAsia"/>
                <w:b/>
                <w:szCs w:val="21"/>
              </w:rPr>
              <w:t>绩效考核工作落实</w:t>
            </w:r>
          </w:p>
          <w:p>
            <w:pPr>
              <w:rPr>
                <w:b/>
                <w:szCs w:val="21"/>
              </w:rPr>
            </w:pPr>
            <w:r>
              <w:rPr>
                <w:rFonts w:hint="eastAsia"/>
                <w:b/>
                <w:szCs w:val="21"/>
              </w:rPr>
              <w:t>（2分）</w:t>
            </w:r>
          </w:p>
        </w:tc>
        <w:tc>
          <w:tcPr>
            <w:tcW w:w="3969" w:type="dxa"/>
            <w:vAlign w:val="center"/>
          </w:tcPr>
          <w:p>
            <w:pPr>
              <w:rPr>
                <w:szCs w:val="21"/>
              </w:rPr>
            </w:pPr>
            <w:r>
              <w:rPr>
                <w:rFonts w:hint="eastAsia"/>
                <w:szCs w:val="21"/>
              </w:rPr>
              <w:t>各级及时、完整地开展绩效考核工作，获得绩效考核结果并及时通报，将考核结果与补助资金挂钩。</w:t>
            </w:r>
          </w:p>
          <w:p>
            <w:pPr>
              <w:rPr>
                <w:szCs w:val="21"/>
              </w:rPr>
            </w:pPr>
            <w:r>
              <w:rPr>
                <w:rFonts w:hint="eastAsia"/>
                <w:szCs w:val="21"/>
              </w:rPr>
              <w:t>基层医疗卫生机构建立内部绩效考核制度，开展对机构内部科室及岗位，对承担工作任务的服务站、村卫生室的绩效考核。</w:t>
            </w:r>
          </w:p>
        </w:tc>
        <w:tc>
          <w:tcPr>
            <w:tcW w:w="4111" w:type="dxa"/>
            <w:tcBorders>
              <w:right w:val="single" w:sz="4" w:space="0" w:color="auto"/>
            </w:tcBorders>
            <w:vAlign w:val="center"/>
          </w:tcPr>
          <w:p>
            <w:pPr>
              <w:rPr>
                <w:szCs w:val="21"/>
              </w:rPr>
            </w:pPr>
            <w:r>
              <w:rPr>
                <w:rFonts w:hint="eastAsia"/>
                <w:szCs w:val="21"/>
              </w:rPr>
              <w:t>卫生计生部门开展绩效考核的考核工具、考核过程资料、考核获得的数据、考核报告、考核结果和结果应用文件和有关补助资金分配凭据。</w:t>
            </w:r>
          </w:p>
          <w:p>
            <w:pPr>
              <w:rPr>
                <w:szCs w:val="21"/>
              </w:rPr>
            </w:pPr>
            <w:r>
              <w:rPr>
                <w:rFonts w:hint="eastAsia"/>
                <w:szCs w:val="21"/>
              </w:rPr>
              <w:t>基层医疗卫生机构的绩效考核过程记录、考核结果与应用。</w:t>
            </w:r>
          </w:p>
        </w:tc>
        <w:tc>
          <w:tcPr>
            <w:tcW w:w="3686" w:type="dxa"/>
            <w:tcBorders>
              <w:left w:val="single" w:sz="4" w:space="0" w:color="auto"/>
            </w:tcBorders>
            <w:vAlign w:val="center"/>
          </w:tcPr>
          <w:p>
            <w:pPr>
              <w:rPr>
                <w:szCs w:val="21"/>
              </w:rPr>
            </w:pPr>
            <w:r>
              <w:rPr>
                <w:rFonts w:hint="eastAsia"/>
                <w:szCs w:val="21"/>
              </w:rPr>
              <w:t>市、县（市、区）考核有反映考核过程的完整记录及考核工具表；（0.5分）有考核结果通报（得分或排名）0.5分；</w:t>
            </w:r>
          </w:p>
          <w:p>
            <w:pPr>
              <w:rPr>
                <w:szCs w:val="21"/>
              </w:rPr>
            </w:pPr>
            <w:r>
              <w:rPr>
                <w:rFonts w:hint="eastAsia"/>
                <w:szCs w:val="21"/>
              </w:rPr>
              <w:t>基层医疗卫生机构有考核制度（方案）0.5分；有考核结果及应用。0.5分</w:t>
            </w:r>
          </w:p>
        </w:tc>
      </w:tr>
      <w:tr>
        <w:tblPrEx>
          <w:tblW w:w="15843" w:type="dxa"/>
          <w:tblLayout w:type="fixed"/>
          <w:tblCellMar>
            <w:top w:w="0" w:type="dxa"/>
            <w:left w:w="108" w:type="dxa"/>
            <w:bottom w:w="0" w:type="dxa"/>
            <w:right w:w="108" w:type="dxa"/>
          </w:tblCellMar>
          <w:tblLook w:val="0000"/>
        </w:tblPrEx>
        <w:trPr>
          <w:trHeight w:val="1104"/>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1.3.3</w:t>
            </w:r>
            <w:r>
              <w:rPr>
                <w:rFonts w:hint="eastAsia"/>
                <w:b/>
                <w:szCs w:val="21"/>
              </w:rPr>
              <w:t>绩效考核工作质量（2分）</w:t>
            </w:r>
          </w:p>
        </w:tc>
        <w:tc>
          <w:tcPr>
            <w:tcW w:w="3969" w:type="dxa"/>
            <w:vAlign w:val="center"/>
          </w:tcPr>
          <w:p>
            <w:pPr>
              <w:rPr>
                <w:szCs w:val="21"/>
              </w:rPr>
            </w:pPr>
            <w:r>
              <w:rPr>
                <w:rFonts w:hint="eastAsia"/>
                <w:szCs w:val="21"/>
              </w:rPr>
              <w:t>各级实施绩效考核工作所获得的考核结果与省级考核结果的符合情况。</w:t>
            </w:r>
          </w:p>
        </w:tc>
        <w:tc>
          <w:tcPr>
            <w:tcW w:w="4111" w:type="dxa"/>
            <w:tcBorders>
              <w:right w:val="single" w:sz="4" w:space="0" w:color="auto"/>
            </w:tcBorders>
            <w:vAlign w:val="center"/>
          </w:tcPr>
          <w:p>
            <w:pPr>
              <w:rPr>
                <w:b/>
                <w:szCs w:val="21"/>
              </w:rPr>
            </w:pPr>
            <w:r>
              <w:rPr>
                <w:rFonts w:hint="eastAsia"/>
                <w:b/>
                <w:szCs w:val="21"/>
              </w:rPr>
              <w:t>从现场考核指标中选取部分指标，考核省级现场考核结果和地方考核结果的符合程度。</w:t>
            </w:r>
          </w:p>
        </w:tc>
        <w:tc>
          <w:tcPr>
            <w:tcW w:w="3686" w:type="dxa"/>
            <w:tcBorders>
              <w:left w:val="single" w:sz="4" w:space="0" w:color="auto"/>
            </w:tcBorders>
            <w:vAlign w:val="center"/>
          </w:tcPr>
          <w:p>
            <w:pPr>
              <w:rPr>
                <w:szCs w:val="21"/>
              </w:rPr>
            </w:pPr>
            <w:r>
              <w:rPr>
                <w:rFonts w:hint="eastAsia"/>
                <w:b/>
                <w:szCs w:val="21"/>
              </w:rPr>
              <w:t>从现场考核中选取居民健康档案建档率，高血压及糖尿病患者健康管理率、规范管理率，老年人健康管理率与县（市、区）考核结果进行比对，每发现1项误差</w:t>
            </w:r>
            <w:r>
              <w:rPr>
                <w:rFonts w:ascii="宋体" w:hAnsi="宋体" w:hint="eastAsia"/>
                <w:b/>
                <w:szCs w:val="21"/>
              </w:rPr>
              <w:t>≥</w:t>
            </w:r>
            <w:r>
              <w:rPr>
                <w:rFonts w:hint="eastAsia"/>
                <w:b/>
                <w:szCs w:val="21"/>
              </w:rPr>
              <w:t>10%的扣0.5分，扣完为止</w:t>
            </w:r>
            <w:r>
              <w:rPr>
                <w:rFonts w:hint="eastAsia"/>
                <w:szCs w:val="21"/>
              </w:rPr>
              <w:t>。</w:t>
            </w:r>
          </w:p>
        </w:tc>
      </w:tr>
      <w:tr>
        <w:tblPrEx>
          <w:tblW w:w="15843" w:type="dxa"/>
          <w:tblLayout w:type="fixed"/>
          <w:tblCellMar>
            <w:top w:w="0" w:type="dxa"/>
            <w:left w:w="108" w:type="dxa"/>
            <w:bottom w:w="0" w:type="dxa"/>
            <w:right w:w="108" w:type="dxa"/>
          </w:tblCellMar>
          <w:tblLook w:val="0000"/>
        </w:tblPrEx>
        <w:trPr>
          <w:trHeight w:val="1258"/>
        </w:trPr>
        <w:tc>
          <w:tcPr>
            <w:tcW w:w="1419" w:type="dxa"/>
            <w:vMerge w:val="restart"/>
            <w:tcBorders>
              <w:top w:val="nil"/>
            </w:tcBorders>
            <w:vAlign w:val="center"/>
          </w:tcPr>
          <w:p>
            <w:pPr>
              <w:jc w:val="center"/>
              <w:rPr>
                <w:b/>
                <w:szCs w:val="21"/>
              </w:rPr>
            </w:pPr>
            <w:r>
              <w:rPr>
                <w:b/>
                <w:szCs w:val="21"/>
              </w:rPr>
              <w:t>2.</w:t>
            </w:r>
            <w:r>
              <w:rPr>
                <w:rFonts w:hint="eastAsia"/>
                <w:b/>
                <w:szCs w:val="21"/>
              </w:rPr>
              <w:t>资金管理（15分）</w:t>
            </w:r>
          </w:p>
        </w:tc>
        <w:tc>
          <w:tcPr>
            <w:tcW w:w="1241" w:type="dxa"/>
            <w:vMerge w:val="restart"/>
            <w:tcBorders>
              <w:top w:val="nil"/>
            </w:tcBorders>
            <w:vAlign w:val="center"/>
          </w:tcPr>
          <w:p>
            <w:pPr>
              <w:jc w:val="left"/>
              <w:rPr>
                <w:b/>
                <w:szCs w:val="21"/>
              </w:rPr>
            </w:pPr>
            <w:r>
              <w:rPr>
                <w:b/>
                <w:szCs w:val="21"/>
              </w:rPr>
              <w:t>2.1</w:t>
            </w:r>
            <w:r>
              <w:rPr>
                <w:rFonts w:hint="eastAsia"/>
                <w:b/>
                <w:szCs w:val="21"/>
              </w:rPr>
              <w:t>预算安排（7分）</w:t>
            </w:r>
          </w:p>
        </w:tc>
        <w:tc>
          <w:tcPr>
            <w:tcW w:w="1417" w:type="dxa"/>
            <w:tcBorders>
              <w:top w:val="nil"/>
            </w:tcBorders>
            <w:vAlign w:val="center"/>
          </w:tcPr>
          <w:p>
            <w:pPr>
              <w:rPr>
                <w:b/>
                <w:szCs w:val="21"/>
              </w:rPr>
            </w:pPr>
            <w:r>
              <w:rPr>
                <w:b/>
                <w:szCs w:val="21"/>
              </w:rPr>
              <w:t>2.1.1</w:t>
            </w:r>
            <w:r>
              <w:rPr>
                <w:rFonts w:hint="eastAsia"/>
                <w:b/>
                <w:szCs w:val="21"/>
              </w:rPr>
              <w:t>补助资金落实（2分）</w:t>
            </w:r>
          </w:p>
        </w:tc>
        <w:tc>
          <w:tcPr>
            <w:tcW w:w="3969" w:type="dxa"/>
            <w:tcBorders>
              <w:top w:val="nil"/>
            </w:tcBorders>
            <w:vAlign w:val="center"/>
          </w:tcPr>
          <w:p>
            <w:pPr>
              <w:rPr>
                <w:szCs w:val="21"/>
              </w:rPr>
            </w:pPr>
            <w:r>
              <w:rPr>
                <w:rFonts w:hint="eastAsia"/>
                <w:szCs w:val="21"/>
              </w:rPr>
              <w:t>市、县各级财政部门按照服务人口数和人均补助标准落实项目资金的情况。</w:t>
            </w:r>
          </w:p>
        </w:tc>
        <w:tc>
          <w:tcPr>
            <w:tcW w:w="4111" w:type="dxa"/>
            <w:tcBorders>
              <w:top w:val="nil"/>
              <w:right w:val="single" w:sz="4" w:space="0" w:color="auto"/>
            </w:tcBorders>
            <w:vAlign w:val="center"/>
          </w:tcPr>
          <w:p>
            <w:pPr>
              <w:rPr>
                <w:szCs w:val="21"/>
              </w:rPr>
            </w:pPr>
            <w:r>
              <w:rPr>
                <w:rFonts w:hint="eastAsia"/>
                <w:szCs w:val="21"/>
              </w:rPr>
              <w:t>市、县级对考核年度项目的预算资金指标文件</w:t>
            </w:r>
            <w:r>
              <w:rPr>
                <w:szCs w:val="21"/>
              </w:rPr>
              <w:t>(</w:t>
            </w:r>
            <w:r>
              <w:rPr>
                <w:rFonts w:hint="eastAsia"/>
                <w:szCs w:val="21"/>
              </w:rPr>
              <w:t>或部门预算批复</w:t>
            </w:r>
            <w:r>
              <w:rPr>
                <w:szCs w:val="21"/>
              </w:rPr>
              <w:t>)</w:t>
            </w:r>
            <w:r>
              <w:rPr>
                <w:rFonts w:hint="eastAsia"/>
                <w:szCs w:val="21"/>
              </w:rPr>
              <w:t>。</w:t>
            </w:r>
          </w:p>
        </w:tc>
        <w:tc>
          <w:tcPr>
            <w:tcW w:w="3686" w:type="dxa"/>
            <w:tcBorders>
              <w:top w:val="nil"/>
              <w:left w:val="single" w:sz="4" w:space="0" w:color="auto"/>
            </w:tcBorders>
            <w:vAlign w:val="center"/>
          </w:tcPr>
          <w:p>
            <w:pPr>
              <w:rPr>
                <w:szCs w:val="21"/>
              </w:rPr>
            </w:pPr>
            <w:r>
              <w:rPr>
                <w:rFonts w:hint="eastAsia"/>
                <w:szCs w:val="21"/>
              </w:rPr>
              <w:t>达到标准2分，未达到0分</w:t>
            </w:r>
          </w:p>
        </w:tc>
      </w:tr>
      <w:tr>
        <w:tblPrEx>
          <w:tblW w:w="15843" w:type="dxa"/>
          <w:tblLayout w:type="fixed"/>
          <w:tblCellMar>
            <w:top w:w="0" w:type="dxa"/>
            <w:left w:w="108" w:type="dxa"/>
            <w:bottom w:w="0" w:type="dxa"/>
            <w:right w:w="108" w:type="dxa"/>
          </w:tblCellMar>
          <w:tblLook w:val="0000"/>
        </w:tblPrEx>
        <w:trPr>
          <w:trHeight w:val="1104"/>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2.1.2</w:t>
            </w:r>
            <w:r>
              <w:rPr>
                <w:rFonts w:hint="eastAsia"/>
                <w:b/>
                <w:szCs w:val="21"/>
              </w:rPr>
              <w:t>资金拨付及时性（2分）</w:t>
            </w:r>
          </w:p>
        </w:tc>
        <w:tc>
          <w:tcPr>
            <w:tcW w:w="3969" w:type="dxa"/>
            <w:vAlign w:val="center"/>
          </w:tcPr>
          <w:p>
            <w:pPr>
              <w:tabs>
                <w:tab w:val="left" w:pos="2278"/>
              </w:tabs>
              <w:rPr>
                <w:szCs w:val="21"/>
              </w:rPr>
            </w:pPr>
            <w:r>
              <w:rPr>
                <w:rFonts w:hint="eastAsia"/>
                <w:szCs w:val="21"/>
              </w:rPr>
              <w:t>预算年度开始后，市、县级财政部门对项目资金及时下达的情况。</w:t>
            </w:r>
          </w:p>
        </w:tc>
        <w:tc>
          <w:tcPr>
            <w:tcW w:w="4111" w:type="dxa"/>
            <w:tcBorders>
              <w:right w:val="single" w:sz="4" w:space="0" w:color="auto"/>
            </w:tcBorders>
            <w:vAlign w:val="center"/>
          </w:tcPr>
          <w:p>
            <w:pPr>
              <w:rPr>
                <w:color w:val="000000"/>
                <w:szCs w:val="21"/>
              </w:rPr>
            </w:pPr>
            <w:r>
              <w:rPr>
                <w:rFonts w:hint="eastAsia"/>
                <w:szCs w:val="21"/>
              </w:rPr>
              <w:t>市、县级对考核年度项目的预算资金下达文件或指标文件、到账通知等。</w:t>
            </w:r>
          </w:p>
        </w:tc>
        <w:tc>
          <w:tcPr>
            <w:tcW w:w="3686" w:type="dxa"/>
            <w:tcBorders>
              <w:left w:val="single" w:sz="4" w:space="0" w:color="auto"/>
            </w:tcBorders>
            <w:vAlign w:val="center"/>
          </w:tcPr>
          <w:p>
            <w:pPr>
              <w:rPr>
                <w:rFonts w:ascii="宋体" w:hAnsi="宋体"/>
                <w:color w:val="000000"/>
                <w:szCs w:val="21"/>
              </w:rPr>
            </w:pPr>
            <w:r>
              <w:rPr>
                <w:rFonts w:ascii="宋体" w:hAnsi="宋体" w:hint="eastAsia"/>
                <w:color w:val="000000"/>
                <w:szCs w:val="21"/>
              </w:rPr>
              <w:t>①</w:t>
            </w:r>
            <w:r>
              <w:rPr>
                <w:rFonts w:ascii="宋体" w:hAnsi="宋体" w:hint="eastAsia"/>
                <w:color w:val="000000"/>
                <w:szCs w:val="21"/>
              </w:rPr>
              <w:t>2014年3月31日（含）前，市、县级第一批资金预拨 ；（1分）</w:t>
            </w:r>
          </w:p>
          <w:p>
            <w:pPr>
              <w:rPr>
                <w:rFonts w:ascii="宋体" w:hAnsi="宋体"/>
                <w:color w:val="000000"/>
                <w:szCs w:val="21"/>
              </w:rPr>
            </w:pPr>
            <w:r>
              <w:rPr>
                <w:rFonts w:ascii="宋体" w:hAnsi="宋体" w:hint="eastAsia"/>
                <w:color w:val="000000"/>
                <w:szCs w:val="21"/>
              </w:rPr>
              <w:t>②</w:t>
            </w:r>
            <w:r>
              <w:rPr>
                <w:rFonts w:ascii="宋体" w:hAnsi="宋体" w:hint="eastAsia"/>
                <w:b/>
                <w:color w:val="000000"/>
                <w:szCs w:val="21"/>
              </w:rPr>
              <w:t>2014年6月30日（含）前基层医疗卫生机构到账；</w:t>
            </w:r>
            <w:r>
              <w:rPr>
                <w:rFonts w:ascii="宋体" w:hAnsi="宋体" w:hint="eastAsia"/>
                <w:color w:val="000000"/>
                <w:szCs w:val="21"/>
              </w:rPr>
              <w:t>（1分）</w:t>
            </w:r>
          </w:p>
          <w:p>
            <w:pPr>
              <w:rPr>
                <w:rFonts w:ascii="宋体" w:hAnsi="宋体"/>
                <w:color w:val="000000"/>
                <w:szCs w:val="21"/>
              </w:rPr>
            </w:pPr>
            <w:r>
              <w:rPr>
                <w:rFonts w:ascii="宋体" w:hAnsi="宋体" w:hint="eastAsia"/>
                <w:color w:val="000000"/>
                <w:szCs w:val="21"/>
              </w:rPr>
              <w:t>两个条件均不符合，0分。</w:t>
            </w:r>
          </w:p>
        </w:tc>
      </w:tr>
      <w:tr>
        <w:tblPrEx>
          <w:tblW w:w="15843" w:type="dxa"/>
          <w:tblLayout w:type="fixed"/>
          <w:tblCellMar>
            <w:top w:w="0" w:type="dxa"/>
            <w:left w:w="108" w:type="dxa"/>
            <w:bottom w:w="0" w:type="dxa"/>
            <w:right w:w="108" w:type="dxa"/>
          </w:tblCellMar>
          <w:tblLook w:val="0000"/>
        </w:tblPrEx>
        <w:trPr>
          <w:trHeight w:val="1099"/>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2.1.3</w:t>
            </w:r>
            <w:r>
              <w:rPr>
                <w:rFonts w:hint="eastAsia"/>
                <w:b/>
                <w:szCs w:val="21"/>
              </w:rPr>
              <w:t>资金到位率（2分）</w:t>
            </w:r>
          </w:p>
        </w:tc>
        <w:tc>
          <w:tcPr>
            <w:tcW w:w="3969" w:type="dxa"/>
            <w:vAlign w:val="center"/>
          </w:tcPr>
          <w:p>
            <w:pPr>
              <w:rPr>
                <w:color w:val="000000"/>
                <w:szCs w:val="21"/>
              </w:rPr>
            </w:pPr>
            <w:r>
              <w:rPr>
                <w:rFonts w:hint="eastAsia"/>
                <w:szCs w:val="21"/>
              </w:rPr>
              <w:t>基层医疗卫生机构的项目资金实际到位情况。</w:t>
            </w:r>
          </w:p>
        </w:tc>
        <w:tc>
          <w:tcPr>
            <w:tcW w:w="4111" w:type="dxa"/>
            <w:tcBorders>
              <w:right w:val="single" w:sz="4" w:space="0" w:color="auto"/>
            </w:tcBorders>
            <w:vAlign w:val="center"/>
          </w:tcPr>
          <w:p>
            <w:pPr>
              <w:rPr>
                <w:szCs w:val="21"/>
              </w:rPr>
            </w:pPr>
            <w:r>
              <w:rPr>
                <w:rFonts w:hint="eastAsia"/>
                <w:szCs w:val="21"/>
              </w:rPr>
              <w:t>县级对考核年度项目的预算资金下达文件或指标文件、到账通知等。</w:t>
            </w:r>
          </w:p>
        </w:tc>
        <w:tc>
          <w:tcPr>
            <w:tcW w:w="3686" w:type="dxa"/>
            <w:tcBorders>
              <w:left w:val="single" w:sz="4" w:space="0" w:color="auto"/>
            </w:tcBorders>
            <w:vAlign w:val="center"/>
          </w:tcPr>
          <w:p>
            <w:pPr>
              <w:rPr>
                <w:b/>
                <w:szCs w:val="21"/>
              </w:rPr>
            </w:pPr>
            <w:r>
              <w:rPr>
                <w:rFonts w:hint="eastAsia"/>
                <w:b/>
                <w:szCs w:val="21"/>
              </w:rPr>
              <w:t>2014年6月30日（含）前，资金到位率达到50%；（1分）</w:t>
            </w:r>
          </w:p>
          <w:p>
            <w:pPr>
              <w:spacing w:after="0"/>
              <w:rPr>
                <w:szCs w:val="21"/>
              </w:rPr>
            </w:pPr>
          </w:p>
        </w:tc>
      </w:tr>
    </w:tbl>
    <w:p>
      <w:pPr>
        <w:sectPr>
          <w:headerReference w:type="even" r:id="rId52"/>
          <w:headerReference w:type="default" r:id="rId53"/>
          <w:footerReference w:type="even" r:id="rId54"/>
          <w:footerReference w:type="default" r:id="rId55"/>
          <w:headerReference w:type="first" r:id="rId56"/>
          <w:footerReference w:type="first" r:id="rId57"/>
          <w:type w:val="nextPage"/>
          <w:pgSz w:w="16838" w:h="11906" w:orient="landscape"/>
          <w:pgMar w:top="1797" w:right="1440" w:bottom="1797" w:left="1440" w:header="851" w:footer="992" w:gutter="0"/>
          <w:pgNumType w:start="9"/>
          <w:cols w:space="708"/>
          <w:titlePg w:val="0"/>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1099"/>
        </w:trPr>
        <w:tc>
          <w:tcPr>
            <w:tcW w:w="1419" w:type="dxa"/>
            <w:vMerge w:val="restart"/>
            <w:vAlign w:val="center"/>
          </w:tcPr>
          <w:p/>
        </w:tc>
        <w:tc>
          <w:tcPr>
            <w:tcW w:w="1241" w:type="dxa"/>
            <w:vMerge w:val="restart"/>
            <w:vAlign w:val="center"/>
          </w:tcPr>
          <w:p/>
        </w:tc>
        <w:tc>
          <w:tcPr>
            <w:tcW w:w="1417" w:type="dxa"/>
            <w:vAlign w:val="center"/>
          </w:tcPr>
          <w:p/>
        </w:tc>
        <w:tc>
          <w:tcPr>
            <w:tcW w:w="3969" w:type="dxa"/>
            <w:vAlign w:val="center"/>
          </w:tcPr>
          <w:p/>
        </w:tc>
        <w:tc>
          <w:tcPr>
            <w:tcW w:w="4111" w:type="dxa"/>
            <w:tcBorders>
              <w:right w:val="single" w:sz="4" w:space="0" w:color="auto"/>
            </w:tcBorders>
            <w:vAlign w:val="center"/>
          </w:tcPr>
          <w:p/>
        </w:tc>
        <w:tc>
          <w:tcPr>
            <w:tcW w:w="3686" w:type="dxa"/>
            <w:tcBorders>
              <w:left w:val="single" w:sz="4" w:space="0" w:color="auto"/>
            </w:tcBorders>
            <w:vAlign w:val="center"/>
          </w:tcPr>
          <w:p>
            <w:pPr>
              <w:spacing w:before="0"/>
              <w:rPr>
                <w:szCs w:val="21"/>
              </w:rPr>
            </w:pPr>
            <w:r>
              <w:rPr>
                <w:rFonts w:hint="eastAsia"/>
                <w:szCs w:val="21"/>
              </w:rPr>
              <w:t>2015年3月31日（含）前，结合绩效考核结果，资金到位率100%；（1分）</w:t>
            </w:r>
          </w:p>
        </w:tc>
      </w:tr>
      <w:tr>
        <w:tblPrEx>
          <w:tblW w:w="15843" w:type="dxa"/>
          <w:tblLayout w:type="fixed"/>
          <w:tblCellMar>
            <w:top w:w="0" w:type="dxa"/>
            <w:left w:w="108" w:type="dxa"/>
            <w:bottom w:w="0" w:type="dxa"/>
            <w:right w:w="108" w:type="dxa"/>
          </w:tblCellMar>
          <w:tblLook w:val="0000"/>
        </w:tblPrEx>
        <w:trPr>
          <w:trHeight w:val="1257"/>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2.1.4</w:t>
            </w:r>
            <w:r>
              <w:rPr>
                <w:rFonts w:hint="eastAsia"/>
                <w:b/>
                <w:szCs w:val="21"/>
              </w:rPr>
              <w:t>工作经费补助安排（1分）</w:t>
            </w:r>
          </w:p>
        </w:tc>
        <w:tc>
          <w:tcPr>
            <w:tcW w:w="3969" w:type="dxa"/>
            <w:vAlign w:val="center"/>
          </w:tcPr>
          <w:p>
            <w:pPr>
              <w:rPr>
                <w:szCs w:val="21"/>
              </w:rPr>
            </w:pPr>
            <w:r>
              <w:rPr>
                <w:rFonts w:hint="eastAsia"/>
                <w:szCs w:val="21"/>
              </w:rPr>
              <w:t>市、县（市、区）各级基本公共卫生项目督导、培训等工作经费补助安排情况。</w:t>
            </w:r>
          </w:p>
        </w:tc>
        <w:tc>
          <w:tcPr>
            <w:tcW w:w="4111" w:type="dxa"/>
            <w:tcBorders>
              <w:right w:val="single" w:sz="4" w:space="0" w:color="auto"/>
            </w:tcBorders>
            <w:vAlign w:val="center"/>
          </w:tcPr>
          <w:p>
            <w:pPr>
              <w:rPr>
                <w:color w:val="000000"/>
                <w:szCs w:val="21"/>
              </w:rPr>
            </w:pPr>
            <w:r>
              <w:rPr>
                <w:rFonts w:hint="eastAsia"/>
                <w:szCs w:val="21"/>
              </w:rPr>
              <w:t>工作经费补助安排的有关文件和凭据。</w:t>
            </w:r>
          </w:p>
        </w:tc>
        <w:tc>
          <w:tcPr>
            <w:tcW w:w="3686" w:type="dxa"/>
            <w:tcBorders>
              <w:left w:val="single" w:sz="4" w:space="0" w:color="auto"/>
            </w:tcBorders>
            <w:vAlign w:val="center"/>
          </w:tcPr>
          <w:p>
            <w:pPr>
              <w:rPr>
                <w:color w:val="000000"/>
                <w:szCs w:val="21"/>
              </w:rPr>
            </w:pPr>
            <w:r>
              <w:rPr>
                <w:rFonts w:hint="eastAsia"/>
                <w:color w:val="000000"/>
                <w:szCs w:val="21"/>
              </w:rPr>
              <w:t>市、县（市、区）有工作经费安排的1分；   没有工作经费安排的0分</w:t>
            </w:r>
          </w:p>
        </w:tc>
      </w:tr>
      <w:tr>
        <w:tblPrEx>
          <w:tblW w:w="15843" w:type="dxa"/>
          <w:tblLayout w:type="fixed"/>
          <w:tblCellMar>
            <w:top w:w="0" w:type="dxa"/>
            <w:left w:w="108" w:type="dxa"/>
            <w:bottom w:w="0" w:type="dxa"/>
            <w:right w:w="108" w:type="dxa"/>
          </w:tblCellMar>
          <w:tblLook w:val="0000"/>
        </w:tblPrEx>
        <w:trPr>
          <w:trHeight w:val="1130"/>
        </w:trPr>
        <w:tc>
          <w:tcPr>
            <w:tcW w:w="1419" w:type="dxa"/>
            <w:vMerge/>
            <w:vAlign w:val="center"/>
          </w:tcPr>
          <w:p>
            <w:pPr>
              <w:jc w:val="center"/>
              <w:rPr>
                <w:b/>
                <w:szCs w:val="21"/>
              </w:rPr>
            </w:pPr>
          </w:p>
        </w:tc>
        <w:tc>
          <w:tcPr>
            <w:tcW w:w="1241" w:type="dxa"/>
            <w:vMerge w:val="restart"/>
            <w:vAlign w:val="center"/>
          </w:tcPr>
          <w:p>
            <w:pPr>
              <w:jc w:val="left"/>
              <w:rPr>
                <w:b/>
                <w:szCs w:val="21"/>
              </w:rPr>
            </w:pPr>
            <w:r>
              <w:rPr>
                <w:b/>
                <w:szCs w:val="21"/>
              </w:rPr>
              <w:t>2.2</w:t>
            </w:r>
            <w:r>
              <w:rPr>
                <w:rFonts w:hint="eastAsia"/>
                <w:b/>
                <w:szCs w:val="21"/>
              </w:rPr>
              <w:t>预算执行（4分）</w:t>
            </w:r>
          </w:p>
        </w:tc>
        <w:tc>
          <w:tcPr>
            <w:tcW w:w="1417" w:type="dxa"/>
            <w:vAlign w:val="center"/>
          </w:tcPr>
          <w:p>
            <w:pPr>
              <w:rPr>
                <w:b/>
                <w:szCs w:val="21"/>
              </w:rPr>
            </w:pPr>
            <w:r>
              <w:rPr>
                <w:b/>
                <w:szCs w:val="21"/>
              </w:rPr>
              <w:t>2.2.1</w:t>
            </w:r>
            <w:r>
              <w:rPr>
                <w:rFonts w:hint="eastAsia"/>
                <w:b/>
                <w:szCs w:val="21"/>
              </w:rPr>
              <w:t>预算执行率（2分）</w:t>
            </w:r>
          </w:p>
        </w:tc>
        <w:tc>
          <w:tcPr>
            <w:tcW w:w="3969" w:type="dxa"/>
            <w:vAlign w:val="center"/>
          </w:tcPr>
          <w:p>
            <w:pPr>
              <w:rPr>
                <w:color w:val="000000"/>
                <w:szCs w:val="21"/>
              </w:rPr>
            </w:pPr>
            <w:r>
              <w:rPr>
                <w:rFonts w:hint="eastAsia"/>
                <w:szCs w:val="21"/>
              </w:rPr>
              <w:t>基层医疗卫生机构的考核年度项目资金预算的整体支出进度。</w:t>
            </w:r>
          </w:p>
        </w:tc>
        <w:tc>
          <w:tcPr>
            <w:tcW w:w="4111" w:type="dxa"/>
            <w:tcBorders>
              <w:right w:val="single" w:sz="4" w:space="0" w:color="auto"/>
            </w:tcBorders>
            <w:vAlign w:val="center"/>
          </w:tcPr>
          <w:p>
            <w:pPr>
              <w:rPr>
                <w:szCs w:val="21"/>
              </w:rPr>
            </w:pPr>
            <w:r>
              <w:rPr>
                <w:rFonts w:hint="eastAsia"/>
                <w:szCs w:val="21"/>
              </w:rPr>
              <w:t>基层医疗卫生机构的考核年度项目资金支出进度报表、会计账簿和凭证。</w:t>
            </w:r>
          </w:p>
        </w:tc>
        <w:tc>
          <w:tcPr>
            <w:tcW w:w="3686" w:type="dxa"/>
            <w:tcBorders>
              <w:left w:val="single" w:sz="4" w:space="0" w:color="auto"/>
            </w:tcBorders>
            <w:vAlign w:val="center"/>
          </w:tcPr>
          <w:p>
            <w:pPr>
              <w:rPr>
                <w:szCs w:val="21"/>
              </w:rPr>
            </w:pPr>
            <w:r>
              <w:rPr>
                <w:rFonts w:hint="eastAsia"/>
                <w:szCs w:val="21"/>
              </w:rPr>
              <w:t>按照预算支出进度使用资金（2分）；不符合要求的，酌情扣分。</w:t>
            </w:r>
          </w:p>
        </w:tc>
      </w:tr>
      <w:tr>
        <w:tblPrEx>
          <w:tblW w:w="15843" w:type="dxa"/>
          <w:tblLayout w:type="fixed"/>
          <w:tblCellMar>
            <w:top w:w="0" w:type="dxa"/>
            <w:left w:w="108" w:type="dxa"/>
            <w:bottom w:w="0" w:type="dxa"/>
            <w:right w:w="108" w:type="dxa"/>
          </w:tblCellMar>
          <w:tblLook w:val="0000"/>
        </w:tblPrEx>
        <w:trPr>
          <w:trHeight w:val="1241"/>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2.2.2</w:t>
            </w:r>
            <w:r>
              <w:rPr>
                <w:rFonts w:hint="eastAsia"/>
                <w:b/>
                <w:szCs w:val="21"/>
              </w:rPr>
              <w:t>村卫生室补助到位情况（2分）</w:t>
            </w:r>
          </w:p>
        </w:tc>
        <w:tc>
          <w:tcPr>
            <w:tcW w:w="3969" w:type="dxa"/>
            <w:vAlign w:val="center"/>
          </w:tcPr>
          <w:p>
            <w:pPr>
              <w:rPr>
                <w:szCs w:val="21"/>
              </w:rPr>
            </w:pPr>
            <w:r>
              <w:rPr>
                <w:rFonts w:hint="eastAsia"/>
                <w:szCs w:val="21"/>
              </w:rPr>
              <w:t>县级卫生计生、财政部门、乡镇卫生院按照对村医完成项目工作的数量和质量的考核结果，支付相应年度补助资金的情况。关注新增补经费的及时落实。</w:t>
            </w:r>
          </w:p>
        </w:tc>
        <w:tc>
          <w:tcPr>
            <w:tcW w:w="4111" w:type="dxa"/>
            <w:tcBorders>
              <w:right w:val="single" w:sz="4" w:space="0" w:color="auto"/>
            </w:tcBorders>
            <w:vAlign w:val="center"/>
          </w:tcPr>
          <w:p>
            <w:pPr>
              <w:rPr>
                <w:b/>
                <w:color w:val="000000"/>
                <w:szCs w:val="21"/>
              </w:rPr>
            </w:pPr>
            <w:r>
              <w:rPr>
                <w:rFonts w:hint="eastAsia"/>
                <w:b/>
                <w:szCs w:val="21"/>
              </w:rPr>
              <w:t>乡镇卫生院对村医分工要求、经费分配有关文件、村医考核结果、乡镇卫生院专项支出明细账，村卫生室或村医补助发放有关凭证，以及对村医的访谈。</w:t>
            </w:r>
          </w:p>
        </w:tc>
        <w:tc>
          <w:tcPr>
            <w:tcW w:w="3686" w:type="dxa"/>
            <w:tcBorders>
              <w:left w:val="single" w:sz="4" w:space="0" w:color="auto"/>
            </w:tcBorders>
            <w:vAlign w:val="center"/>
          </w:tcPr>
          <w:p>
            <w:pPr>
              <w:rPr>
                <w:b/>
                <w:color w:val="000000"/>
                <w:szCs w:val="21"/>
              </w:rPr>
            </w:pPr>
            <w:r>
              <w:rPr>
                <w:rFonts w:hint="eastAsia"/>
                <w:b/>
                <w:color w:val="000000"/>
                <w:szCs w:val="21"/>
              </w:rPr>
              <w:t>截止2015年3月31日，按照考核结果及时足额支付；（2分）</w:t>
            </w:r>
          </w:p>
          <w:p>
            <w:pPr>
              <w:rPr>
                <w:b/>
                <w:color w:val="000000"/>
                <w:szCs w:val="21"/>
              </w:rPr>
            </w:pPr>
            <w:r>
              <w:rPr>
                <w:rFonts w:hint="eastAsia"/>
                <w:b/>
                <w:color w:val="000000"/>
                <w:szCs w:val="21"/>
              </w:rPr>
              <w:t>按照考核结果未足额支付，或未经考核直接支付的；（1分）</w:t>
            </w:r>
          </w:p>
          <w:p>
            <w:pPr>
              <w:rPr>
                <w:b/>
                <w:color w:val="000000"/>
                <w:szCs w:val="21"/>
              </w:rPr>
            </w:pPr>
            <w:r>
              <w:rPr>
                <w:rFonts w:hint="eastAsia"/>
                <w:b/>
                <w:color w:val="000000"/>
                <w:szCs w:val="21"/>
              </w:rPr>
              <w:t>承担任务未支付或核实不一致的；（0分）</w:t>
            </w:r>
          </w:p>
          <w:p>
            <w:pPr>
              <w:rPr>
                <w:b/>
                <w:color w:val="000000"/>
                <w:szCs w:val="21"/>
              </w:rPr>
            </w:pPr>
            <w:r>
              <w:rPr>
                <w:rFonts w:hint="eastAsia"/>
                <w:b/>
                <w:color w:val="000000"/>
                <w:szCs w:val="21"/>
              </w:rPr>
              <w:t>注：以领款单签字或银行工资支付凭条为依据，无依据的0分。</w:t>
            </w:r>
          </w:p>
        </w:tc>
      </w:tr>
      <w:tr>
        <w:tblPrEx>
          <w:tblW w:w="15843" w:type="dxa"/>
          <w:tblLayout w:type="fixed"/>
          <w:tblCellMar>
            <w:top w:w="0" w:type="dxa"/>
            <w:left w:w="108" w:type="dxa"/>
            <w:bottom w:w="0" w:type="dxa"/>
            <w:right w:w="108" w:type="dxa"/>
          </w:tblCellMar>
          <w:tblLook w:val="0000"/>
        </w:tblPrEx>
        <w:trPr>
          <w:trHeight w:val="1259"/>
        </w:trPr>
        <w:tc>
          <w:tcPr>
            <w:tcW w:w="1419" w:type="dxa"/>
            <w:vMerge/>
            <w:vAlign w:val="center"/>
          </w:tcPr>
          <w:p>
            <w:pPr>
              <w:jc w:val="center"/>
              <w:rPr>
                <w:b/>
                <w:szCs w:val="21"/>
              </w:rPr>
            </w:pPr>
          </w:p>
        </w:tc>
        <w:tc>
          <w:tcPr>
            <w:tcW w:w="1241" w:type="dxa"/>
            <w:vAlign w:val="center"/>
          </w:tcPr>
          <w:p>
            <w:pPr>
              <w:jc w:val="left"/>
              <w:rPr>
                <w:b/>
                <w:szCs w:val="21"/>
              </w:rPr>
            </w:pPr>
            <w:r>
              <w:rPr>
                <w:b/>
                <w:szCs w:val="21"/>
              </w:rPr>
              <w:t>2.3</w:t>
            </w:r>
            <w:r>
              <w:rPr>
                <w:rFonts w:hint="eastAsia"/>
                <w:b/>
                <w:szCs w:val="21"/>
              </w:rPr>
              <w:t>财务管理（4分）</w:t>
            </w:r>
          </w:p>
        </w:tc>
        <w:tc>
          <w:tcPr>
            <w:tcW w:w="1417" w:type="dxa"/>
            <w:vAlign w:val="center"/>
          </w:tcPr>
          <w:p>
            <w:pPr>
              <w:rPr>
                <w:b/>
                <w:szCs w:val="21"/>
              </w:rPr>
            </w:pPr>
            <w:r>
              <w:rPr>
                <w:b/>
                <w:szCs w:val="21"/>
              </w:rPr>
              <w:t>2.3.1</w:t>
            </w:r>
            <w:r>
              <w:rPr>
                <w:rFonts w:hint="eastAsia"/>
                <w:b/>
                <w:szCs w:val="21"/>
              </w:rPr>
              <w:t>资金使用（2分）</w:t>
            </w:r>
          </w:p>
        </w:tc>
        <w:tc>
          <w:tcPr>
            <w:tcW w:w="3969" w:type="dxa"/>
            <w:vAlign w:val="center"/>
          </w:tcPr>
          <w:p>
            <w:pPr>
              <w:rPr>
                <w:szCs w:val="21"/>
              </w:rPr>
            </w:pPr>
            <w:r>
              <w:rPr>
                <w:rFonts w:hint="eastAsia"/>
                <w:szCs w:val="21"/>
              </w:rPr>
              <w:t>基层医疗卫生机构按照有关财经制度和项目工作要求，使用项目资金，向目标人群提供免费服务的情况。</w:t>
            </w:r>
          </w:p>
        </w:tc>
        <w:tc>
          <w:tcPr>
            <w:tcW w:w="4111" w:type="dxa"/>
            <w:tcBorders>
              <w:right w:val="single" w:sz="4" w:space="0" w:color="auto"/>
            </w:tcBorders>
            <w:vAlign w:val="center"/>
          </w:tcPr>
          <w:p>
            <w:pPr>
              <w:rPr>
                <w:szCs w:val="21"/>
              </w:rPr>
            </w:pPr>
            <w:r>
              <w:rPr>
                <w:rFonts w:hint="eastAsia"/>
                <w:color w:val="000000"/>
                <w:szCs w:val="21"/>
              </w:rPr>
              <w:t>各级卫生计生、财政部门制定的资金管理制度。</w:t>
            </w:r>
            <w:r>
              <w:rPr>
                <w:rFonts w:hint="eastAsia"/>
                <w:szCs w:val="21"/>
              </w:rPr>
              <w:t>基层医疗卫生机构考核年度项目支出的有关会计</w:t>
            </w:r>
            <w:r>
              <w:rPr>
                <w:rFonts w:hint="eastAsia"/>
                <w:color w:val="000000"/>
                <w:szCs w:val="21"/>
              </w:rPr>
              <w:t>凭证，免费提供相关服务的证明。</w:t>
            </w:r>
          </w:p>
        </w:tc>
        <w:tc>
          <w:tcPr>
            <w:tcW w:w="3686" w:type="dxa"/>
            <w:tcBorders>
              <w:left w:val="single" w:sz="4" w:space="0" w:color="auto"/>
            </w:tcBorders>
            <w:vAlign w:val="center"/>
          </w:tcPr>
          <w:p>
            <w:pPr>
              <w:rPr>
                <w:rFonts w:ascii="宋体" w:hAnsi="宋体"/>
                <w:szCs w:val="21"/>
              </w:rPr>
            </w:pPr>
            <w:r>
              <w:rPr>
                <w:rFonts w:ascii="楷体" w:eastAsia="楷体" w:hAnsi="楷体" w:hint="eastAsia"/>
                <w:szCs w:val="21"/>
              </w:rPr>
              <w:t>①</w:t>
            </w:r>
            <w:r>
              <w:rPr>
                <w:rFonts w:ascii="宋体" w:hAnsi="宋体" w:hint="eastAsia"/>
                <w:szCs w:val="21"/>
              </w:rPr>
              <w:t>市、县级卫生、财政部门分配项目经费是否符合《省基本公共卫生服务项目补助资金管理办法》；（1分）</w:t>
            </w:r>
          </w:p>
          <w:p>
            <w:pPr>
              <w:rPr>
                <w:rFonts w:ascii="宋体" w:hAnsi="宋体"/>
                <w:szCs w:val="21"/>
              </w:rPr>
            </w:pPr>
            <w:r>
              <w:rPr>
                <w:rFonts w:ascii="楷体" w:eastAsia="楷体" w:hAnsi="楷体" w:hint="eastAsia"/>
                <w:szCs w:val="21"/>
              </w:rPr>
              <w:t>②</w:t>
            </w:r>
            <w:r>
              <w:rPr>
                <w:rFonts w:ascii="宋体" w:hAnsi="宋体" w:hint="eastAsia"/>
                <w:szCs w:val="21"/>
              </w:rPr>
              <w:t>基层医疗卫生机构资金使用符合规定的情况；（1分）</w:t>
            </w:r>
          </w:p>
        </w:tc>
      </w:tr>
    </w:tbl>
    <w:p>
      <w:pPr>
        <w:sectPr>
          <w:headerReference w:type="even" r:id="rId58"/>
          <w:headerReference w:type="default" r:id="rId59"/>
          <w:footerReference w:type="even" r:id="rId60"/>
          <w:footerReference w:type="default" r:id="rId61"/>
          <w:headerReference w:type="first" r:id="rId62"/>
          <w:footerReference w:type="first" r:id="rId63"/>
          <w:type w:val="nextPage"/>
          <w:pgSz w:w="16838" w:h="11906" w:orient="landscape"/>
          <w:pgMar w:top="1797" w:right="1440" w:bottom="1797" w:left="1440" w:header="851" w:footer="992" w:gutter="0"/>
          <w:pgNumType w:start="10"/>
          <w:cols w:space="708"/>
          <w:titlePg w:val="0"/>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996"/>
        </w:trPr>
        <w:tc>
          <w:tcPr>
            <w:tcW w:w="1419" w:type="dxa"/>
            <w:vMerge w:val="restart"/>
            <w:vAlign w:val="center"/>
          </w:tcPr>
          <w:p>
            <w:pPr>
              <w:jc w:val="center"/>
              <w:rPr>
                <w:b/>
                <w:szCs w:val="21"/>
              </w:rPr>
            </w:pPr>
          </w:p>
        </w:tc>
        <w:tc>
          <w:tcPr>
            <w:tcW w:w="1241" w:type="dxa"/>
            <w:vMerge w:val="restart"/>
            <w:vAlign w:val="center"/>
          </w:tcPr>
          <w:p>
            <w:pPr>
              <w:jc w:val="left"/>
              <w:rPr>
                <w:b/>
                <w:szCs w:val="21"/>
              </w:rPr>
            </w:pPr>
          </w:p>
        </w:tc>
        <w:tc>
          <w:tcPr>
            <w:tcW w:w="1417" w:type="dxa"/>
            <w:vAlign w:val="center"/>
          </w:tcPr>
          <w:p>
            <w:pPr>
              <w:rPr>
                <w:b/>
                <w:szCs w:val="21"/>
              </w:rPr>
            </w:pPr>
            <w:r>
              <w:rPr>
                <w:b/>
                <w:szCs w:val="21"/>
              </w:rPr>
              <w:t>2.3.2</w:t>
            </w:r>
            <w:r>
              <w:rPr>
                <w:rFonts w:hint="eastAsia"/>
                <w:b/>
                <w:szCs w:val="21"/>
              </w:rPr>
              <w:t>财务核算（2分）</w:t>
            </w:r>
          </w:p>
        </w:tc>
        <w:tc>
          <w:tcPr>
            <w:tcW w:w="3969" w:type="dxa"/>
            <w:vAlign w:val="center"/>
          </w:tcPr>
          <w:p>
            <w:pPr>
              <w:rPr>
                <w:szCs w:val="21"/>
              </w:rPr>
            </w:pPr>
            <w:r>
              <w:rPr>
                <w:rFonts w:hint="eastAsia"/>
                <w:szCs w:val="21"/>
              </w:rPr>
              <w:t>基层医疗卫生机构按照财务制度和会计制度要求，对项目资金进行财务管理和会计核算的情况。</w:t>
            </w:r>
          </w:p>
        </w:tc>
        <w:tc>
          <w:tcPr>
            <w:tcW w:w="4111" w:type="dxa"/>
            <w:tcBorders>
              <w:right w:val="single" w:sz="4" w:space="0" w:color="auto"/>
            </w:tcBorders>
            <w:vAlign w:val="center"/>
          </w:tcPr>
          <w:p>
            <w:pPr>
              <w:rPr>
                <w:color w:val="000000"/>
                <w:szCs w:val="21"/>
              </w:rPr>
            </w:pPr>
            <w:r>
              <w:rPr>
                <w:rFonts w:hint="eastAsia"/>
                <w:color w:val="000000"/>
                <w:szCs w:val="21"/>
              </w:rPr>
              <w:t>基层医疗卫生机构考核年度项目的财务管理资料、会计核算资料。</w:t>
            </w:r>
          </w:p>
        </w:tc>
        <w:tc>
          <w:tcPr>
            <w:tcW w:w="3686" w:type="dxa"/>
            <w:tcBorders>
              <w:left w:val="single" w:sz="4" w:space="0" w:color="auto"/>
            </w:tcBorders>
            <w:vAlign w:val="center"/>
          </w:tcPr>
          <w:p>
            <w:pPr>
              <w:rPr>
                <w:color w:val="000000"/>
                <w:szCs w:val="21"/>
              </w:rPr>
            </w:pPr>
            <w:r>
              <w:rPr>
                <w:rFonts w:hint="eastAsia"/>
                <w:color w:val="000000"/>
                <w:szCs w:val="21"/>
              </w:rPr>
              <w:t>按照会计制度设置明细科目进行专项管理和核算的；（2分）</w:t>
            </w:r>
          </w:p>
          <w:p>
            <w:pPr>
              <w:rPr>
                <w:color w:val="000000"/>
                <w:szCs w:val="21"/>
              </w:rPr>
            </w:pPr>
            <w:r>
              <w:rPr>
                <w:rFonts w:hint="eastAsia"/>
                <w:color w:val="000000"/>
                <w:szCs w:val="21"/>
              </w:rPr>
              <w:t>未按照要求核算，单独设置辅助账核算；（1分）</w:t>
            </w:r>
          </w:p>
          <w:p>
            <w:pPr>
              <w:rPr>
                <w:color w:val="000000"/>
                <w:szCs w:val="21"/>
              </w:rPr>
            </w:pPr>
            <w:r>
              <w:rPr>
                <w:rFonts w:hint="eastAsia"/>
                <w:color w:val="000000"/>
                <w:szCs w:val="21"/>
              </w:rPr>
              <w:t>未按要求核算，也未设置辅助账核算的；（0分）</w:t>
            </w:r>
          </w:p>
        </w:tc>
      </w:tr>
      <w:tr>
        <w:tblPrEx>
          <w:tblW w:w="15843" w:type="dxa"/>
          <w:tblLayout w:type="fixed"/>
          <w:tblCellMar>
            <w:top w:w="0" w:type="dxa"/>
            <w:left w:w="108" w:type="dxa"/>
            <w:bottom w:w="0" w:type="dxa"/>
            <w:right w:w="108" w:type="dxa"/>
          </w:tblCellMar>
          <w:tblLook w:val="0000"/>
        </w:tblPrEx>
        <w:trPr>
          <w:trHeight w:val="845"/>
        </w:trPr>
        <w:tc>
          <w:tcPr>
            <w:tcW w:w="1419" w:type="dxa"/>
            <w:vMerge w:val="restart"/>
            <w:vAlign w:val="center"/>
          </w:tcPr>
          <w:p>
            <w:pPr>
              <w:jc w:val="center"/>
              <w:rPr>
                <w:b/>
                <w:szCs w:val="21"/>
              </w:rPr>
            </w:pPr>
            <w:r>
              <w:rPr>
                <w:b/>
                <w:szCs w:val="21"/>
              </w:rPr>
              <w:t>3.</w:t>
            </w:r>
            <w:r>
              <w:rPr>
                <w:rFonts w:hint="eastAsia"/>
                <w:b/>
                <w:szCs w:val="21"/>
              </w:rPr>
              <w:t>项目执行（50分）</w:t>
            </w:r>
          </w:p>
          <w:p>
            <w:pPr>
              <w:jc w:val="center"/>
              <w:rPr>
                <w:b/>
                <w:szCs w:val="21"/>
              </w:rPr>
            </w:pPr>
          </w:p>
        </w:tc>
        <w:tc>
          <w:tcPr>
            <w:tcW w:w="1241" w:type="dxa"/>
            <w:vMerge w:val="restart"/>
            <w:vAlign w:val="center"/>
          </w:tcPr>
          <w:p>
            <w:pPr>
              <w:jc w:val="left"/>
              <w:rPr>
                <w:b/>
                <w:szCs w:val="21"/>
              </w:rPr>
            </w:pPr>
            <w:r>
              <w:rPr>
                <w:b/>
                <w:szCs w:val="21"/>
              </w:rPr>
              <w:t>3.1</w:t>
            </w:r>
            <w:r>
              <w:rPr>
                <w:rFonts w:hint="eastAsia"/>
                <w:b/>
                <w:szCs w:val="21"/>
              </w:rPr>
              <w:t>健康档案（6分）</w:t>
            </w:r>
          </w:p>
        </w:tc>
        <w:tc>
          <w:tcPr>
            <w:tcW w:w="1417" w:type="dxa"/>
            <w:vAlign w:val="center"/>
          </w:tcPr>
          <w:p>
            <w:pPr>
              <w:rPr>
                <w:b/>
                <w:szCs w:val="21"/>
              </w:rPr>
            </w:pPr>
            <w:r>
              <w:rPr>
                <w:b/>
                <w:szCs w:val="21"/>
              </w:rPr>
              <w:t>3.1.1</w:t>
            </w:r>
            <w:r>
              <w:rPr>
                <w:rFonts w:hint="eastAsia"/>
                <w:b/>
                <w:szCs w:val="21"/>
              </w:rPr>
              <w:t>电子健康档案建档率（2分）</w:t>
            </w:r>
          </w:p>
        </w:tc>
        <w:tc>
          <w:tcPr>
            <w:tcW w:w="3969" w:type="dxa"/>
            <w:vAlign w:val="center"/>
          </w:tcPr>
          <w:p>
            <w:pPr>
              <w:rPr>
                <w:szCs w:val="21"/>
              </w:rPr>
            </w:pPr>
            <w:r>
              <w:rPr>
                <w:rFonts w:hint="eastAsia"/>
                <w:szCs w:val="21"/>
              </w:rPr>
              <w:t>基层医疗卫生机构</w:t>
            </w:r>
            <w:r>
              <w:rPr>
                <w:rFonts w:ascii="宋体" w:hAnsi="宋体" w:cs="宋体" w:hint="eastAsia"/>
                <w:color w:val="000000"/>
                <w:szCs w:val="21"/>
              </w:rPr>
              <w:t>辖区常住居民中，已经建立了电子健康档案的居民比例。反映电子健康档案建档工作进展。</w:t>
            </w:r>
          </w:p>
        </w:tc>
        <w:tc>
          <w:tcPr>
            <w:tcW w:w="4111" w:type="dxa"/>
            <w:tcBorders>
              <w:right w:val="single" w:sz="4" w:space="0" w:color="auto"/>
            </w:tcBorders>
            <w:vAlign w:val="center"/>
          </w:tcPr>
          <w:p>
            <w:pPr>
              <w:rPr>
                <w:rFonts w:ascii="宋体" w:hAnsi="宋体"/>
                <w:szCs w:val="21"/>
              </w:rPr>
            </w:pPr>
            <w:r>
              <w:rPr>
                <w:rFonts w:ascii="宋体" w:hAnsi="宋体" w:cs="宋体" w:hint="eastAsia"/>
                <w:szCs w:val="21"/>
              </w:rPr>
              <w:t>辖区常住居民数，电子健康档案建档记录，电子健康档案。</w:t>
            </w:r>
          </w:p>
        </w:tc>
        <w:tc>
          <w:tcPr>
            <w:tcW w:w="3686" w:type="dxa"/>
            <w:tcBorders>
              <w:left w:val="single" w:sz="4" w:space="0" w:color="auto"/>
            </w:tcBorders>
            <w:vAlign w:val="center"/>
          </w:tcPr>
          <w:p>
            <w:pPr>
              <w:rPr>
                <w:szCs w:val="21"/>
              </w:rPr>
            </w:pPr>
            <w:r>
              <w:rPr>
                <w:rFonts w:hint="eastAsia"/>
                <w:szCs w:val="21"/>
              </w:rPr>
              <w:t>得分=电子健康档案建档率/</w:t>
            </w:r>
            <w:r>
              <w:rPr>
                <w:rFonts w:hint="eastAsia"/>
                <w:b/>
                <w:szCs w:val="21"/>
              </w:rPr>
              <w:t>70%</w:t>
            </w:r>
            <w:r>
              <w:rPr>
                <w:rFonts w:hint="eastAsia"/>
                <w:szCs w:val="21"/>
              </w:rPr>
              <w:t>*2分</w:t>
            </w:r>
          </w:p>
          <w:p>
            <w:pPr>
              <w:rPr>
                <w:szCs w:val="21"/>
              </w:rPr>
            </w:pPr>
            <w:r>
              <w:rPr>
                <w:rFonts w:hint="eastAsia"/>
                <w:szCs w:val="21"/>
              </w:rPr>
              <w:t>电子健康档案建档率</w:t>
            </w:r>
            <w:r>
              <w:rPr>
                <w:rFonts w:ascii="宋体" w:hAnsi="宋体" w:hint="eastAsia"/>
                <w:szCs w:val="21"/>
              </w:rPr>
              <w:t>≥</w:t>
            </w:r>
            <w:r>
              <w:rPr>
                <w:rFonts w:hint="eastAsia"/>
                <w:szCs w:val="21"/>
              </w:rPr>
              <w:t>70%，2分</w:t>
            </w:r>
          </w:p>
        </w:tc>
      </w:tr>
      <w:tr>
        <w:tblPrEx>
          <w:tblW w:w="15843" w:type="dxa"/>
          <w:tblLayout w:type="fixed"/>
          <w:tblCellMar>
            <w:top w:w="0" w:type="dxa"/>
            <w:left w:w="108" w:type="dxa"/>
            <w:bottom w:w="0" w:type="dxa"/>
            <w:right w:w="108" w:type="dxa"/>
          </w:tblCellMar>
          <w:tblLook w:val="0000"/>
        </w:tblPrEx>
        <w:trPr>
          <w:trHeight w:val="1240"/>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3.1.2</w:t>
            </w:r>
            <w:r>
              <w:rPr>
                <w:rFonts w:hint="eastAsia"/>
                <w:b/>
                <w:szCs w:val="21"/>
              </w:rPr>
              <w:t>健康档案合格率（4分）</w:t>
            </w:r>
          </w:p>
        </w:tc>
        <w:tc>
          <w:tcPr>
            <w:tcW w:w="3969" w:type="dxa"/>
            <w:vAlign w:val="center"/>
          </w:tcPr>
          <w:p>
            <w:pPr>
              <w:rPr>
                <w:szCs w:val="21"/>
              </w:rPr>
            </w:pPr>
            <w:r>
              <w:rPr>
                <w:rFonts w:hint="eastAsia"/>
                <w:szCs w:val="21"/>
              </w:rPr>
              <w:t>已建立的居民健康档案（重点核查上年度新建档案）中，按照国家规范要求，填写合格的档案份数。反映健康档案的质量。</w:t>
            </w:r>
          </w:p>
          <w:p>
            <w:pPr>
              <w:rPr>
                <w:szCs w:val="21"/>
              </w:rPr>
            </w:pPr>
            <w:r>
              <w:rPr>
                <w:rFonts w:hint="eastAsia"/>
                <w:szCs w:val="21"/>
              </w:rPr>
              <w:t>同时，核实健康档案的真实性。</w:t>
            </w:r>
          </w:p>
        </w:tc>
        <w:tc>
          <w:tcPr>
            <w:tcW w:w="4111" w:type="dxa"/>
            <w:tcBorders>
              <w:right w:val="single" w:sz="4" w:space="0" w:color="auto"/>
            </w:tcBorders>
            <w:vAlign w:val="center"/>
          </w:tcPr>
          <w:p>
            <w:pPr>
              <w:rPr>
                <w:szCs w:val="21"/>
              </w:rPr>
            </w:pPr>
            <w:r>
              <w:rPr>
                <w:rFonts w:hint="eastAsia"/>
                <w:szCs w:val="21"/>
              </w:rPr>
              <w:t>考核的县（市、区）</w:t>
            </w:r>
            <w:r>
              <w:rPr>
                <w:rFonts w:hint="eastAsia"/>
                <w:b/>
                <w:szCs w:val="21"/>
              </w:rPr>
              <w:t>随机电话抽查10份不失访的2014年建立的居民健康档案，</w:t>
            </w:r>
            <w:r>
              <w:rPr>
                <w:rFonts w:hint="eastAsia"/>
                <w:szCs w:val="21"/>
              </w:rPr>
              <w:t>进行真实性与规范性核查（如2014年度建档数不能满足要求的核查2015年建档）。</w:t>
            </w:r>
          </w:p>
        </w:tc>
        <w:tc>
          <w:tcPr>
            <w:tcW w:w="3686" w:type="dxa"/>
            <w:tcBorders>
              <w:left w:val="single" w:sz="4" w:space="0" w:color="auto"/>
            </w:tcBorders>
            <w:vAlign w:val="center"/>
          </w:tcPr>
          <w:p>
            <w:pPr>
              <w:rPr>
                <w:szCs w:val="21"/>
              </w:rPr>
            </w:pPr>
            <w:r>
              <w:rPr>
                <w:rFonts w:hint="eastAsia"/>
                <w:szCs w:val="21"/>
              </w:rPr>
              <w:t>得分=（抽查的健康档案合格率/90%*4分）--（不真实档案数*1分）；</w:t>
            </w:r>
          </w:p>
          <w:p>
            <w:pPr>
              <w:rPr>
                <w:szCs w:val="21"/>
              </w:rPr>
            </w:pPr>
            <w:r>
              <w:rPr>
                <w:rFonts w:hint="eastAsia"/>
                <w:szCs w:val="21"/>
              </w:rPr>
              <w:t>抽查的档案合格率</w:t>
            </w:r>
            <w:r>
              <w:rPr>
                <w:rFonts w:ascii="宋体" w:hAnsi="宋体" w:hint="eastAsia"/>
                <w:szCs w:val="21"/>
              </w:rPr>
              <w:t>≥</w:t>
            </w:r>
            <w:r>
              <w:rPr>
                <w:rFonts w:hint="eastAsia"/>
                <w:b/>
                <w:szCs w:val="21"/>
              </w:rPr>
              <w:t>90%</w:t>
            </w:r>
            <w:r>
              <w:rPr>
                <w:rFonts w:hint="eastAsia"/>
                <w:szCs w:val="21"/>
              </w:rPr>
              <w:t>，得分=4分--（不真实档案数*1分）；</w:t>
            </w:r>
          </w:p>
          <w:p>
            <w:pPr>
              <w:rPr>
                <w:szCs w:val="21"/>
              </w:rPr>
            </w:pPr>
            <w:r>
              <w:rPr>
                <w:rFonts w:hint="eastAsia"/>
                <w:szCs w:val="21"/>
              </w:rPr>
              <w:t>有4份及以上不真实档案，本项为0分。</w:t>
            </w:r>
          </w:p>
        </w:tc>
      </w:tr>
      <w:tr>
        <w:tblPrEx>
          <w:tblW w:w="15843" w:type="dxa"/>
          <w:tblLayout w:type="fixed"/>
          <w:tblCellMar>
            <w:top w:w="0" w:type="dxa"/>
            <w:left w:w="108" w:type="dxa"/>
            <w:bottom w:w="0" w:type="dxa"/>
            <w:right w:w="108" w:type="dxa"/>
          </w:tblCellMar>
          <w:tblLook w:val="0000"/>
        </w:tblPrEx>
        <w:trPr>
          <w:trHeight w:val="804"/>
        </w:trPr>
        <w:tc>
          <w:tcPr>
            <w:tcW w:w="1419" w:type="dxa"/>
            <w:vMerge/>
            <w:vAlign w:val="center"/>
          </w:tcPr>
          <w:p>
            <w:pPr>
              <w:jc w:val="center"/>
              <w:rPr>
                <w:b/>
                <w:szCs w:val="21"/>
              </w:rPr>
            </w:pPr>
          </w:p>
        </w:tc>
        <w:tc>
          <w:tcPr>
            <w:tcW w:w="1241" w:type="dxa"/>
            <w:vMerge w:val="restart"/>
            <w:vAlign w:val="center"/>
          </w:tcPr>
          <w:p>
            <w:pPr>
              <w:jc w:val="left"/>
              <w:rPr>
                <w:b/>
                <w:szCs w:val="21"/>
              </w:rPr>
            </w:pPr>
            <w:r>
              <w:rPr>
                <w:b/>
                <w:szCs w:val="21"/>
              </w:rPr>
              <w:t>3.2</w:t>
            </w:r>
            <w:r>
              <w:rPr>
                <w:rFonts w:hint="eastAsia"/>
                <w:b/>
                <w:szCs w:val="21"/>
              </w:rPr>
              <w:t>健康教育（4分）</w:t>
            </w:r>
          </w:p>
        </w:tc>
        <w:tc>
          <w:tcPr>
            <w:tcW w:w="1417" w:type="dxa"/>
            <w:vAlign w:val="center"/>
          </w:tcPr>
          <w:p>
            <w:pPr>
              <w:rPr>
                <w:b/>
                <w:szCs w:val="21"/>
              </w:rPr>
            </w:pPr>
            <w:r>
              <w:rPr>
                <w:b/>
                <w:szCs w:val="21"/>
              </w:rPr>
              <w:t>3.2.1</w:t>
            </w:r>
            <w:r>
              <w:rPr>
                <w:rFonts w:hint="eastAsia"/>
                <w:b/>
                <w:szCs w:val="21"/>
              </w:rPr>
              <w:t>健康教育印刷资料（1分）</w:t>
            </w:r>
          </w:p>
        </w:tc>
        <w:tc>
          <w:tcPr>
            <w:tcW w:w="3969" w:type="dxa"/>
            <w:vAlign w:val="center"/>
          </w:tcPr>
          <w:p>
            <w:pPr>
              <w:rPr>
                <w:szCs w:val="21"/>
              </w:rPr>
            </w:pPr>
            <w:r>
              <w:rPr>
                <w:rFonts w:ascii="宋体" w:hAnsi="宋体" w:cs="宋体" w:hint="eastAsia"/>
                <w:color w:val="000000"/>
                <w:szCs w:val="21"/>
              </w:rPr>
              <w:t>基层医疗卫生机构按照国家基本公共卫生服务规范要求，发放健康教育印刷资料的种类、数量和内容，其中要有一定比例中医药的内容。反映健康教育印刷资料的数量和质量。</w:t>
            </w:r>
          </w:p>
        </w:tc>
        <w:tc>
          <w:tcPr>
            <w:tcW w:w="4111" w:type="dxa"/>
            <w:tcBorders>
              <w:right w:val="single" w:sz="4" w:space="0" w:color="auto"/>
            </w:tcBorders>
            <w:vAlign w:val="center"/>
          </w:tcPr>
          <w:p>
            <w:pPr>
              <w:rPr>
                <w:szCs w:val="21"/>
              </w:rPr>
            </w:pPr>
            <w:r>
              <w:rPr>
                <w:rFonts w:hint="eastAsia"/>
                <w:szCs w:val="21"/>
              </w:rPr>
              <w:t>基层医疗卫生机构开展健康教育，发放、提供的有关印刷资料的记录与实物。</w:t>
            </w:r>
          </w:p>
        </w:tc>
        <w:tc>
          <w:tcPr>
            <w:tcW w:w="3686" w:type="dxa"/>
            <w:tcBorders>
              <w:left w:val="single" w:sz="4" w:space="0" w:color="auto"/>
            </w:tcBorders>
            <w:vAlign w:val="center"/>
          </w:tcPr>
          <w:p>
            <w:pPr>
              <w:rPr>
                <w:szCs w:val="21"/>
              </w:rPr>
            </w:pPr>
            <w:r>
              <w:rPr>
                <w:rFonts w:hint="eastAsia"/>
                <w:szCs w:val="21"/>
              </w:rPr>
              <w:t>健康教育印刷资料种类符合要求（12种）的1分；不符合要求的0分</w:t>
            </w:r>
          </w:p>
        </w:tc>
      </w:tr>
      <w:tr>
        <w:tblPrEx>
          <w:tblW w:w="15843" w:type="dxa"/>
          <w:tblLayout w:type="fixed"/>
          <w:tblCellMar>
            <w:top w:w="0" w:type="dxa"/>
            <w:left w:w="108" w:type="dxa"/>
            <w:bottom w:w="0" w:type="dxa"/>
            <w:right w:w="108" w:type="dxa"/>
          </w:tblCellMar>
          <w:tblLook w:val="0000"/>
        </w:tblPrEx>
        <w:trPr>
          <w:trHeight w:val="830"/>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3.2.2</w:t>
            </w:r>
            <w:r>
              <w:rPr>
                <w:rFonts w:hint="eastAsia"/>
                <w:b/>
                <w:szCs w:val="21"/>
              </w:rPr>
              <w:t>健康教育音像资料（0.5分）</w:t>
            </w:r>
          </w:p>
        </w:tc>
        <w:tc>
          <w:tcPr>
            <w:tcW w:w="3969" w:type="dxa"/>
            <w:vAlign w:val="center"/>
          </w:tcPr>
          <w:p>
            <w:pPr>
              <w:rPr>
                <w:szCs w:val="21"/>
              </w:rPr>
            </w:pPr>
            <w:r>
              <w:rPr>
                <w:rFonts w:hint="eastAsia"/>
                <w:szCs w:val="21"/>
              </w:rPr>
              <w:t>基层医疗卫生机构按照国家基本公共卫生服务规范要求，播放健康教育音像资料的种类</w:t>
            </w:r>
            <w:r>
              <w:rPr>
                <w:rFonts w:ascii="宋体" w:hAnsi="宋体" w:cs="宋体" w:hint="eastAsia"/>
                <w:color w:val="000000"/>
                <w:szCs w:val="21"/>
              </w:rPr>
              <w:t>频次和内容，其中要有一定比例中医药的内容。反映健康教育音像资料的数量和质量。</w:t>
            </w:r>
          </w:p>
        </w:tc>
        <w:tc>
          <w:tcPr>
            <w:tcW w:w="4111" w:type="dxa"/>
            <w:tcBorders>
              <w:right w:val="single" w:sz="4" w:space="0" w:color="auto"/>
            </w:tcBorders>
            <w:vAlign w:val="center"/>
          </w:tcPr>
          <w:p>
            <w:pPr>
              <w:rPr>
                <w:szCs w:val="21"/>
              </w:rPr>
            </w:pPr>
            <w:r>
              <w:rPr>
                <w:rFonts w:hint="eastAsia"/>
                <w:szCs w:val="21"/>
              </w:rPr>
              <w:t>基层医疗卫生机构播放的有关健康教育音像资料的记录、场地和设备。</w:t>
            </w:r>
          </w:p>
        </w:tc>
        <w:tc>
          <w:tcPr>
            <w:tcW w:w="3686" w:type="dxa"/>
            <w:tcBorders>
              <w:left w:val="single" w:sz="4" w:space="0" w:color="auto"/>
            </w:tcBorders>
            <w:vAlign w:val="center"/>
          </w:tcPr>
          <w:p>
            <w:pPr>
              <w:rPr>
                <w:szCs w:val="21"/>
              </w:rPr>
            </w:pPr>
            <w:r>
              <w:rPr>
                <w:rFonts w:hint="eastAsia"/>
                <w:szCs w:val="21"/>
              </w:rPr>
              <w:t>在机构正常应诊时间有符合要求的音像健康教育资料播放场地、不少于6种音像资料的0.5分；不符合要求的0分。</w:t>
            </w:r>
          </w:p>
        </w:tc>
      </w:tr>
    </w:tbl>
    <w:p>
      <w:pPr>
        <w:sectPr>
          <w:headerReference w:type="even" r:id="rId64"/>
          <w:headerReference w:type="default" r:id="rId65"/>
          <w:footerReference w:type="even" r:id="rId66"/>
          <w:footerReference w:type="default" r:id="rId67"/>
          <w:headerReference w:type="first" r:id="rId68"/>
          <w:footerReference w:type="first" r:id="rId69"/>
          <w:type w:val="nextPage"/>
          <w:pgSz w:w="16838" w:h="11906" w:orient="landscape"/>
          <w:pgMar w:top="1797" w:right="1440" w:bottom="1797" w:left="1440" w:header="851" w:footer="992" w:gutter="0"/>
          <w:pgNumType w:start="11"/>
          <w:cols w:space="708"/>
          <w:titlePg w:val="0"/>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967"/>
        </w:trPr>
        <w:tc>
          <w:tcPr>
            <w:tcW w:w="1419" w:type="dxa"/>
            <w:vMerge w:val="restart"/>
            <w:vAlign w:val="center"/>
          </w:tcPr>
          <w:p>
            <w:pPr>
              <w:jc w:val="center"/>
              <w:rPr>
                <w:b/>
                <w:szCs w:val="21"/>
              </w:rPr>
            </w:pPr>
          </w:p>
        </w:tc>
        <w:tc>
          <w:tcPr>
            <w:tcW w:w="1241" w:type="dxa"/>
            <w:vMerge w:val="restart"/>
            <w:vAlign w:val="center"/>
          </w:tcPr>
          <w:p>
            <w:pPr>
              <w:jc w:val="left"/>
              <w:rPr>
                <w:b/>
                <w:szCs w:val="21"/>
              </w:rPr>
            </w:pPr>
          </w:p>
        </w:tc>
        <w:tc>
          <w:tcPr>
            <w:tcW w:w="1417" w:type="dxa"/>
            <w:vAlign w:val="center"/>
          </w:tcPr>
          <w:p>
            <w:pPr>
              <w:rPr>
                <w:b/>
                <w:szCs w:val="21"/>
              </w:rPr>
            </w:pPr>
            <w:r>
              <w:rPr>
                <w:b/>
                <w:szCs w:val="21"/>
              </w:rPr>
              <w:t>3.2.3</w:t>
            </w:r>
            <w:r>
              <w:rPr>
                <w:rFonts w:hint="eastAsia"/>
                <w:b/>
                <w:szCs w:val="21"/>
              </w:rPr>
              <w:t>健康教育宣传栏设置（0.5分）</w:t>
            </w:r>
          </w:p>
        </w:tc>
        <w:tc>
          <w:tcPr>
            <w:tcW w:w="3969" w:type="dxa"/>
            <w:vAlign w:val="center"/>
          </w:tcPr>
          <w:p>
            <w:pPr>
              <w:rPr>
                <w:szCs w:val="21"/>
              </w:rPr>
            </w:pPr>
            <w:r>
              <w:rPr>
                <w:rFonts w:hint="eastAsia"/>
                <w:szCs w:val="21"/>
              </w:rPr>
              <w:t>基层医疗卫生机构按照国家基本公共卫生服务规范要求，设置健康教育宣传栏的个数、更换频次和内容。</w:t>
            </w:r>
            <w:r>
              <w:rPr>
                <w:rFonts w:ascii="宋体" w:hAnsi="宋体" w:cs="宋体" w:hint="eastAsia"/>
                <w:color w:val="000000"/>
                <w:szCs w:val="21"/>
              </w:rPr>
              <w:t>其中要有一定比例中医药的内容。反映健康教育宣传栏设置的数量和质量。</w:t>
            </w:r>
          </w:p>
        </w:tc>
        <w:tc>
          <w:tcPr>
            <w:tcW w:w="4111" w:type="dxa"/>
            <w:tcBorders>
              <w:right w:val="single" w:sz="4" w:space="0" w:color="auto"/>
            </w:tcBorders>
            <w:vAlign w:val="center"/>
          </w:tcPr>
          <w:p>
            <w:pPr>
              <w:rPr>
                <w:szCs w:val="21"/>
              </w:rPr>
            </w:pPr>
            <w:r>
              <w:rPr>
                <w:rFonts w:hint="eastAsia"/>
                <w:szCs w:val="21"/>
              </w:rPr>
              <w:t>基层医疗卫生机构开展健康教育，设置健康教育宣传栏的场地、实物和更换记录等有关资料。</w:t>
            </w:r>
          </w:p>
        </w:tc>
        <w:tc>
          <w:tcPr>
            <w:tcW w:w="3686" w:type="dxa"/>
            <w:tcBorders>
              <w:left w:val="single" w:sz="4" w:space="0" w:color="auto"/>
            </w:tcBorders>
            <w:vAlign w:val="center"/>
          </w:tcPr>
          <w:p>
            <w:pPr>
              <w:rPr>
                <w:szCs w:val="21"/>
              </w:rPr>
            </w:pPr>
            <w:r>
              <w:rPr>
                <w:rFonts w:hint="eastAsia"/>
                <w:szCs w:val="21"/>
              </w:rPr>
              <w:t>健康教育宣传栏设置及内容更换符合要求的0.5分；不符合的0分。</w:t>
            </w:r>
          </w:p>
        </w:tc>
      </w:tr>
      <w:tr>
        <w:tblPrEx>
          <w:tblW w:w="15843" w:type="dxa"/>
          <w:tblLayout w:type="fixed"/>
          <w:tblCellMar>
            <w:top w:w="0" w:type="dxa"/>
            <w:left w:w="108" w:type="dxa"/>
            <w:bottom w:w="0" w:type="dxa"/>
            <w:right w:w="108" w:type="dxa"/>
          </w:tblCellMar>
          <w:tblLook w:val="0000"/>
        </w:tblPrEx>
        <w:trPr>
          <w:trHeight w:val="1010"/>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3.2.4</w:t>
            </w:r>
            <w:r>
              <w:rPr>
                <w:rFonts w:hint="eastAsia"/>
                <w:b/>
                <w:szCs w:val="21"/>
              </w:rPr>
              <w:t>健康教育讲座（1分）</w:t>
            </w:r>
          </w:p>
        </w:tc>
        <w:tc>
          <w:tcPr>
            <w:tcW w:w="3969" w:type="dxa"/>
            <w:vAlign w:val="center"/>
          </w:tcPr>
          <w:p>
            <w:pPr>
              <w:rPr>
                <w:szCs w:val="21"/>
              </w:rPr>
            </w:pPr>
            <w:r>
              <w:rPr>
                <w:rFonts w:hint="eastAsia"/>
                <w:szCs w:val="21"/>
              </w:rPr>
              <w:t>基层医疗卫生机构按照国家基本公共卫生服务规范要求，开展健康知识讲座的次数和内容。</w:t>
            </w:r>
            <w:r>
              <w:rPr>
                <w:rFonts w:ascii="宋体" w:hAnsi="宋体" w:cs="宋体" w:hint="eastAsia"/>
                <w:color w:val="000000"/>
                <w:szCs w:val="21"/>
              </w:rPr>
              <w:t>其中要有一定比例中医药的内容。反映健康教育讲座的数量和质量。</w:t>
            </w:r>
          </w:p>
        </w:tc>
        <w:tc>
          <w:tcPr>
            <w:tcW w:w="4111" w:type="dxa"/>
            <w:tcBorders>
              <w:right w:val="single" w:sz="4" w:space="0" w:color="auto"/>
            </w:tcBorders>
            <w:vAlign w:val="center"/>
          </w:tcPr>
          <w:p>
            <w:pPr>
              <w:rPr>
                <w:szCs w:val="21"/>
              </w:rPr>
            </w:pPr>
            <w:r>
              <w:rPr>
                <w:rFonts w:hint="eastAsia"/>
                <w:szCs w:val="21"/>
              </w:rPr>
              <w:t>基层医疗卫生机构开展健康教育场地，举办公众健康知识讲座的场地，健康教育活动记录表、讲座教案、课件等有关资料。</w:t>
            </w:r>
          </w:p>
        </w:tc>
        <w:tc>
          <w:tcPr>
            <w:tcW w:w="3686" w:type="dxa"/>
            <w:tcBorders>
              <w:left w:val="single" w:sz="4" w:space="0" w:color="auto"/>
            </w:tcBorders>
            <w:vAlign w:val="center"/>
          </w:tcPr>
          <w:p>
            <w:pPr>
              <w:rPr>
                <w:szCs w:val="21"/>
              </w:rPr>
            </w:pPr>
            <w:r>
              <w:rPr>
                <w:rFonts w:hint="eastAsia"/>
                <w:szCs w:val="21"/>
              </w:rPr>
              <w:t>健康教育讲座活动次数、内容符合要求的1分；不符合要求的0分。</w:t>
            </w:r>
          </w:p>
        </w:tc>
      </w:tr>
      <w:tr>
        <w:tblPrEx>
          <w:tblW w:w="15843" w:type="dxa"/>
          <w:tblLayout w:type="fixed"/>
          <w:tblCellMar>
            <w:top w:w="0" w:type="dxa"/>
            <w:left w:w="108" w:type="dxa"/>
            <w:bottom w:w="0" w:type="dxa"/>
            <w:right w:w="108" w:type="dxa"/>
          </w:tblCellMar>
          <w:tblLook w:val="0000"/>
        </w:tblPrEx>
        <w:trPr>
          <w:trHeight w:val="1010"/>
        </w:trPr>
        <w:tc>
          <w:tcPr>
            <w:tcW w:w="1419" w:type="dxa"/>
            <w:vMerge/>
            <w:vAlign w:val="center"/>
          </w:tcPr>
          <w:p>
            <w:pPr>
              <w:jc w:val="center"/>
              <w:rPr>
                <w:b/>
                <w:szCs w:val="21"/>
              </w:rPr>
            </w:pPr>
          </w:p>
        </w:tc>
        <w:tc>
          <w:tcPr>
            <w:tcW w:w="1241" w:type="dxa"/>
            <w:vAlign w:val="center"/>
          </w:tcPr>
          <w:p>
            <w:pPr>
              <w:jc w:val="left"/>
              <w:rPr>
                <w:b/>
                <w:szCs w:val="21"/>
              </w:rPr>
            </w:pPr>
          </w:p>
        </w:tc>
        <w:tc>
          <w:tcPr>
            <w:tcW w:w="1417" w:type="dxa"/>
            <w:vAlign w:val="center"/>
          </w:tcPr>
          <w:p>
            <w:pPr>
              <w:rPr>
                <w:b/>
                <w:szCs w:val="21"/>
              </w:rPr>
            </w:pPr>
            <w:r>
              <w:rPr>
                <w:rFonts w:hint="eastAsia"/>
                <w:b/>
                <w:szCs w:val="21"/>
              </w:rPr>
              <w:t>3.2.5公众健康咨询（1分）</w:t>
            </w:r>
          </w:p>
        </w:tc>
        <w:tc>
          <w:tcPr>
            <w:tcW w:w="3969" w:type="dxa"/>
            <w:vAlign w:val="center"/>
          </w:tcPr>
          <w:p>
            <w:pPr>
              <w:rPr>
                <w:rFonts w:ascii="宋体" w:hAnsi="宋体"/>
                <w:szCs w:val="21"/>
              </w:rPr>
            </w:pPr>
            <w:r>
              <w:rPr>
                <w:rFonts w:ascii="宋体" w:hAnsi="宋体" w:cs="宋体" w:hint="eastAsia"/>
                <w:color w:val="000000"/>
                <w:szCs w:val="21"/>
              </w:rPr>
              <w:t>按照国家基本公共卫生服务规范要求，开展公众健康咨询的次数和内容，其中要有一定比例中医药的内容。反映健康教育咨询开展的数量和质量。</w:t>
            </w:r>
          </w:p>
        </w:tc>
        <w:tc>
          <w:tcPr>
            <w:tcW w:w="4111" w:type="dxa"/>
            <w:tcBorders>
              <w:right w:val="single" w:sz="4" w:space="0" w:color="auto"/>
            </w:tcBorders>
            <w:vAlign w:val="center"/>
          </w:tcPr>
          <w:p>
            <w:pPr>
              <w:rPr>
                <w:rFonts w:ascii="宋体" w:hAnsi="宋体"/>
                <w:szCs w:val="21"/>
              </w:rPr>
            </w:pPr>
            <w:r>
              <w:rPr>
                <w:rFonts w:ascii="宋体" w:hAnsi="宋体" w:cs="宋体" w:hint="eastAsia"/>
                <w:color w:val="000000"/>
                <w:szCs w:val="21"/>
              </w:rPr>
              <w:t>开展健康教育场地，举办公众健康咨询的场地，健康教育活动记录表、现场照片等有关资料。</w:t>
            </w:r>
          </w:p>
        </w:tc>
        <w:tc>
          <w:tcPr>
            <w:tcW w:w="3686" w:type="dxa"/>
            <w:tcBorders>
              <w:left w:val="single" w:sz="4" w:space="0" w:color="auto"/>
            </w:tcBorders>
            <w:vAlign w:val="center"/>
          </w:tcPr>
          <w:p>
            <w:pPr>
              <w:rPr>
                <w:szCs w:val="21"/>
              </w:rPr>
            </w:pPr>
            <w:r>
              <w:rPr>
                <w:rFonts w:hint="eastAsia"/>
                <w:szCs w:val="21"/>
              </w:rPr>
              <w:t>公众健康咨询活动次数、内容符合要求的1分；不符合要求的0分。</w:t>
            </w:r>
          </w:p>
        </w:tc>
      </w:tr>
      <w:tr>
        <w:tblPrEx>
          <w:tblW w:w="15843" w:type="dxa"/>
          <w:tblLayout w:type="fixed"/>
          <w:tblCellMar>
            <w:top w:w="0" w:type="dxa"/>
            <w:left w:w="108" w:type="dxa"/>
            <w:bottom w:w="0" w:type="dxa"/>
            <w:right w:w="108" w:type="dxa"/>
          </w:tblCellMar>
          <w:tblLook w:val="0000"/>
        </w:tblPrEx>
        <w:trPr>
          <w:trHeight w:val="1383"/>
        </w:trPr>
        <w:tc>
          <w:tcPr>
            <w:tcW w:w="1419" w:type="dxa"/>
            <w:vMerge/>
            <w:vAlign w:val="center"/>
          </w:tcPr>
          <w:p>
            <w:pPr>
              <w:jc w:val="center"/>
              <w:rPr>
                <w:b/>
                <w:szCs w:val="21"/>
              </w:rPr>
            </w:pPr>
          </w:p>
        </w:tc>
        <w:tc>
          <w:tcPr>
            <w:tcW w:w="1241" w:type="dxa"/>
            <w:vMerge w:val="restart"/>
            <w:vAlign w:val="center"/>
          </w:tcPr>
          <w:p>
            <w:pPr>
              <w:jc w:val="left"/>
              <w:rPr>
                <w:b/>
                <w:szCs w:val="21"/>
              </w:rPr>
            </w:pPr>
            <w:r>
              <w:rPr>
                <w:b/>
                <w:szCs w:val="21"/>
              </w:rPr>
              <w:t>3.3</w:t>
            </w:r>
            <w:r>
              <w:rPr>
                <w:rFonts w:hint="eastAsia"/>
                <w:b/>
                <w:szCs w:val="21"/>
              </w:rPr>
              <w:t>预防接种（5分）</w:t>
            </w:r>
          </w:p>
        </w:tc>
        <w:tc>
          <w:tcPr>
            <w:tcW w:w="1417" w:type="dxa"/>
            <w:vAlign w:val="center"/>
          </w:tcPr>
          <w:p>
            <w:pPr>
              <w:rPr>
                <w:b/>
                <w:szCs w:val="21"/>
              </w:rPr>
            </w:pPr>
            <w:r>
              <w:rPr>
                <w:b/>
              </w:rPr>
              <w:t xml:space="preserve">3.3.1 </w:t>
            </w:r>
            <w:r>
              <w:rPr>
                <w:rFonts w:hint="eastAsia"/>
                <w:b/>
              </w:rPr>
              <w:t>建证建卡率2分）</w:t>
            </w:r>
          </w:p>
        </w:tc>
        <w:tc>
          <w:tcPr>
            <w:tcW w:w="3969" w:type="dxa"/>
            <w:vAlign w:val="center"/>
          </w:tcPr>
          <w:p>
            <w:pPr>
              <w:rPr>
                <w:szCs w:val="21"/>
              </w:rPr>
            </w:pPr>
            <w:r>
              <w:rPr>
                <w:rFonts w:hint="eastAsia"/>
              </w:rPr>
              <w:t>基层医疗卫生机构按照国家基本公共卫生服务规范要求，及时为辖区内所有</w:t>
            </w:r>
            <w:r>
              <w:t>0-6</w:t>
            </w:r>
            <w:r>
              <w:rPr>
                <w:rFonts w:hint="eastAsia"/>
              </w:rPr>
              <w:t>岁适龄儿童建立预防接种证和预防接种卡（册或预防接种信息个案）等儿童预防接种档案。包括适龄儿童建证率、建卡率。</w:t>
            </w:r>
          </w:p>
        </w:tc>
        <w:tc>
          <w:tcPr>
            <w:tcW w:w="4111" w:type="dxa"/>
            <w:tcBorders>
              <w:right w:val="single" w:sz="4" w:space="0" w:color="auto"/>
            </w:tcBorders>
            <w:vAlign w:val="center"/>
          </w:tcPr>
          <w:p>
            <w:pPr>
              <w:rPr>
                <w:szCs w:val="21"/>
              </w:rPr>
            </w:pPr>
            <w:r>
              <w:rPr>
                <w:rFonts w:hint="eastAsia"/>
              </w:rPr>
              <w:t>基层医疗卫生机构辖区保存的适龄儿童预防接种卡（册或预防接种信息个案）；</w:t>
            </w:r>
            <w:r>
              <w:rPr>
                <w:rFonts w:hint="eastAsia"/>
                <w:szCs w:val="21"/>
              </w:rPr>
              <w:t>每个</w:t>
            </w:r>
            <w:r>
              <w:rPr>
                <w:rFonts w:hint="eastAsia"/>
                <w:b/>
                <w:szCs w:val="21"/>
              </w:rPr>
              <w:t>基层医疗卫生机构调查1所辖区幼儿园，</w:t>
            </w:r>
            <w:r>
              <w:rPr>
                <w:rFonts w:hint="eastAsia"/>
                <w:b/>
              </w:rPr>
              <w:t>调查辖区适龄儿童建证情况。</w:t>
            </w:r>
          </w:p>
        </w:tc>
        <w:tc>
          <w:tcPr>
            <w:tcW w:w="3686" w:type="dxa"/>
            <w:tcBorders>
              <w:left w:val="single" w:sz="4" w:space="0" w:color="auto"/>
            </w:tcBorders>
            <w:vAlign w:val="center"/>
          </w:tcPr>
          <w:p>
            <w:pPr>
              <w:rPr>
                <w:rFonts w:hint="eastAsia"/>
                <w:b/>
                <w:szCs w:val="21"/>
              </w:rPr>
            </w:pPr>
            <w:r>
              <w:rPr>
                <w:rFonts w:hint="eastAsia"/>
                <w:b/>
                <w:szCs w:val="21"/>
              </w:rPr>
              <w:t>调取不少于20名本地户籍儿童与机构预防接种卡比对。</w:t>
            </w:r>
          </w:p>
          <w:p>
            <w:pPr>
              <w:rPr>
                <w:szCs w:val="21"/>
              </w:rPr>
            </w:pPr>
            <w:r>
              <w:rPr>
                <w:rFonts w:hint="eastAsia"/>
                <w:szCs w:val="21"/>
              </w:rPr>
              <w:t>得分=2分*建证建卡率%</w:t>
            </w:r>
          </w:p>
        </w:tc>
      </w:tr>
      <w:tr>
        <w:tblPrEx>
          <w:tblW w:w="15843" w:type="dxa"/>
          <w:tblLayout w:type="fixed"/>
          <w:tblCellMar>
            <w:top w:w="0" w:type="dxa"/>
            <w:left w:w="108" w:type="dxa"/>
            <w:bottom w:w="0" w:type="dxa"/>
            <w:right w:w="108" w:type="dxa"/>
          </w:tblCellMar>
          <w:tblLook w:val="0000"/>
        </w:tblPrEx>
        <w:trPr>
          <w:trHeight w:val="1389"/>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rPr>
              <w:t xml:space="preserve">3.3.2 </w:t>
            </w:r>
            <w:r>
              <w:rPr>
                <w:rFonts w:hint="eastAsia"/>
                <w:b/>
              </w:rPr>
              <w:t>国家免疫规划疫苗接种情况（3分）</w:t>
            </w:r>
          </w:p>
        </w:tc>
        <w:tc>
          <w:tcPr>
            <w:tcW w:w="3969" w:type="dxa"/>
            <w:vAlign w:val="center"/>
          </w:tcPr>
          <w:p>
            <w:pPr>
              <w:rPr>
                <w:szCs w:val="21"/>
              </w:rPr>
            </w:pPr>
            <w:r>
              <w:rPr>
                <w:rFonts w:hint="eastAsia"/>
              </w:rPr>
              <w:t>基层医疗卫生机构按照国家基本公共卫生服务规范要求，提供国家免疫规划疫苗接种服务。</w:t>
            </w:r>
          </w:p>
        </w:tc>
        <w:tc>
          <w:tcPr>
            <w:tcW w:w="4111" w:type="dxa"/>
            <w:tcBorders>
              <w:right w:val="single" w:sz="4" w:space="0" w:color="auto"/>
            </w:tcBorders>
          </w:tcPr>
          <w:p>
            <w:r>
              <w:rPr>
                <w:rFonts w:hint="eastAsia"/>
              </w:rPr>
              <w:t>基层医疗卫生机构辖区内适龄儿童国家免疫规划疫苗接种记录，分月常规免疫接种率监测报表。</w:t>
            </w:r>
          </w:p>
          <w:p>
            <w:pPr>
              <w:rPr>
                <w:szCs w:val="21"/>
              </w:rPr>
            </w:pPr>
            <w:r>
              <w:rPr>
                <w:rFonts w:hint="eastAsia"/>
              </w:rPr>
              <w:t>常规免疫接种率监测系统保存的乡级以上单位常规免疫接种率监测报告。</w:t>
            </w:r>
          </w:p>
        </w:tc>
        <w:tc>
          <w:tcPr>
            <w:tcW w:w="3686" w:type="dxa"/>
            <w:tcBorders>
              <w:left w:val="single" w:sz="4" w:space="0" w:color="auto"/>
            </w:tcBorders>
          </w:tcPr>
          <w:p>
            <w:pPr>
              <w:rPr>
                <w:szCs w:val="21"/>
              </w:rPr>
            </w:pPr>
            <w:r>
              <w:rPr>
                <w:rFonts w:hint="eastAsia"/>
                <w:szCs w:val="21"/>
              </w:rPr>
              <w:t>抽查幼托机构儿童</w:t>
            </w:r>
            <w:r>
              <w:rPr>
                <w:rFonts w:hint="eastAsia"/>
                <w:b/>
                <w:szCs w:val="21"/>
              </w:rPr>
              <w:t>麻腮风疫苗</w:t>
            </w:r>
            <w:r>
              <w:rPr>
                <w:rFonts w:hint="eastAsia"/>
                <w:szCs w:val="21"/>
              </w:rPr>
              <w:t>接种情况。</w:t>
            </w:r>
          </w:p>
          <w:p>
            <w:pPr>
              <w:rPr>
                <w:rFonts w:hint="eastAsia"/>
                <w:szCs w:val="21"/>
              </w:rPr>
            </w:pPr>
            <w:r>
              <w:rPr>
                <w:rFonts w:hint="eastAsia"/>
                <w:szCs w:val="21"/>
              </w:rPr>
              <w:t>得分=接种率/95%*2分；</w:t>
            </w:r>
          </w:p>
          <w:p>
            <w:pPr>
              <w:rPr>
                <w:szCs w:val="21"/>
              </w:rPr>
            </w:pPr>
            <w:r>
              <w:rPr>
                <w:rFonts w:hint="eastAsia"/>
                <w:szCs w:val="21"/>
              </w:rPr>
              <w:t>接种率</w:t>
            </w:r>
            <w:r>
              <w:rPr>
                <w:rFonts w:ascii="宋体" w:hAnsi="宋体" w:hint="eastAsia"/>
                <w:szCs w:val="21"/>
              </w:rPr>
              <w:t>≥</w:t>
            </w:r>
            <w:r>
              <w:rPr>
                <w:rFonts w:ascii="宋体" w:hAnsi="宋体" w:hint="eastAsia"/>
                <w:szCs w:val="21"/>
              </w:rPr>
              <w:t>95% 2分</w:t>
            </w:r>
          </w:p>
        </w:tc>
      </w:tr>
    </w:tbl>
    <w:p>
      <w:pPr>
        <w:sectPr>
          <w:headerReference w:type="even" r:id="rId70"/>
          <w:headerReference w:type="default" r:id="rId71"/>
          <w:footerReference w:type="even" r:id="rId72"/>
          <w:footerReference w:type="default" r:id="rId73"/>
          <w:headerReference w:type="first" r:id="rId74"/>
          <w:footerReference w:type="first" r:id="rId75"/>
          <w:type w:val="nextPage"/>
          <w:pgSz w:w="16838" w:h="11906" w:orient="landscape"/>
          <w:pgMar w:top="1797" w:right="1440" w:bottom="1797" w:left="1440" w:header="851" w:footer="992" w:gutter="0"/>
          <w:pgNumType w:start="12"/>
          <w:cols w:space="708"/>
          <w:titlePg w:val="0"/>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1542"/>
        </w:trPr>
        <w:tc>
          <w:tcPr>
            <w:tcW w:w="1419" w:type="dxa"/>
            <w:vMerge w:val="restart"/>
            <w:vAlign w:val="center"/>
          </w:tcPr>
          <w:p>
            <w:pPr>
              <w:jc w:val="center"/>
              <w:rPr>
                <w:b/>
                <w:szCs w:val="21"/>
              </w:rPr>
            </w:pPr>
            <w:r>
              <w:rPr>
                <w:b/>
                <w:szCs w:val="21"/>
              </w:rPr>
              <w:t>3.</w:t>
            </w:r>
            <w:r>
              <w:rPr>
                <w:rFonts w:hint="eastAsia"/>
                <w:b/>
                <w:szCs w:val="21"/>
              </w:rPr>
              <w:t>项目执行</w:t>
            </w:r>
          </w:p>
          <w:p>
            <w:pPr>
              <w:jc w:val="center"/>
              <w:rPr>
                <w:b/>
                <w:szCs w:val="21"/>
              </w:rPr>
            </w:pPr>
          </w:p>
        </w:tc>
        <w:tc>
          <w:tcPr>
            <w:tcW w:w="1241" w:type="dxa"/>
            <w:vMerge w:val="restart"/>
            <w:vAlign w:val="center"/>
          </w:tcPr>
          <w:p>
            <w:pPr>
              <w:jc w:val="left"/>
              <w:rPr>
                <w:b/>
                <w:szCs w:val="21"/>
              </w:rPr>
            </w:pPr>
            <w:r>
              <w:rPr>
                <w:b/>
                <w:szCs w:val="21"/>
              </w:rPr>
              <w:t>3.4 0-6</w:t>
            </w:r>
            <w:r>
              <w:rPr>
                <w:rFonts w:hint="eastAsia"/>
                <w:b/>
                <w:szCs w:val="21"/>
              </w:rPr>
              <w:t>岁儿童健康管理服务（5分）</w:t>
            </w:r>
          </w:p>
        </w:tc>
        <w:tc>
          <w:tcPr>
            <w:tcW w:w="1417" w:type="dxa"/>
            <w:vAlign w:val="center"/>
          </w:tcPr>
          <w:p>
            <w:pPr>
              <w:rPr>
                <w:b/>
                <w:szCs w:val="21"/>
              </w:rPr>
            </w:pPr>
            <w:r>
              <w:rPr>
                <w:b/>
                <w:szCs w:val="21"/>
              </w:rPr>
              <w:t>3.4.1</w:t>
            </w:r>
            <w:r>
              <w:rPr>
                <w:rFonts w:hint="eastAsia"/>
                <w:b/>
                <w:szCs w:val="21"/>
              </w:rPr>
              <w:t>新生儿访视率（1分）</w:t>
            </w:r>
          </w:p>
        </w:tc>
        <w:tc>
          <w:tcPr>
            <w:tcW w:w="3969" w:type="dxa"/>
            <w:vAlign w:val="center"/>
          </w:tcPr>
          <w:p>
            <w:pPr>
              <w:rPr>
                <w:rFonts w:ascii="宋体" w:hAnsi="宋体"/>
                <w:szCs w:val="21"/>
              </w:rPr>
            </w:pPr>
            <w:r>
              <w:rPr>
                <w:rFonts w:ascii="宋体" w:hAnsi="宋体" w:cs="宋体" w:hint="eastAsia"/>
                <w:color w:val="000000"/>
                <w:szCs w:val="21"/>
              </w:rPr>
              <w:t>年度辖区内接受</w:t>
            </w:r>
            <w:r>
              <w:rPr>
                <w:rFonts w:ascii="宋体" w:hAnsi="宋体"/>
                <w:color w:val="000000"/>
                <w:szCs w:val="21"/>
              </w:rPr>
              <w:t>1</w:t>
            </w:r>
            <w:r>
              <w:rPr>
                <w:rFonts w:ascii="宋体" w:hAnsi="宋体" w:cs="宋体" w:hint="eastAsia"/>
                <w:color w:val="000000"/>
                <w:szCs w:val="21"/>
              </w:rPr>
              <w:t>次及以上访视的新生儿人数比例，反映新生儿健康管理服务的数量。同时，核实新生儿访视服务的真实性。</w:t>
            </w:r>
          </w:p>
        </w:tc>
        <w:tc>
          <w:tcPr>
            <w:tcW w:w="4111" w:type="dxa"/>
            <w:tcBorders>
              <w:right w:val="single" w:sz="4" w:space="0" w:color="auto"/>
            </w:tcBorders>
            <w:vAlign w:val="center"/>
          </w:tcPr>
          <w:p>
            <w:pPr>
              <w:rPr>
                <w:rFonts w:ascii="宋体" w:hAnsi="宋体"/>
                <w:szCs w:val="21"/>
              </w:rPr>
            </w:pPr>
            <w:r>
              <w:rPr>
                <w:rFonts w:ascii="宋体" w:hAnsi="宋体" w:cs="宋体" w:hint="eastAsia"/>
                <w:szCs w:val="21"/>
              </w:rPr>
              <w:t>年度辖区内活产数，</w:t>
            </w:r>
            <w:r>
              <w:rPr>
                <w:rFonts w:ascii="宋体" w:hAnsi="宋体"/>
                <w:szCs w:val="21"/>
              </w:rPr>
              <w:t>0-6</w:t>
            </w:r>
            <w:r>
              <w:rPr>
                <w:rFonts w:ascii="宋体" w:hAnsi="宋体" w:cs="宋体" w:hint="eastAsia"/>
                <w:szCs w:val="21"/>
              </w:rPr>
              <w:t>岁儿童健康管理记录、健康管理档案，以及现场电话核查收集的信息。</w:t>
            </w:r>
          </w:p>
        </w:tc>
        <w:tc>
          <w:tcPr>
            <w:tcW w:w="3686" w:type="dxa"/>
            <w:tcBorders>
              <w:left w:val="single" w:sz="4" w:space="0" w:color="auto"/>
            </w:tcBorders>
            <w:vAlign w:val="center"/>
          </w:tcPr>
          <w:p>
            <w:pPr>
              <w:rPr>
                <w:szCs w:val="21"/>
              </w:rPr>
            </w:pPr>
            <w:r>
              <w:rPr>
                <w:rFonts w:hint="eastAsia"/>
                <w:szCs w:val="21"/>
              </w:rPr>
              <w:t>得分=新生儿访视率/95%*1分；</w:t>
            </w:r>
          </w:p>
          <w:p>
            <w:pPr>
              <w:rPr>
                <w:rFonts w:ascii="宋体" w:hAnsi="宋体"/>
                <w:szCs w:val="21"/>
              </w:rPr>
            </w:pPr>
            <w:r>
              <w:rPr>
                <w:rFonts w:hint="eastAsia"/>
                <w:szCs w:val="21"/>
              </w:rPr>
              <w:t>新生儿访视率</w:t>
            </w:r>
            <w:r>
              <w:rPr>
                <w:rFonts w:ascii="宋体" w:hAnsi="宋体" w:hint="eastAsia"/>
                <w:szCs w:val="21"/>
              </w:rPr>
              <w:t>≥</w:t>
            </w:r>
            <w:r>
              <w:rPr>
                <w:rFonts w:ascii="宋体" w:hAnsi="宋体" w:hint="eastAsia"/>
                <w:b/>
                <w:szCs w:val="21"/>
              </w:rPr>
              <w:t>95%</w:t>
            </w:r>
            <w:r>
              <w:rPr>
                <w:rFonts w:ascii="宋体" w:hAnsi="宋体" w:hint="eastAsia"/>
                <w:szCs w:val="21"/>
              </w:rPr>
              <w:t>的1分。</w:t>
            </w:r>
          </w:p>
          <w:p>
            <w:pPr>
              <w:rPr>
                <w:b/>
                <w:szCs w:val="21"/>
              </w:rPr>
            </w:pPr>
            <w:r>
              <w:rPr>
                <w:rFonts w:hint="eastAsia"/>
                <w:b/>
                <w:szCs w:val="21"/>
              </w:rPr>
              <w:t>每个基层机构电话核查2例。</w:t>
            </w:r>
          </w:p>
          <w:p>
            <w:pPr>
              <w:rPr>
                <w:szCs w:val="21"/>
              </w:rPr>
            </w:pPr>
            <w:r>
              <w:rPr>
                <w:rFonts w:ascii="宋体" w:hAnsi="宋体" w:hint="eastAsia"/>
                <w:szCs w:val="21"/>
              </w:rPr>
              <w:t>电话核查有1例不真实扣0.5分。</w:t>
            </w:r>
          </w:p>
        </w:tc>
      </w:tr>
      <w:tr>
        <w:tblPrEx>
          <w:tblW w:w="15843" w:type="dxa"/>
          <w:tblLayout w:type="fixed"/>
          <w:tblCellMar>
            <w:top w:w="0" w:type="dxa"/>
            <w:left w:w="108" w:type="dxa"/>
            <w:bottom w:w="0" w:type="dxa"/>
            <w:right w:w="108" w:type="dxa"/>
          </w:tblCellMar>
          <w:tblLook w:val="0000"/>
        </w:tblPrEx>
        <w:trPr>
          <w:trHeight w:val="689"/>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3.4.2</w:t>
            </w:r>
            <w:r>
              <w:rPr>
                <w:rFonts w:hint="eastAsia"/>
                <w:b/>
                <w:szCs w:val="21"/>
              </w:rPr>
              <w:t>儿童健康管理率（2分）</w:t>
            </w:r>
          </w:p>
        </w:tc>
        <w:tc>
          <w:tcPr>
            <w:tcW w:w="3969" w:type="dxa"/>
            <w:vAlign w:val="center"/>
          </w:tcPr>
          <w:p>
            <w:pPr>
              <w:rPr>
                <w:szCs w:val="21"/>
              </w:rPr>
            </w:pPr>
            <w:r>
              <w:rPr>
                <w:rFonts w:hint="eastAsia"/>
                <w:szCs w:val="21"/>
              </w:rPr>
              <w:t>辖区</w:t>
            </w:r>
            <w:r>
              <w:rPr>
                <w:szCs w:val="21"/>
              </w:rPr>
              <w:t>0~6</w:t>
            </w:r>
            <w:r>
              <w:rPr>
                <w:rFonts w:hint="eastAsia"/>
                <w:szCs w:val="21"/>
              </w:rPr>
              <w:t>岁儿童，年度内接受</w:t>
            </w:r>
            <w:r>
              <w:rPr>
                <w:szCs w:val="21"/>
              </w:rPr>
              <w:t>1</w:t>
            </w:r>
            <w:r>
              <w:rPr>
                <w:rFonts w:hint="eastAsia"/>
                <w:szCs w:val="21"/>
              </w:rPr>
              <w:t>次及以上随访服务的人数比例，反映儿童健康管理数量。</w:t>
            </w:r>
          </w:p>
        </w:tc>
        <w:tc>
          <w:tcPr>
            <w:tcW w:w="4111" w:type="dxa"/>
            <w:tcBorders>
              <w:right w:val="single" w:sz="4" w:space="0" w:color="auto"/>
            </w:tcBorders>
            <w:vAlign w:val="center"/>
          </w:tcPr>
          <w:p>
            <w:pPr>
              <w:rPr>
                <w:szCs w:val="21"/>
              </w:rPr>
            </w:pPr>
            <w:r>
              <w:rPr>
                <w:rFonts w:hint="eastAsia"/>
                <w:szCs w:val="21"/>
              </w:rPr>
              <w:t>考核时段辖区内</w:t>
            </w:r>
            <w:r>
              <w:rPr>
                <w:szCs w:val="21"/>
              </w:rPr>
              <w:t>0-6</w:t>
            </w:r>
            <w:r>
              <w:rPr>
                <w:rFonts w:hint="eastAsia"/>
                <w:szCs w:val="21"/>
              </w:rPr>
              <w:t>岁儿童数，基层医疗卫生机构的</w:t>
            </w:r>
            <w:r>
              <w:rPr>
                <w:szCs w:val="21"/>
              </w:rPr>
              <w:t>0~6</w:t>
            </w:r>
            <w:r>
              <w:rPr>
                <w:rFonts w:hint="eastAsia"/>
                <w:szCs w:val="21"/>
              </w:rPr>
              <w:t>岁儿童健康管理记录、健康管理档案。</w:t>
            </w:r>
          </w:p>
        </w:tc>
        <w:tc>
          <w:tcPr>
            <w:tcW w:w="3686" w:type="dxa"/>
            <w:tcBorders>
              <w:left w:val="single" w:sz="4" w:space="0" w:color="auto"/>
            </w:tcBorders>
            <w:vAlign w:val="center"/>
          </w:tcPr>
          <w:p>
            <w:pPr>
              <w:rPr>
                <w:szCs w:val="21"/>
              </w:rPr>
            </w:pPr>
            <w:r>
              <w:rPr>
                <w:rFonts w:hint="eastAsia"/>
                <w:szCs w:val="21"/>
              </w:rPr>
              <w:t>得分=儿童健康管理率/</w:t>
            </w:r>
            <w:r>
              <w:rPr>
                <w:rFonts w:hint="eastAsia"/>
                <w:b/>
                <w:szCs w:val="21"/>
              </w:rPr>
              <w:t>95%</w:t>
            </w:r>
            <w:r>
              <w:rPr>
                <w:rFonts w:hint="eastAsia"/>
                <w:szCs w:val="21"/>
              </w:rPr>
              <w:t>*2分；</w:t>
            </w:r>
          </w:p>
          <w:p>
            <w:pPr>
              <w:rPr>
                <w:szCs w:val="21"/>
              </w:rPr>
            </w:pPr>
            <w:r>
              <w:rPr>
                <w:rFonts w:hint="eastAsia"/>
                <w:szCs w:val="21"/>
              </w:rPr>
              <w:t>儿童健康管理率</w:t>
            </w:r>
            <w:r>
              <w:rPr>
                <w:rFonts w:ascii="宋体" w:hAnsi="宋体" w:hint="eastAsia"/>
                <w:szCs w:val="21"/>
              </w:rPr>
              <w:t>≥</w:t>
            </w:r>
            <w:r>
              <w:rPr>
                <w:rFonts w:ascii="宋体" w:hAnsi="宋体" w:hint="eastAsia"/>
                <w:szCs w:val="21"/>
              </w:rPr>
              <w:t>95%的2分。</w:t>
            </w:r>
          </w:p>
        </w:tc>
      </w:tr>
      <w:tr>
        <w:tblPrEx>
          <w:tblW w:w="15843" w:type="dxa"/>
          <w:tblLayout w:type="fixed"/>
          <w:tblCellMar>
            <w:top w:w="0" w:type="dxa"/>
            <w:left w:w="108" w:type="dxa"/>
            <w:bottom w:w="0" w:type="dxa"/>
            <w:right w:w="108" w:type="dxa"/>
          </w:tblCellMar>
          <w:tblLook w:val="0000"/>
        </w:tblPrEx>
        <w:trPr>
          <w:trHeight w:val="1245"/>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3.4.3</w:t>
            </w:r>
            <w:r>
              <w:rPr>
                <w:rFonts w:hint="eastAsia"/>
                <w:b/>
                <w:szCs w:val="21"/>
              </w:rPr>
              <w:t>儿童系统管理率（2分）</w:t>
            </w:r>
          </w:p>
        </w:tc>
        <w:tc>
          <w:tcPr>
            <w:tcW w:w="3969" w:type="dxa"/>
            <w:vAlign w:val="center"/>
          </w:tcPr>
          <w:p>
            <w:pPr>
              <w:rPr>
                <w:szCs w:val="21"/>
              </w:rPr>
            </w:pPr>
            <w:r>
              <w:rPr>
                <w:rFonts w:hint="eastAsia"/>
                <w:szCs w:val="21"/>
              </w:rPr>
              <w:t>年度辖区内</w:t>
            </w:r>
            <w:r>
              <w:rPr>
                <w:szCs w:val="21"/>
              </w:rPr>
              <w:t>0-6</w:t>
            </w:r>
            <w:r>
              <w:rPr>
                <w:rFonts w:hint="eastAsia"/>
                <w:szCs w:val="21"/>
              </w:rPr>
              <w:t>岁儿童，获得本年度应享受的国家基本公共卫生服务的情况，反映儿童健康管理工作质量。</w:t>
            </w:r>
          </w:p>
          <w:p>
            <w:pPr>
              <w:rPr>
                <w:szCs w:val="21"/>
              </w:rPr>
            </w:pPr>
            <w:r>
              <w:rPr>
                <w:rFonts w:hint="eastAsia"/>
                <w:szCs w:val="21"/>
              </w:rPr>
              <w:t>同时，核实儿童系统管理服务的真实性。</w:t>
            </w:r>
          </w:p>
        </w:tc>
        <w:tc>
          <w:tcPr>
            <w:tcW w:w="4111" w:type="dxa"/>
            <w:tcBorders>
              <w:right w:val="single" w:sz="4" w:space="0" w:color="auto"/>
            </w:tcBorders>
            <w:vAlign w:val="center"/>
          </w:tcPr>
          <w:p>
            <w:pPr>
              <w:rPr>
                <w:szCs w:val="21"/>
              </w:rPr>
            </w:pPr>
            <w:r>
              <w:rPr>
                <w:rFonts w:hint="eastAsia"/>
                <w:szCs w:val="21"/>
              </w:rPr>
              <w:t>基层医疗卫生机构的</w:t>
            </w:r>
            <w:r>
              <w:rPr>
                <w:szCs w:val="21"/>
              </w:rPr>
              <w:t>0~6</w:t>
            </w:r>
            <w:r>
              <w:rPr>
                <w:rFonts w:hint="eastAsia"/>
                <w:szCs w:val="21"/>
              </w:rPr>
              <w:t>岁儿童健康管理记录、健康管理档案。</w:t>
            </w:r>
            <w:r>
              <w:rPr>
                <w:rFonts w:ascii="宋体" w:hAnsi="宋体" w:cs="宋体" w:hint="eastAsia"/>
                <w:szCs w:val="21"/>
              </w:rPr>
              <w:t>以及现场电话核查收集的信息。</w:t>
            </w:r>
          </w:p>
        </w:tc>
        <w:tc>
          <w:tcPr>
            <w:tcW w:w="3686" w:type="dxa"/>
            <w:tcBorders>
              <w:left w:val="single" w:sz="4" w:space="0" w:color="auto"/>
            </w:tcBorders>
            <w:vAlign w:val="center"/>
          </w:tcPr>
          <w:p>
            <w:pPr>
              <w:rPr>
                <w:szCs w:val="21"/>
              </w:rPr>
            </w:pPr>
            <w:r>
              <w:rPr>
                <w:rFonts w:hint="eastAsia"/>
                <w:szCs w:val="21"/>
              </w:rPr>
              <w:t>得分=儿童系统管理率/</w:t>
            </w:r>
            <w:r>
              <w:rPr>
                <w:rFonts w:hint="eastAsia"/>
                <w:b/>
                <w:szCs w:val="21"/>
              </w:rPr>
              <w:t>85%</w:t>
            </w:r>
            <w:r>
              <w:rPr>
                <w:rFonts w:hint="eastAsia"/>
                <w:szCs w:val="21"/>
              </w:rPr>
              <w:t>*2分；</w:t>
            </w:r>
          </w:p>
          <w:p>
            <w:pPr>
              <w:rPr>
                <w:rFonts w:ascii="宋体" w:hAnsi="宋体"/>
                <w:szCs w:val="21"/>
              </w:rPr>
            </w:pPr>
            <w:r>
              <w:rPr>
                <w:rFonts w:hint="eastAsia"/>
                <w:szCs w:val="21"/>
              </w:rPr>
              <w:t>儿童系统管理率</w:t>
            </w:r>
            <w:r>
              <w:rPr>
                <w:rFonts w:ascii="宋体" w:hAnsi="宋体" w:hint="eastAsia"/>
                <w:szCs w:val="21"/>
              </w:rPr>
              <w:t>≥</w:t>
            </w:r>
            <w:r>
              <w:rPr>
                <w:rFonts w:ascii="宋体" w:hAnsi="宋体" w:hint="eastAsia"/>
                <w:szCs w:val="21"/>
              </w:rPr>
              <w:t>85%的2分</w:t>
            </w:r>
          </w:p>
          <w:p>
            <w:pPr>
              <w:rPr>
                <w:b/>
                <w:szCs w:val="21"/>
              </w:rPr>
            </w:pPr>
            <w:r>
              <w:rPr>
                <w:rFonts w:hint="eastAsia"/>
                <w:b/>
                <w:szCs w:val="21"/>
              </w:rPr>
              <w:t>每个基层机构电话核查4例。</w:t>
            </w:r>
          </w:p>
          <w:p>
            <w:pPr>
              <w:rPr>
                <w:szCs w:val="21"/>
              </w:rPr>
            </w:pPr>
            <w:r>
              <w:rPr>
                <w:rFonts w:ascii="宋体" w:hAnsi="宋体" w:hint="eastAsia"/>
                <w:szCs w:val="21"/>
              </w:rPr>
              <w:t>电话核查有1例不真实扣0.5分</w:t>
            </w:r>
          </w:p>
        </w:tc>
      </w:tr>
      <w:tr>
        <w:tblPrEx>
          <w:tblW w:w="15843" w:type="dxa"/>
          <w:tblLayout w:type="fixed"/>
          <w:tblCellMar>
            <w:top w:w="0" w:type="dxa"/>
            <w:left w:w="108" w:type="dxa"/>
            <w:bottom w:w="0" w:type="dxa"/>
            <w:right w:w="108" w:type="dxa"/>
          </w:tblCellMar>
          <w:tblLook w:val="0000"/>
        </w:tblPrEx>
        <w:trPr>
          <w:trHeight w:val="1404"/>
        </w:trPr>
        <w:tc>
          <w:tcPr>
            <w:tcW w:w="1419" w:type="dxa"/>
            <w:vMerge/>
            <w:vAlign w:val="center"/>
          </w:tcPr>
          <w:p>
            <w:pPr>
              <w:jc w:val="center"/>
              <w:rPr>
                <w:b/>
                <w:szCs w:val="21"/>
              </w:rPr>
            </w:pPr>
          </w:p>
        </w:tc>
        <w:tc>
          <w:tcPr>
            <w:tcW w:w="1241" w:type="dxa"/>
            <w:vMerge w:val="restart"/>
            <w:vAlign w:val="center"/>
          </w:tcPr>
          <w:p>
            <w:pPr>
              <w:jc w:val="left"/>
              <w:rPr>
                <w:b/>
                <w:szCs w:val="21"/>
              </w:rPr>
            </w:pPr>
            <w:r>
              <w:rPr>
                <w:b/>
                <w:szCs w:val="21"/>
              </w:rPr>
              <w:t>3.5</w:t>
            </w:r>
            <w:r>
              <w:rPr>
                <w:rFonts w:hint="eastAsia"/>
                <w:b/>
                <w:szCs w:val="21"/>
              </w:rPr>
              <w:t>孕产妇健康管理服务（5分）</w:t>
            </w:r>
          </w:p>
        </w:tc>
        <w:tc>
          <w:tcPr>
            <w:tcW w:w="1417" w:type="dxa"/>
            <w:vAlign w:val="center"/>
          </w:tcPr>
          <w:p>
            <w:pPr>
              <w:rPr>
                <w:b/>
                <w:szCs w:val="21"/>
              </w:rPr>
            </w:pPr>
            <w:r>
              <w:rPr>
                <w:b/>
                <w:szCs w:val="21"/>
              </w:rPr>
              <w:t>3.5.1</w:t>
            </w:r>
            <w:r>
              <w:rPr>
                <w:rFonts w:hint="eastAsia"/>
                <w:b/>
                <w:szCs w:val="21"/>
              </w:rPr>
              <w:t>早孕建册率（1分）</w:t>
            </w:r>
          </w:p>
        </w:tc>
        <w:tc>
          <w:tcPr>
            <w:tcW w:w="3969" w:type="dxa"/>
            <w:vAlign w:val="center"/>
          </w:tcPr>
          <w:p>
            <w:pPr>
              <w:rPr>
                <w:szCs w:val="21"/>
              </w:rPr>
            </w:pPr>
            <w:r>
              <w:rPr>
                <w:rFonts w:hint="eastAsia"/>
                <w:szCs w:val="21"/>
              </w:rPr>
              <w:t>考核时段辖区在孕</w:t>
            </w:r>
            <w:r>
              <w:rPr>
                <w:szCs w:val="21"/>
              </w:rPr>
              <w:t>12</w:t>
            </w:r>
            <w:r>
              <w:rPr>
                <w:rFonts w:hint="eastAsia"/>
                <w:szCs w:val="21"/>
              </w:rPr>
              <w:t>周之前按照国家基本公共卫生服务规范要求建立《孕产妇保健手册》的人数比例，反映孕产妇早孕管理的数量。</w:t>
            </w:r>
          </w:p>
        </w:tc>
        <w:tc>
          <w:tcPr>
            <w:tcW w:w="4111" w:type="dxa"/>
            <w:tcBorders>
              <w:right w:val="single" w:sz="4" w:space="0" w:color="auto"/>
            </w:tcBorders>
            <w:vAlign w:val="center"/>
          </w:tcPr>
          <w:p>
            <w:pPr>
              <w:rPr>
                <w:szCs w:val="21"/>
              </w:rPr>
            </w:pPr>
            <w:r>
              <w:rPr>
                <w:rFonts w:hint="eastAsia"/>
                <w:szCs w:val="21"/>
              </w:rPr>
              <w:t>考核时段辖区内活产数，基层医疗卫生机构的孕产妇健康管理记录、健康管理档案。</w:t>
            </w:r>
          </w:p>
        </w:tc>
        <w:tc>
          <w:tcPr>
            <w:tcW w:w="3686" w:type="dxa"/>
            <w:tcBorders>
              <w:left w:val="single" w:sz="4" w:space="0" w:color="auto"/>
            </w:tcBorders>
            <w:vAlign w:val="center"/>
          </w:tcPr>
          <w:p>
            <w:pPr>
              <w:rPr>
                <w:szCs w:val="21"/>
              </w:rPr>
            </w:pPr>
            <w:r>
              <w:rPr>
                <w:rFonts w:hint="eastAsia"/>
                <w:szCs w:val="21"/>
              </w:rPr>
              <w:t>得分=早孕建册率</w:t>
            </w:r>
            <w:r>
              <w:rPr>
                <w:rFonts w:hint="eastAsia"/>
                <w:b/>
                <w:szCs w:val="21"/>
              </w:rPr>
              <w:t>/95%</w:t>
            </w:r>
            <w:r>
              <w:rPr>
                <w:rFonts w:hint="eastAsia"/>
                <w:szCs w:val="21"/>
              </w:rPr>
              <w:t>*1分；</w:t>
            </w:r>
          </w:p>
          <w:p>
            <w:pPr>
              <w:rPr>
                <w:szCs w:val="21"/>
              </w:rPr>
            </w:pPr>
            <w:r>
              <w:rPr>
                <w:rFonts w:hint="eastAsia"/>
                <w:szCs w:val="21"/>
              </w:rPr>
              <w:t>早孕建册率</w:t>
            </w:r>
            <w:r>
              <w:rPr>
                <w:rFonts w:ascii="宋体" w:hAnsi="宋体" w:hint="eastAsia"/>
                <w:szCs w:val="21"/>
              </w:rPr>
              <w:t>≥</w:t>
            </w:r>
            <w:r>
              <w:rPr>
                <w:rFonts w:ascii="宋体" w:hAnsi="宋体" w:hint="eastAsia"/>
                <w:szCs w:val="21"/>
              </w:rPr>
              <w:t>95%的1分</w:t>
            </w:r>
          </w:p>
        </w:tc>
      </w:tr>
      <w:tr>
        <w:tblPrEx>
          <w:tblW w:w="15843" w:type="dxa"/>
          <w:tblLayout w:type="fixed"/>
          <w:tblCellMar>
            <w:top w:w="0" w:type="dxa"/>
            <w:left w:w="108" w:type="dxa"/>
            <w:bottom w:w="0" w:type="dxa"/>
            <w:right w:w="108" w:type="dxa"/>
          </w:tblCellMar>
          <w:tblLook w:val="0000"/>
        </w:tblPrEx>
        <w:trPr>
          <w:trHeight w:val="1979"/>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3.5.2</w:t>
            </w:r>
            <w:r>
              <w:rPr>
                <w:rFonts w:hint="eastAsia"/>
                <w:b/>
                <w:szCs w:val="21"/>
              </w:rPr>
              <w:t>孕产妇健康管理率（2分）</w:t>
            </w:r>
          </w:p>
        </w:tc>
        <w:tc>
          <w:tcPr>
            <w:tcW w:w="3969" w:type="dxa"/>
            <w:vAlign w:val="center"/>
          </w:tcPr>
          <w:p>
            <w:pPr>
              <w:rPr>
                <w:szCs w:val="21"/>
              </w:rPr>
            </w:pPr>
            <w:r>
              <w:rPr>
                <w:rFonts w:hint="eastAsia"/>
                <w:szCs w:val="21"/>
              </w:rPr>
              <w:t>考核时段辖区内孕产妇，按照国家基本公共卫生服务规范要求在孕期接受</w:t>
            </w:r>
            <w:r>
              <w:rPr>
                <w:szCs w:val="21"/>
              </w:rPr>
              <w:t>5</w:t>
            </w:r>
            <w:r>
              <w:rPr>
                <w:rFonts w:hint="eastAsia"/>
                <w:szCs w:val="21"/>
              </w:rPr>
              <w:t>次及以上产前随访服务的情况，反映孕产妇系统健康管理的数量和质量。</w:t>
            </w:r>
          </w:p>
          <w:p>
            <w:pPr>
              <w:rPr>
                <w:szCs w:val="21"/>
              </w:rPr>
            </w:pPr>
            <w:r>
              <w:rPr>
                <w:rFonts w:hint="eastAsia"/>
                <w:szCs w:val="21"/>
              </w:rPr>
              <w:t>同时，核实孕产妇健康管理的真实性。</w:t>
            </w:r>
          </w:p>
        </w:tc>
        <w:tc>
          <w:tcPr>
            <w:tcW w:w="4111" w:type="dxa"/>
            <w:tcBorders>
              <w:right w:val="single" w:sz="4" w:space="0" w:color="auto"/>
            </w:tcBorders>
            <w:vAlign w:val="center"/>
          </w:tcPr>
          <w:p>
            <w:pPr>
              <w:rPr>
                <w:szCs w:val="21"/>
              </w:rPr>
            </w:pPr>
            <w:r>
              <w:rPr>
                <w:rFonts w:hint="eastAsia"/>
                <w:szCs w:val="21"/>
              </w:rPr>
              <w:t>考核时段辖区内活产数，基层医疗卫生机构的孕产妇健康管理记录、健康管理档案。</w:t>
            </w:r>
            <w:r>
              <w:rPr>
                <w:rFonts w:ascii="宋体" w:hAnsi="宋体" w:cs="宋体" w:hint="eastAsia"/>
                <w:szCs w:val="21"/>
              </w:rPr>
              <w:t>以及现场电话核查收集的信息。</w:t>
            </w:r>
          </w:p>
        </w:tc>
        <w:tc>
          <w:tcPr>
            <w:tcW w:w="3686" w:type="dxa"/>
            <w:tcBorders>
              <w:left w:val="single" w:sz="4" w:space="0" w:color="auto"/>
            </w:tcBorders>
            <w:vAlign w:val="center"/>
          </w:tcPr>
          <w:p>
            <w:pPr>
              <w:rPr>
                <w:szCs w:val="21"/>
              </w:rPr>
            </w:pPr>
            <w:r>
              <w:rPr>
                <w:rFonts w:hint="eastAsia"/>
                <w:szCs w:val="21"/>
              </w:rPr>
              <w:t>得分=孕产妇健康管理率</w:t>
            </w:r>
            <w:r>
              <w:rPr>
                <w:rFonts w:hint="eastAsia"/>
                <w:b/>
                <w:szCs w:val="21"/>
              </w:rPr>
              <w:t>/95%</w:t>
            </w:r>
            <w:r>
              <w:rPr>
                <w:rFonts w:hint="eastAsia"/>
                <w:szCs w:val="21"/>
              </w:rPr>
              <w:t>*2分；</w:t>
            </w:r>
          </w:p>
          <w:p>
            <w:pPr>
              <w:rPr>
                <w:rFonts w:ascii="宋体" w:hAnsi="宋体"/>
                <w:szCs w:val="21"/>
              </w:rPr>
            </w:pPr>
            <w:r>
              <w:rPr>
                <w:rFonts w:hint="eastAsia"/>
                <w:szCs w:val="21"/>
              </w:rPr>
              <w:t>孕产妇健康管理率</w:t>
            </w:r>
            <w:r>
              <w:rPr>
                <w:rFonts w:ascii="宋体" w:hAnsi="宋体" w:hint="eastAsia"/>
                <w:szCs w:val="21"/>
              </w:rPr>
              <w:t>≥</w:t>
            </w:r>
            <w:r>
              <w:rPr>
                <w:rFonts w:ascii="宋体" w:hAnsi="宋体" w:hint="eastAsia"/>
                <w:szCs w:val="21"/>
              </w:rPr>
              <w:t>95%的2分</w:t>
            </w:r>
          </w:p>
          <w:p>
            <w:pPr>
              <w:rPr>
                <w:szCs w:val="21"/>
              </w:rPr>
            </w:pPr>
            <w:r>
              <w:rPr>
                <w:rFonts w:hint="eastAsia"/>
                <w:szCs w:val="21"/>
              </w:rPr>
              <w:t>每个基层机构电话核查4例。</w:t>
            </w:r>
          </w:p>
          <w:p>
            <w:pPr>
              <w:rPr>
                <w:rFonts w:ascii="宋体" w:hAnsi="宋体"/>
                <w:szCs w:val="21"/>
              </w:rPr>
            </w:pPr>
            <w:r>
              <w:rPr>
                <w:rFonts w:ascii="宋体" w:hAnsi="宋体" w:hint="eastAsia"/>
                <w:szCs w:val="21"/>
              </w:rPr>
              <w:t>电话核查有1例不真实扣0.5分</w:t>
            </w:r>
          </w:p>
          <w:p>
            <w:pPr>
              <w:rPr>
                <w:b/>
                <w:szCs w:val="21"/>
              </w:rPr>
            </w:pPr>
            <w:r>
              <w:rPr>
                <w:rFonts w:hint="eastAsia"/>
                <w:b/>
                <w:szCs w:val="21"/>
              </w:rPr>
              <w:t>每个基层机构电话核查4例。</w:t>
            </w:r>
          </w:p>
          <w:p>
            <w:pPr>
              <w:rPr>
                <w:szCs w:val="21"/>
              </w:rPr>
            </w:pPr>
            <w:r>
              <w:rPr>
                <w:rFonts w:ascii="宋体" w:hAnsi="宋体" w:hint="eastAsia"/>
                <w:szCs w:val="21"/>
              </w:rPr>
              <w:t>电话核查有1例不真实扣0.5分</w:t>
            </w:r>
          </w:p>
        </w:tc>
      </w:tr>
    </w:tbl>
    <w:p>
      <w:pPr>
        <w:sectPr>
          <w:headerReference w:type="even" r:id="rId76"/>
          <w:headerReference w:type="default" r:id="rId77"/>
          <w:footerReference w:type="even" r:id="rId78"/>
          <w:footerReference w:type="default" r:id="rId79"/>
          <w:headerReference w:type="first" r:id="rId80"/>
          <w:footerReference w:type="first" r:id="rId81"/>
          <w:type w:val="nextPage"/>
          <w:pgSz w:w="16838" w:h="11906" w:orient="landscape"/>
          <w:pgMar w:top="1797" w:right="1440" w:bottom="1797" w:left="1440" w:header="851" w:footer="992" w:gutter="0"/>
          <w:pgNumType w:start="13"/>
          <w:cols w:space="708"/>
          <w:titlePg w:val="0"/>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1820"/>
        </w:trPr>
        <w:tc>
          <w:tcPr>
            <w:tcW w:w="1419" w:type="dxa"/>
            <w:vMerge w:val="restart"/>
            <w:vAlign w:val="center"/>
          </w:tcPr>
          <w:p>
            <w:pPr>
              <w:jc w:val="center"/>
              <w:rPr>
                <w:b/>
                <w:szCs w:val="21"/>
              </w:rPr>
            </w:pPr>
          </w:p>
        </w:tc>
        <w:tc>
          <w:tcPr>
            <w:tcW w:w="1241" w:type="dxa"/>
            <w:vMerge w:val="restart"/>
            <w:vAlign w:val="center"/>
          </w:tcPr>
          <w:p>
            <w:pPr>
              <w:jc w:val="left"/>
              <w:rPr>
                <w:b/>
                <w:szCs w:val="21"/>
              </w:rPr>
            </w:pPr>
          </w:p>
        </w:tc>
        <w:tc>
          <w:tcPr>
            <w:tcW w:w="1417" w:type="dxa"/>
            <w:vAlign w:val="center"/>
          </w:tcPr>
          <w:p>
            <w:pPr>
              <w:rPr>
                <w:b/>
                <w:szCs w:val="21"/>
              </w:rPr>
            </w:pPr>
            <w:r>
              <w:rPr>
                <w:b/>
                <w:szCs w:val="21"/>
              </w:rPr>
              <w:t>3.5.3</w:t>
            </w:r>
            <w:r>
              <w:rPr>
                <w:rFonts w:hint="eastAsia"/>
                <w:b/>
                <w:szCs w:val="21"/>
              </w:rPr>
              <w:t>产后访视率（2分）</w:t>
            </w:r>
          </w:p>
        </w:tc>
        <w:tc>
          <w:tcPr>
            <w:tcW w:w="3969" w:type="dxa"/>
            <w:vAlign w:val="center"/>
          </w:tcPr>
          <w:p>
            <w:pPr>
              <w:rPr>
                <w:szCs w:val="21"/>
              </w:rPr>
            </w:pPr>
            <w:r>
              <w:rPr>
                <w:rFonts w:hint="eastAsia"/>
                <w:szCs w:val="21"/>
              </w:rPr>
              <w:t>考核时段辖区内获得符合国家基本公共卫生服务规范要求的产后访视服务的人数比例，反映孕产妇产后访视管理的数量和质量。</w:t>
            </w:r>
          </w:p>
          <w:p>
            <w:pPr>
              <w:rPr>
                <w:szCs w:val="21"/>
              </w:rPr>
            </w:pPr>
            <w:r>
              <w:rPr>
                <w:rFonts w:hint="eastAsia"/>
                <w:szCs w:val="21"/>
              </w:rPr>
              <w:t>同时，核实产后访视服务的真实性。</w:t>
            </w:r>
          </w:p>
        </w:tc>
        <w:tc>
          <w:tcPr>
            <w:tcW w:w="4111" w:type="dxa"/>
            <w:tcBorders>
              <w:right w:val="single" w:sz="4" w:space="0" w:color="auto"/>
            </w:tcBorders>
            <w:vAlign w:val="center"/>
          </w:tcPr>
          <w:p>
            <w:pPr>
              <w:rPr>
                <w:szCs w:val="21"/>
              </w:rPr>
            </w:pPr>
            <w:r>
              <w:rPr>
                <w:rFonts w:hint="eastAsia"/>
                <w:szCs w:val="21"/>
              </w:rPr>
              <w:t>考核时段辖区内活产数，基层医疗卫生机构的孕产妇健康管理记录、健康管理档案。</w:t>
            </w:r>
            <w:r>
              <w:rPr>
                <w:rFonts w:ascii="宋体" w:hAnsi="宋体" w:cs="宋体" w:hint="eastAsia"/>
                <w:szCs w:val="21"/>
              </w:rPr>
              <w:t>以及现场电话核查收集的信息。</w:t>
            </w:r>
          </w:p>
        </w:tc>
        <w:tc>
          <w:tcPr>
            <w:tcW w:w="3686" w:type="dxa"/>
            <w:tcBorders>
              <w:left w:val="single" w:sz="4" w:space="0" w:color="auto"/>
            </w:tcBorders>
            <w:vAlign w:val="center"/>
          </w:tcPr>
          <w:p>
            <w:pPr>
              <w:rPr>
                <w:szCs w:val="21"/>
              </w:rPr>
            </w:pPr>
            <w:r>
              <w:rPr>
                <w:rFonts w:hint="eastAsia"/>
                <w:szCs w:val="21"/>
              </w:rPr>
              <w:t>得分=产后访视率/85%*2分；</w:t>
            </w:r>
          </w:p>
          <w:p>
            <w:pPr>
              <w:rPr>
                <w:szCs w:val="21"/>
              </w:rPr>
            </w:pPr>
            <w:r>
              <w:rPr>
                <w:rFonts w:hint="eastAsia"/>
                <w:szCs w:val="21"/>
              </w:rPr>
              <w:t>产后访视率</w:t>
            </w:r>
            <w:r>
              <w:rPr>
                <w:rFonts w:ascii="宋体" w:hAnsi="宋体" w:hint="eastAsia"/>
                <w:szCs w:val="21"/>
              </w:rPr>
              <w:t>≥</w:t>
            </w:r>
            <w:r>
              <w:rPr>
                <w:rFonts w:ascii="宋体" w:hAnsi="宋体" w:hint="eastAsia"/>
                <w:szCs w:val="21"/>
              </w:rPr>
              <w:t>95%的2分</w:t>
            </w:r>
          </w:p>
        </w:tc>
      </w:tr>
      <w:tr>
        <w:tblPrEx>
          <w:tblW w:w="15843" w:type="dxa"/>
          <w:tblLayout w:type="fixed"/>
          <w:tblCellMar>
            <w:top w:w="0" w:type="dxa"/>
            <w:left w:w="108" w:type="dxa"/>
            <w:bottom w:w="0" w:type="dxa"/>
            <w:right w:w="108" w:type="dxa"/>
          </w:tblCellMar>
          <w:tblLook w:val="0000"/>
        </w:tblPrEx>
        <w:trPr>
          <w:trHeight w:val="1400"/>
        </w:trPr>
        <w:tc>
          <w:tcPr>
            <w:tcW w:w="1419" w:type="dxa"/>
            <w:vMerge w:val="restart"/>
            <w:vAlign w:val="center"/>
          </w:tcPr>
          <w:p>
            <w:pPr>
              <w:jc w:val="center"/>
              <w:rPr>
                <w:b/>
                <w:szCs w:val="21"/>
              </w:rPr>
            </w:pPr>
            <w:r>
              <w:rPr>
                <w:b/>
                <w:szCs w:val="21"/>
              </w:rPr>
              <w:t>3.</w:t>
            </w:r>
            <w:r>
              <w:rPr>
                <w:rFonts w:hint="eastAsia"/>
                <w:b/>
                <w:szCs w:val="21"/>
              </w:rPr>
              <w:t>项目执行</w:t>
            </w:r>
          </w:p>
          <w:p>
            <w:pPr>
              <w:jc w:val="center"/>
              <w:rPr>
                <w:b/>
                <w:szCs w:val="21"/>
              </w:rPr>
            </w:pPr>
          </w:p>
        </w:tc>
        <w:tc>
          <w:tcPr>
            <w:tcW w:w="1241" w:type="dxa"/>
            <w:vMerge w:val="restart"/>
            <w:vAlign w:val="center"/>
          </w:tcPr>
          <w:p>
            <w:pPr>
              <w:jc w:val="left"/>
              <w:rPr>
                <w:b/>
                <w:szCs w:val="21"/>
              </w:rPr>
            </w:pPr>
            <w:r>
              <w:rPr>
                <w:b/>
                <w:szCs w:val="21"/>
              </w:rPr>
              <w:t>3.6</w:t>
            </w:r>
            <w:r>
              <w:rPr>
                <w:rFonts w:hint="eastAsia"/>
                <w:b/>
                <w:szCs w:val="21"/>
              </w:rPr>
              <w:t>老年人健康管理（4分）</w:t>
            </w:r>
          </w:p>
        </w:tc>
        <w:tc>
          <w:tcPr>
            <w:tcW w:w="1417" w:type="dxa"/>
            <w:vAlign w:val="center"/>
          </w:tcPr>
          <w:p>
            <w:pPr>
              <w:rPr>
                <w:b/>
                <w:szCs w:val="21"/>
              </w:rPr>
            </w:pPr>
            <w:r>
              <w:rPr>
                <w:b/>
                <w:szCs w:val="21"/>
              </w:rPr>
              <w:t>3.6.1</w:t>
            </w:r>
            <w:r>
              <w:rPr>
                <w:rFonts w:hint="eastAsia"/>
                <w:b/>
                <w:szCs w:val="21"/>
              </w:rPr>
              <w:t>老年人健康管理率（2分）</w:t>
            </w:r>
          </w:p>
        </w:tc>
        <w:tc>
          <w:tcPr>
            <w:tcW w:w="3969" w:type="dxa"/>
            <w:vAlign w:val="center"/>
          </w:tcPr>
          <w:p>
            <w:pPr>
              <w:rPr>
                <w:szCs w:val="21"/>
              </w:rPr>
            </w:pPr>
            <w:r>
              <w:rPr>
                <w:rFonts w:hint="eastAsia"/>
                <w:szCs w:val="21"/>
              </w:rPr>
              <w:t>基层机构辖区内</w:t>
            </w:r>
            <w:r>
              <w:rPr>
                <w:szCs w:val="21"/>
              </w:rPr>
              <w:t>65</w:t>
            </w:r>
            <w:r>
              <w:rPr>
                <w:rFonts w:hint="eastAsia"/>
                <w:szCs w:val="21"/>
              </w:rPr>
              <w:t>岁及以上常住居民，按照国家基本公共卫生服务规范要求，年度内接受健康管理服务的人数比例，反映老年人健康管理的数量。</w:t>
            </w:r>
          </w:p>
        </w:tc>
        <w:tc>
          <w:tcPr>
            <w:tcW w:w="4111" w:type="dxa"/>
            <w:tcBorders>
              <w:right w:val="single" w:sz="4" w:space="0" w:color="auto"/>
            </w:tcBorders>
            <w:vAlign w:val="center"/>
          </w:tcPr>
          <w:p>
            <w:pPr>
              <w:rPr>
                <w:szCs w:val="21"/>
              </w:rPr>
            </w:pPr>
            <w:r>
              <w:rPr>
                <w:rFonts w:hint="eastAsia"/>
                <w:szCs w:val="21"/>
              </w:rPr>
              <w:t>基层医疗卫生机构辖区内人口统计数据，</w:t>
            </w:r>
            <w:r>
              <w:rPr>
                <w:szCs w:val="21"/>
              </w:rPr>
              <w:t>65</w:t>
            </w:r>
            <w:r>
              <w:rPr>
                <w:rFonts w:hint="eastAsia"/>
                <w:szCs w:val="21"/>
              </w:rPr>
              <w:t>岁及以上常住居民数，老年人健康管理档案。</w:t>
            </w:r>
          </w:p>
        </w:tc>
        <w:tc>
          <w:tcPr>
            <w:tcW w:w="3686" w:type="dxa"/>
            <w:tcBorders>
              <w:left w:val="single" w:sz="4" w:space="0" w:color="auto"/>
            </w:tcBorders>
            <w:vAlign w:val="center"/>
          </w:tcPr>
          <w:p>
            <w:pPr>
              <w:rPr>
                <w:szCs w:val="21"/>
              </w:rPr>
            </w:pPr>
            <w:r>
              <w:rPr>
                <w:rFonts w:hint="eastAsia"/>
                <w:szCs w:val="21"/>
              </w:rPr>
              <w:t>得分=老年人健康管理率</w:t>
            </w:r>
            <w:r>
              <w:rPr>
                <w:rFonts w:hint="eastAsia"/>
                <w:b/>
                <w:szCs w:val="21"/>
              </w:rPr>
              <w:t>/70%</w:t>
            </w:r>
            <w:r>
              <w:rPr>
                <w:rFonts w:hint="eastAsia"/>
                <w:szCs w:val="21"/>
              </w:rPr>
              <w:t>*2分；</w:t>
            </w:r>
          </w:p>
          <w:p>
            <w:pPr>
              <w:rPr>
                <w:szCs w:val="21"/>
              </w:rPr>
            </w:pPr>
            <w:r>
              <w:rPr>
                <w:rFonts w:hint="eastAsia"/>
                <w:szCs w:val="21"/>
              </w:rPr>
              <w:t>老年人健康管理率</w:t>
            </w:r>
            <w:r>
              <w:rPr>
                <w:rFonts w:ascii="宋体" w:hAnsi="宋体" w:hint="eastAsia"/>
                <w:szCs w:val="21"/>
              </w:rPr>
              <w:t>≥</w:t>
            </w:r>
            <w:r>
              <w:rPr>
                <w:rFonts w:ascii="宋体" w:hAnsi="宋体" w:hint="eastAsia"/>
                <w:szCs w:val="21"/>
              </w:rPr>
              <w:t>70%的，2分。</w:t>
            </w:r>
          </w:p>
        </w:tc>
      </w:tr>
      <w:tr>
        <w:tblPrEx>
          <w:tblW w:w="15843" w:type="dxa"/>
          <w:tblLayout w:type="fixed"/>
          <w:tblCellMar>
            <w:top w:w="0" w:type="dxa"/>
            <w:left w:w="108" w:type="dxa"/>
            <w:bottom w:w="0" w:type="dxa"/>
            <w:right w:w="108" w:type="dxa"/>
          </w:tblCellMar>
          <w:tblLook w:val="0000"/>
        </w:tblPrEx>
        <w:trPr>
          <w:trHeight w:val="1798"/>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3.6.2</w:t>
            </w:r>
            <w:r>
              <w:rPr>
                <w:rFonts w:hint="eastAsia"/>
                <w:b/>
                <w:szCs w:val="21"/>
              </w:rPr>
              <w:t>老年人健康体检表完整率（2分）</w:t>
            </w:r>
          </w:p>
        </w:tc>
        <w:tc>
          <w:tcPr>
            <w:tcW w:w="3969" w:type="dxa"/>
            <w:vAlign w:val="center"/>
          </w:tcPr>
          <w:p>
            <w:pPr>
              <w:rPr>
                <w:szCs w:val="21"/>
              </w:rPr>
            </w:pPr>
            <w:r>
              <w:rPr>
                <w:rFonts w:hint="eastAsia"/>
                <w:szCs w:val="21"/>
              </w:rPr>
              <w:t>已管理的</w:t>
            </w:r>
            <w:r>
              <w:rPr>
                <w:szCs w:val="21"/>
              </w:rPr>
              <w:t>65</w:t>
            </w:r>
            <w:r>
              <w:rPr>
                <w:rFonts w:hint="eastAsia"/>
                <w:szCs w:val="21"/>
              </w:rPr>
              <w:t>岁及以上常住居民，年度内获得符合国家基本公共卫生服务规范要求的健康体检，并且健康体检表填写完整无误的情况，反映老年人年度健康体检的质量。</w:t>
            </w:r>
          </w:p>
          <w:p>
            <w:pPr>
              <w:rPr>
                <w:szCs w:val="21"/>
              </w:rPr>
            </w:pPr>
            <w:r>
              <w:rPr>
                <w:rFonts w:hint="eastAsia"/>
                <w:szCs w:val="21"/>
              </w:rPr>
              <w:t>同时，核实老年人年度健康体检的真实性。</w:t>
            </w:r>
          </w:p>
        </w:tc>
        <w:tc>
          <w:tcPr>
            <w:tcW w:w="4111" w:type="dxa"/>
            <w:tcBorders>
              <w:right w:val="single" w:sz="4" w:space="0" w:color="auto"/>
            </w:tcBorders>
            <w:vAlign w:val="center"/>
          </w:tcPr>
          <w:p>
            <w:pPr>
              <w:rPr>
                <w:szCs w:val="21"/>
              </w:rPr>
            </w:pPr>
            <w:r>
              <w:rPr>
                <w:rFonts w:hint="eastAsia"/>
                <w:szCs w:val="21"/>
              </w:rPr>
              <w:t>基层医疗卫生机构的老年人健康管理档案和健康体检表，以及健康体检有关辅助检查化验单。</w:t>
            </w:r>
            <w:r>
              <w:rPr>
                <w:rFonts w:ascii="宋体" w:hAnsi="宋体" w:cs="宋体" w:hint="eastAsia"/>
                <w:szCs w:val="21"/>
              </w:rPr>
              <w:t>以及现场电话核查收集的信息。</w:t>
            </w:r>
          </w:p>
        </w:tc>
        <w:tc>
          <w:tcPr>
            <w:tcW w:w="3686" w:type="dxa"/>
            <w:tcBorders>
              <w:left w:val="single" w:sz="4" w:space="0" w:color="auto"/>
            </w:tcBorders>
            <w:vAlign w:val="center"/>
          </w:tcPr>
          <w:p>
            <w:pPr>
              <w:rPr>
                <w:szCs w:val="21"/>
              </w:rPr>
            </w:pPr>
            <w:r>
              <w:rPr>
                <w:rFonts w:hint="eastAsia"/>
                <w:szCs w:val="21"/>
              </w:rPr>
              <w:t>得分=老年人健康体检表完整率/70%*2分；</w:t>
            </w:r>
          </w:p>
          <w:p>
            <w:pPr>
              <w:rPr>
                <w:rFonts w:ascii="宋体" w:hAnsi="宋体"/>
                <w:szCs w:val="21"/>
              </w:rPr>
            </w:pPr>
            <w:r>
              <w:rPr>
                <w:rFonts w:hint="eastAsia"/>
                <w:szCs w:val="21"/>
              </w:rPr>
              <w:t>老年人健康体检表完整率</w:t>
            </w:r>
            <w:r>
              <w:rPr>
                <w:rFonts w:ascii="宋体" w:hAnsi="宋体" w:hint="eastAsia"/>
                <w:szCs w:val="21"/>
              </w:rPr>
              <w:t>≥</w:t>
            </w:r>
            <w:r>
              <w:rPr>
                <w:rFonts w:ascii="宋体" w:hAnsi="宋体" w:hint="eastAsia"/>
                <w:szCs w:val="21"/>
              </w:rPr>
              <w:t>70%的，2分。</w:t>
            </w:r>
          </w:p>
          <w:p>
            <w:pPr>
              <w:rPr>
                <w:b/>
                <w:szCs w:val="21"/>
              </w:rPr>
            </w:pPr>
            <w:r>
              <w:rPr>
                <w:rFonts w:hint="eastAsia"/>
                <w:b/>
                <w:szCs w:val="21"/>
              </w:rPr>
              <w:t>每个基层机构电话核查4例。</w:t>
            </w:r>
          </w:p>
          <w:p>
            <w:pPr>
              <w:rPr>
                <w:szCs w:val="21"/>
              </w:rPr>
            </w:pPr>
            <w:r>
              <w:rPr>
                <w:rFonts w:ascii="宋体" w:hAnsi="宋体" w:hint="eastAsia"/>
                <w:szCs w:val="21"/>
              </w:rPr>
              <w:t>电话核查有1例不真实扣0.5分</w:t>
            </w:r>
          </w:p>
        </w:tc>
      </w:tr>
      <w:tr>
        <w:tblPrEx>
          <w:tblW w:w="15843" w:type="dxa"/>
          <w:tblLayout w:type="fixed"/>
          <w:tblCellMar>
            <w:top w:w="0" w:type="dxa"/>
            <w:left w:w="108" w:type="dxa"/>
            <w:bottom w:w="0" w:type="dxa"/>
            <w:right w:w="108" w:type="dxa"/>
          </w:tblCellMar>
          <w:tblLook w:val="0000"/>
        </w:tblPrEx>
        <w:trPr>
          <w:trHeight w:val="1842"/>
        </w:trPr>
        <w:tc>
          <w:tcPr>
            <w:tcW w:w="1419" w:type="dxa"/>
            <w:vMerge/>
            <w:vAlign w:val="center"/>
          </w:tcPr>
          <w:p>
            <w:pPr>
              <w:jc w:val="center"/>
              <w:rPr>
                <w:b/>
                <w:szCs w:val="21"/>
              </w:rPr>
            </w:pPr>
          </w:p>
        </w:tc>
        <w:tc>
          <w:tcPr>
            <w:tcW w:w="1241" w:type="dxa"/>
            <w:vAlign w:val="center"/>
          </w:tcPr>
          <w:p>
            <w:pPr>
              <w:jc w:val="left"/>
              <w:rPr>
                <w:b/>
                <w:szCs w:val="21"/>
              </w:rPr>
            </w:pPr>
            <w:r>
              <w:rPr>
                <w:b/>
                <w:szCs w:val="21"/>
              </w:rPr>
              <w:t>3.7</w:t>
            </w:r>
            <w:r>
              <w:rPr>
                <w:rFonts w:hint="eastAsia"/>
                <w:b/>
                <w:szCs w:val="21"/>
              </w:rPr>
              <w:t>高血压患者健康管理4分）</w:t>
            </w:r>
          </w:p>
        </w:tc>
        <w:tc>
          <w:tcPr>
            <w:tcW w:w="1417" w:type="dxa"/>
            <w:vAlign w:val="center"/>
          </w:tcPr>
          <w:p>
            <w:pPr>
              <w:rPr>
                <w:b/>
                <w:szCs w:val="21"/>
              </w:rPr>
            </w:pPr>
            <w:r>
              <w:rPr>
                <w:b/>
                <w:szCs w:val="21"/>
              </w:rPr>
              <w:t>3.7.1</w:t>
            </w:r>
            <w:r>
              <w:rPr>
                <w:rFonts w:hint="eastAsia"/>
                <w:b/>
                <w:szCs w:val="21"/>
              </w:rPr>
              <w:t>高血压患者健康管理率（2分）</w:t>
            </w:r>
          </w:p>
        </w:tc>
        <w:tc>
          <w:tcPr>
            <w:tcW w:w="3969" w:type="dxa"/>
            <w:vAlign w:val="center"/>
          </w:tcPr>
          <w:p>
            <w:pPr>
              <w:rPr>
                <w:szCs w:val="21"/>
              </w:rPr>
            </w:pPr>
            <w:r>
              <w:rPr>
                <w:rFonts w:hint="eastAsia"/>
                <w:szCs w:val="21"/>
              </w:rPr>
              <w:t>基层医疗卫生机构原发性高血压患者，按照国家基本公共卫生服务规范要求，年度内已获得健康管理的人数比例，反映高血压患者健康管理服务数量。</w:t>
            </w:r>
          </w:p>
          <w:p>
            <w:pPr>
              <w:rPr>
                <w:rFonts w:ascii="宋体" w:hAnsi="宋体"/>
                <w:szCs w:val="21"/>
              </w:rPr>
            </w:pPr>
            <w:r>
              <w:rPr>
                <w:rFonts w:ascii="宋体" w:hAnsi="宋体" w:hint="eastAsia"/>
                <w:szCs w:val="21"/>
              </w:rPr>
              <w:t>机构辖区内高血压患者人数=辖区内常住人口数*成年人高血压患病率（18.8%）。其中18岁以上成年人约占总数的80%）。</w:t>
            </w:r>
          </w:p>
        </w:tc>
        <w:tc>
          <w:tcPr>
            <w:tcW w:w="4111" w:type="dxa"/>
            <w:tcBorders>
              <w:right w:val="single" w:sz="4" w:space="0" w:color="auto"/>
            </w:tcBorders>
            <w:vAlign w:val="center"/>
          </w:tcPr>
          <w:p>
            <w:pPr>
              <w:rPr>
                <w:szCs w:val="21"/>
              </w:rPr>
            </w:pPr>
            <w:r>
              <w:rPr>
                <w:rFonts w:hint="eastAsia"/>
                <w:szCs w:val="21"/>
              </w:rPr>
              <w:t>基层医疗卫生机构辖区常住成年人口数，基层医疗卫生机构的高血压患者健康管理记录、健康管理档案。</w:t>
            </w:r>
          </w:p>
        </w:tc>
        <w:tc>
          <w:tcPr>
            <w:tcW w:w="3686" w:type="dxa"/>
            <w:tcBorders>
              <w:left w:val="single" w:sz="4" w:space="0" w:color="auto"/>
            </w:tcBorders>
            <w:vAlign w:val="center"/>
          </w:tcPr>
          <w:p>
            <w:pPr>
              <w:rPr>
                <w:szCs w:val="21"/>
              </w:rPr>
            </w:pPr>
            <w:r>
              <w:rPr>
                <w:rFonts w:hint="eastAsia"/>
                <w:szCs w:val="21"/>
              </w:rPr>
              <w:t>得分=高血压患者健康管理率</w:t>
            </w:r>
            <w:r>
              <w:rPr>
                <w:rFonts w:hint="eastAsia"/>
                <w:b/>
                <w:szCs w:val="21"/>
              </w:rPr>
              <w:t>/50%</w:t>
            </w:r>
            <w:r>
              <w:rPr>
                <w:rFonts w:hint="eastAsia"/>
                <w:szCs w:val="21"/>
              </w:rPr>
              <w:t>*2分；</w:t>
            </w:r>
          </w:p>
          <w:p>
            <w:pPr>
              <w:rPr>
                <w:szCs w:val="21"/>
              </w:rPr>
            </w:pPr>
            <w:r>
              <w:rPr>
                <w:rFonts w:hint="eastAsia"/>
                <w:szCs w:val="21"/>
              </w:rPr>
              <w:t>高血压患者健康管理率</w:t>
            </w:r>
            <w:r>
              <w:rPr>
                <w:rFonts w:ascii="宋体" w:hAnsi="宋体" w:hint="eastAsia"/>
                <w:szCs w:val="21"/>
              </w:rPr>
              <w:t>≥</w:t>
            </w:r>
            <w:r>
              <w:rPr>
                <w:rFonts w:ascii="宋体" w:hAnsi="宋体" w:hint="eastAsia"/>
                <w:szCs w:val="21"/>
              </w:rPr>
              <w:t>50%的，2分。</w:t>
            </w:r>
          </w:p>
        </w:tc>
      </w:tr>
    </w:tbl>
    <w:p>
      <w:pPr>
        <w:sectPr>
          <w:headerReference w:type="even" r:id="rId82"/>
          <w:headerReference w:type="default" r:id="rId83"/>
          <w:footerReference w:type="even" r:id="rId84"/>
          <w:footerReference w:type="default" r:id="rId85"/>
          <w:headerReference w:type="first" r:id="rId86"/>
          <w:footerReference w:type="first" r:id="rId87"/>
          <w:type w:val="nextPage"/>
          <w:pgSz w:w="16838" w:h="11906" w:orient="landscape"/>
          <w:pgMar w:top="1797" w:right="1440" w:bottom="1797" w:left="1440" w:header="851" w:footer="992" w:gutter="0"/>
          <w:pgNumType w:start="14"/>
          <w:cols w:space="708"/>
          <w:titlePg w:val="0"/>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1400"/>
        </w:trPr>
        <w:tc>
          <w:tcPr>
            <w:tcW w:w="1419" w:type="dxa"/>
            <w:vMerge w:val="restart"/>
            <w:vAlign w:val="center"/>
          </w:tcPr>
          <w:p>
            <w:pPr>
              <w:jc w:val="center"/>
              <w:rPr>
                <w:b/>
                <w:szCs w:val="21"/>
              </w:rPr>
            </w:pPr>
          </w:p>
        </w:tc>
        <w:tc>
          <w:tcPr>
            <w:tcW w:w="1241" w:type="dxa"/>
            <w:vMerge w:val="restart"/>
            <w:vAlign w:val="center"/>
          </w:tcPr>
          <w:p>
            <w:pPr>
              <w:jc w:val="left"/>
              <w:rPr>
                <w:b/>
                <w:szCs w:val="21"/>
              </w:rPr>
            </w:pPr>
          </w:p>
        </w:tc>
        <w:tc>
          <w:tcPr>
            <w:tcW w:w="1417" w:type="dxa"/>
            <w:vAlign w:val="center"/>
          </w:tcPr>
          <w:p>
            <w:pPr>
              <w:rPr>
                <w:b/>
                <w:szCs w:val="21"/>
              </w:rPr>
            </w:pPr>
            <w:r>
              <w:rPr>
                <w:b/>
                <w:szCs w:val="21"/>
              </w:rPr>
              <w:t>3.7.2</w:t>
            </w:r>
            <w:r>
              <w:rPr>
                <w:rFonts w:hint="eastAsia"/>
                <w:b/>
                <w:szCs w:val="21"/>
              </w:rPr>
              <w:t>高血压患者规范管理率（2分）</w:t>
            </w:r>
          </w:p>
        </w:tc>
        <w:tc>
          <w:tcPr>
            <w:tcW w:w="3969" w:type="dxa"/>
            <w:vAlign w:val="center"/>
          </w:tcPr>
          <w:p>
            <w:pPr>
              <w:rPr>
                <w:szCs w:val="21"/>
              </w:rPr>
            </w:pPr>
            <w:r>
              <w:rPr>
                <w:rFonts w:hint="eastAsia"/>
                <w:szCs w:val="21"/>
              </w:rPr>
              <w:t>基层医疗卫生机构已管理的高血压患者，年度内获得符合国家基本公共卫生服务规范要求的健康服务的合格情况，反映高血压患者健康管理服务的质量。</w:t>
            </w:r>
          </w:p>
          <w:p>
            <w:pPr>
              <w:rPr>
                <w:szCs w:val="21"/>
              </w:rPr>
            </w:pPr>
            <w:r>
              <w:rPr>
                <w:rFonts w:hint="eastAsia"/>
                <w:szCs w:val="21"/>
              </w:rPr>
              <w:t>同时，核实高血压患者管理服务的真实性。</w:t>
            </w:r>
          </w:p>
        </w:tc>
        <w:tc>
          <w:tcPr>
            <w:tcW w:w="4111" w:type="dxa"/>
            <w:tcBorders>
              <w:right w:val="single" w:sz="4" w:space="0" w:color="auto"/>
            </w:tcBorders>
            <w:vAlign w:val="center"/>
          </w:tcPr>
          <w:p>
            <w:pPr>
              <w:rPr>
                <w:szCs w:val="21"/>
              </w:rPr>
            </w:pPr>
            <w:r>
              <w:rPr>
                <w:rFonts w:hint="eastAsia"/>
                <w:szCs w:val="21"/>
              </w:rPr>
              <w:t>基层医疗卫生机构的高血压患者健康管理档案、随访表、健康管理记录，</w:t>
            </w:r>
            <w:r>
              <w:rPr>
                <w:rFonts w:ascii="宋体" w:hAnsi="宋体" w:cs="宋体" w:hint="eastAsia"/>
                <w:szCs w:val="21"/>
              </w:rPr>
              <w:t>以及现场电话核查收集的信息。</w:t>
            </w:r>
          </w:p>
        </w:tc>
        <w:tc>
          <w:tcPr>
            <w:tcW w:w="3686" w:type="dxa"/>
            <w:tcBorders>
              <w:left w:val="single" w:sz="4" w:space="0" w:color="auto"/>
            </w:tcBorders>
            <w:vAlign w:val="center"/>
          </w:tcPr>
          <w:p>
            <w:pPr>
              <w:rPr>
                <w:szCs w:val="21"/>
              </w:rPr>
            </w:pPr>
            <w:r>
              <w:rPr>
                <w:rFonts w:hint="eastAsia"/>
                <w:szCs w:val="21"/>
              </w:rPr>
              <w:t>得分=高血压患者规范管理率</w:t>
            </w:r>
            <w:r>
              <w:rPr>
                <w:rFonts w:hint="eastAsia"/>
                <w:b/>
                <w:szCs w:val="21"/>
              </w:rPr>
              <w:t>/50%</w:t>
            </w:r>
            <w:r>
              <w:rPr>
                <w:rFonts w:hint="eastAsia"/>
                <w:szCs w:val="21"/>
              </w:rPr>
              <w:t>*2分；</w:t>
            </w:r>
          </w:p>
          <w:p>
            <w:pPr>
              <w:rPr>
                <w:rFonts w:ascii="宋体" w:hAnsi="宋体"/>
                <w:szCs w:val="21"/>
              </w:rPr>
            </w:pPr>
            <w:r>
              <w:rPr>
                <w:rFonts w:hint="eastAsia"/>
                <w:szCs w:val="21"/>
              </w:rPr>
              <w:t>高血压患者规范管理率</w:t>
            </w:r>
            <w:r>
              <w:rPr>
                <w:rFonts w:ascii="宋体" w:hAnsi="宋体" w:hint="eastAsia"/>
                <w:szCs w:val="21"/>
              </w:rPr>
              <w:t>≥</w:t>
            </w:r>
            <w:r>
              <w:rPr>
                <w:rFonts w:ascii="宋体" w:hAnsi="宋体" w:hint="eastAsia"/>
                <w:szCs w:val="21"/>
              </w:rPr>
              <w:t>50%的，2分</w:t>
            </w:r>
          </w:p>
          <w:p>
            <w:pPr>
              <w:rPr>
                <w:b/>
                <w:szCs w:val="21"/>
              </w:rPr>
            </w:pPr>
            <w:r>
              <w:rPr>
                <w:rFonts w:hint="eastAsia"/>
                <w:b/>
                <w:szCs w:val="21"/>
              </w:rPr>
              <w:t>每个基层机构电话核查4例。</w:t>
            </w:r>
          </w:p>
          <w:p>
            <w:pPr>
              <w:rPr>
                <w:szCs w:val="21"/>
              </w:rPr>
            </w:pPr>
            <w:r>
              <w:rPr>
                <w:rFonts w:ascii="宋体" w:hAnsi="宋体" w:hint="eastAsia"/>
                <w:szCs w:val="21"/>
              </w:rPr>
              <w:t xml:space="preserve">电话核查有1例不真实扣0.5分 </w:t>
            </w:r>
          </w:p>
        </w:tc>
      </w:tr>
      <w:tr>
        <w:tblPrEx>
          <w:tblW w:w="15843" w:type="dxa"/>
          <w:tblLayout w:type="fixed"/>
          <w:tblCellMar>
            <w:top w:w="0" w:type="dxa"/>
            <w:left w:w="108" w:type="dxa"/>
            <w:bottom w:w="0" w:type="dxa"/>
            <w:right w:w="108" w:type="dxa"/>
          </w:tblCellMar>
          <w:tblLook w:val="0000"/>
        </w:tblPrEx>
        <w:trPr>
          <w:trHeight w:val="1398"/>
        </w:trPr>
        <w:tc>
          <w:tcPr>
            <w:tcW w:w="1419" w:type="dxa"/>
            <w:vMerge/>
            <w:vAlign w:val="center"/>
          </w:tcPr>
          <w:p>
            <w:pPr>
              <w:jc w:val="center"/>
              <w:rPr>
                <w:b/>
                <w:szCs w:val="21"/>
              </w:rPr>
            </w:pPr>
          </w:p>
        </w:tc>
        <w:tc>
          <w:tcPr>
            <w:tcW w:w="1241" w:type="dxa"/>
            <w:vMerge w:val="restart"/>
            <w:vAlign w:val="center"/>
          </w:tcPr>
          <w:p>
            <w:pPr>
              <w:jc w:val="left"/>
              <w:rPr>
                <w:b/>
                <w:szCs w:val="21"/>
              </w:rPr>
            </w:pPr>
            <w:r>
              <w:rPr>
                <w:b/>
                <w:szCs w:val="21"/>
              </w:rPr>
              <w:t>3.8</w:t>
            </w:r>
            <w:r>
              <w:rPr>
                <w:rFonts w:hint="eastAsia"/>
                <w:b/>
                <w:szCs w:val="21"/>
              </w:rPr>
              <w:t>糖尿病患者健康管理（4分）</w:t>
            </w:r>
          </w:p>
        </w:tc>
        <w:tc>
          <w:tcPr>
            <w:tcW w:w="1417" w:type="dxa"/>
            <w:vAlign w:val="center"/>
          </w:tcPr>
          <w:p>
            <w:pPr>
              <w:rPr>
                <w:b/>
                <w:szCs w:val="21"/>
              </w:rPr>
            </w:pPr>
            <w:r>
              <w:rPr>
                <w:b/>
                <w:szCs w:val="21"/>
              </w:rPr>
              <w:t>3.8.1</w:t>
            </w:r>
            <w:r>
              <w:rPr>
                <w:rFonts w:hint="eastAsia"/>
                <w:b/>
                <w:szCs w:val="21"/>
              </w:rPr>
              <w:t>糖尿病患者健康管理率（2分）</w:t>
            </w:r>
          </w:p>
        </w:tc>
        <w:tc>
          <w:tcPr>
            <w:tcW w:w="3969" w:type="dxa"/>
            <w:vAlign w:val="center"/>
          </w:tcPr>
          <w:p>
            <w:pPr>
              <w:rPr>
                <w:szCs w:val="21"/>
              </w:rPr>
            </w:pPr>
            <w:r>
              <w:rPr>
                <w:rFonts w:hint="eastAsia"/>
                <w:szCs w:val="21"/>
              </w:rPr>
              <w:t>基层医疗卫生机构</w:t>
            </w:r>
            <w:r>
              <w:rPr>
                <w:szCs w:val="21"/>
              </w:rPr>
              <w:t>2</w:t>
            </w:r>
            <w:r>
              <w:rPr>
                <w:rFonts w:hint="eastAsia"/>
                <w:szCs w:val="21"/>
              </w:rPr>
              <w:t>型糖尿病患者，按照国家基本公共卫生服务规范要求，年度内已获得健康管理的人数比例，反映</w:t>
            </w:r>
            <w:r>
              <w:rPr>
                <w:szCs w:val="21"/>
              </w:rPr>
              <w:t>2</w:t>
            </w:r>
            <w:r>
              <w:rPr>
                <w:rFonts w:hint="eastAsia"/>
                <w:szCs w:val="21"/>
              </w:rPr>
              <w:t>型糖尿病患者健康管理服务数量。</w:t>
            </w:r>
          </w:p>
          <w:p>
            <w:pPr>
              <w:jc w:val="left"/>
              <w:rPr>
                <w:szCs w:val="21"/>
              </w:rPr>
            </w:pPr>
            <w:r>
              <w:rPr>
                <w:rFonts w:ascii="宋体" w:hAnsi="宋体" w:hint="eastAsia"/>
                <w:szCs w:val="21"/>
              </w:rPr>
              <w:t>机构辖区内2型糖尿病患者人数=辖区内常住人口数*成年人糖尿病患病（6.8%）。其中18岁以上成年人约占总数的80%）</w:t>
            </w:r>
          </w:p>
        </w:tc>
        <w:tc>
          <w:tcPr>
            <w:tcW w:w="4111" w:type="dxa"/>
            <w:tcBorders>
              <w:right w:val="single" w:sz="4" w:space="0" w:color="auto"/>
            </w:tcBorders>
            <w:vAlign w:val="center"/>
          </w:tcPr>
          <w:p>
            <w:pPr>
              <w:rPr>
                <w:szCs w:val="21"/>
              </w:rPr>
            </w:pPr>
            <w:r>
              <w:rPr>
                <w:rFonts w:hint="eastAsia"/>
                <w:szCs w:val="21"/>
              </w:rPr>
              <w:t>基层医疗卫生机构辖区常住成年人口数，基层医疗卫生机构的糖尿病患者健康管理记录、健康管理档案。</w:t>
            </w:r>
          </w:p>
        </w:tc>
        <w:tc>
          <w:tcPr>
            <w:tcW w:w="3686" w:type="dxa"/>
            <w:tcBorders>
              <w:left w:val="single" w:sz="4" w:space="0" w:color="auto"/>
            </w:tcBorders>
            <w:vAlign w:val="center"/>
          </w:tcPr>
          <w:p>
            <w:pPr>
              <w:rPr>
                <w:szCs w:val="21"/>
              </w:rPr>
            </w:pPr>
            <w:r>
              <w:rPr>
                <w:rFonts w:hint="eastAsia"/>
                <w:szCs w:val="21"/>
              </w:rPr>
              <w:t>得分=糖尿病患者健康管理率</w:t>
            </w:r>
            <w:r>
              <w:rPr>
                <w:rFonts w:hint="eastAsia"/>
                <w:b/>
                <w:szCs w:val="21"/>
              </w:rPr>
              <w:t>/50%</w:t>
            </w:r>
            <w:r>
              <w:rPr>
                <w:rFonts w:hint="eastAsia"/>
                <w:szCs w:val="21"/>
              </w:rPr>
              <w:t>*2分；</w:t>
            </w:r>
          </w:p>
          <w:p>
            <w:pPr>
              <w:rPr>
                <w:szCs w:val="21"/>
              </w:rPr>
            </w:pPr>
            <w:r>
              <w:rPr>
                <w:rFonts w:hint="eastAsia"/>
                <w:szCs w:val="21"/>
              </w:rPr>
              <w:t>糖尿病患者健康管理率</w:t>
            </w:r>
            <w:r>
              <w:rPr>
                <w:rFonts w:ascii="宋体" w:hAnsi="宋体" w:hint="eastAsia"/>
                <w:szCs w:val="21"/>
              </w:rPr>
              <w:t>≥</w:t>
            </w:r>
            <w:r>
              <w:rPr>
                <w:rFonts w:ascii="宋体" w:hAnsi="宋体" w:hint="eastAsia"/>
                <w:szCs w:val="21"/>
              </w:rPr>
              <w:t>50%的，2分。</w:t>
            </w:r>
          </w:p>
        </w:tc>
      </w:tr>
      <w:tr>
        <w:tblPrEx>
          <w:tblW w:w="15843" w:type="dxa"/>
          <w:tblLayout w:type="fixed"/>
          <w:tblCellMar>
            <w:top w:w="0" w:type="dxa"/>
            <w:left w:w="108" w:type="dxa"/>
            <w:bottom w:w="0" w:type="dxa"/>
            <w:right w:w="108" w:type="dxa"/>
          </w:tblCellMar>
          <w:tblLook w:val="0000"/>
        </w:tblPrEx>
        <w:trPr>
          <w:trHeight w:val="1569"/>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3.8.2</w:t>
            </w:r>
            <w:r>
              <w:rPr>
                <w:rFonts w:hint="eastAsia"/>
                <w:b/>
                <w:szCs w:val="21"/>
              </w:rPr>
              <w:t>糖尿病患者规范管理率（2分）</w:t>
            </w:r>
          </w:p>
        </w:tc>
        <w:tc>
          <w:tcPr>
            <w:tcW w:w="3969" w:type="dxa"/>
            <w:vAlign w:val="center"/>
          </w:tcPr>
          <w:p>
            <w:pPr>
              <w:rPr>
                <w:szCs w:val="21"/>
              </w:rPr>
            </w:pPr>
            <w:r>
              <w:rPr>
                <w:rFonts w:hint="eastAsia"/>
                <w:szCs w:val="21"/>
              </w:rPr>
              <w:t>已管理的</w:t>
            </w:r>
            <w:r>
              <w:rPr>
                <w:szCs w:val="21"/>
              </w:rPr>
              <w:t>2</w:t>
            </w:r>
            <w:r>
              <w:rPr>
                <w:rFonts w:hint="eastAsia"/>
                <w:szCs w:val="21"/>
              </w:rPr>
              <w:t>型糖尿病患者，年度内获得符合国家基本公共卫生服务规范要求的健康服务的合格情况，反映糖尿病患者健康管理服务的质量。</w:t>
            </w:r>
          </w:p>
          <w:p>
            <w:pPr>
              <w:rPr>
                <w:szCs w:val="21"/>
              </w:rPr>
            </w:pPr>
            <w:r>
              <w:rPr>
                <w:rFonts w:hint="eastAsia"/>
                <w:szCs w:val="21"/>
              </w:rPr>
              <w:t>同时，核实糖尿病患者管理服务的真实性。</w:t>
            </w:r>
          </w:p>
        </w:tc>
        <w:tc>
          <w:tcPr>
            <w:tcW w:w="4111" w:type="dxa"/>
            <w:tcBorders>
              <w:right w:val="single" w:sz="4" w:space="0" w:color="auto"/>
            </w:tcBorders>
            <w:vAlign w:val="center"/>
          </w:tcPr>
          <w:p>
            <w:pPr>
              <w:rPr>
                <w:szCs w:val="21"/>
              </w:rPr>
            </w:pPr>
            <w:r>
              <w:rPr>
                <w:rFonts w:hint="eastAsia"/>
                <w:szCs w:val="21"/>
              </w:rPr>
              <w:t>基层医疗卫生机构的糖尿病患者健康管理档案、随访表、健康管理记录，</w:t>
            </w:r>
            <w:r>
              <w:rPr>
                <w:rFonts w:ascii="宋体" w:hAnsi="宋体" w:cs="宋体" w:hint="eastAsia"/>
                <w:szCs w:val="21"/>
              </w:rPr>
              <w:t>以及现场电话核查收集的信息。</w:t>
            </w:r>
          </w:p>
        </w:tc>
        <w:tc>
          <w:tcPr>
            <w:tcW w:w="3686" w:type="dxa"/>
            <w:tcBorders>
              <w:left w:val="single" w:sz="4" w:space="0" w:color="auto"/>
            </w:tcBorders>
            <w:vAlign w:val="center"/>
          </w:tcPr>
          <w:p>
            <w:pPr>
              <w:rPr>
                <w:szCs w:val="21"/>
              </w:rPr>
            </w:pPr>
            <w:r>
              <w:rPr>
                <w:rFonts w:hint="eastAsia"/>
                <w:szCs w:val="21"/>
              </w:rPr>
              <w:t>得分=糖尿病患者规范管理率</w:t>
            </w:r>
            <w:r>
              <w:rPr>
                <w:rFonts w:hint="eastAsia"/>
                <w:b/>
                <w:szCs w:val="21"/>
              </w:rPr>
              <w:t>/50%</w:t>
            </w:r>
            <w:r>
              <w:rPr>
                <w:rFonts w:hint="eastAsia"/>
                <w:szCs w:val="21"/>
              </w:rPr>
              <w:t>*2分；</w:t>
            </w:r>
          </w:p>
          <w:p>
            <w:pPr>
              <w:rPr>
                <w:rFonts w:ascii="宋体" w:hAnsi="宋体"/>
                <w:szCs w:val="21"/>
              </w:rPr>
            </w:pPr>
            <w:r>
              <w:rPr>
                <w:rFonts w:hint="eastAsia"/>
                <w:szCs w:val="21"/>
              </w:rPr>
              <w:t>糖尿病患者规范管理率</w:t>
            </w:r>
            <w:r>
              <w:rPr>
                <w:rFonts w:ascii="宋体" w:hAnsi="宋体" w:hint="eastAsia"/>
                <w:szCs w:val="21"/>
              </w:rPr>
              <w:t>≥</w:t>
            </w:r>
            <w:r>
              <w:rPr>
                <w:rFonts w:ascii="宋体" w:hAnsi="宋体" w:hint="eastAsia"/>
                <w:szCs w:val="21"/>
              </w:rPr>
              <w:t>50%的，2分；</w:t>
            </w:r>
          </w:p>
          <w:p>
            <w:pPr>
              <w:rPr>
                <w:b/>
                <w:szCs w:val="21"/>
              </w:rPr>
            </w:pPr>
            <w:r>
              <w:rPr>
                <w:rFonts w:hint="eastAsia"/>
                <w:b/>
                <w:szCs w:val="21"/>
              </w:rPr>
              <w:t>每个基层机构电话核查4例。</w:t>
            </w:r>
          </w:p>
          <w:p>
            <w:pPr>
              <w:rPr>
                <w:szCs w:val="21"/>
              </w:rPr>
            </w:pPr>
            <w:r>
              <w:rPr>
                <w:rFonts w:ascii="宋体" w:hAnsi="宋体" w:hint="eastAsia"/>
                <w:szCs w:val="21"/>
              </w:rPr>
              <w:t>电话核查有1例不真实扣0.5分</w:t>
            </w:r>
          </w:p>
        </w:tc>
      </w:tr>
      <w:tr>
        <w:tblPrEx>
          <w:tblW w:w="15843" w:type="dxa"/>
          <w:tblLayout w:type="fixed"/>
          <w:tblCellMar>
            <w:top w:w="0" w:type="dxa"/>
            <w:left w:w="108" w:type="dxa"/>
            <w:bottom w:w="0" w:type="dxa"/>
            <w:right w:w="108" w:type="dxa"/>
          </w:tblCellMar>
          <w:tblLook w:val="0000"/>
        </w:tblPrEx>
        <w:trPr>
          <w:trHeight w:val="1116"/>
        </w:trPr>
        <w:tc>
          <w:tcPr>
            <w:tcW w:w="1419" w:type="dxa"/>
            <w:tcBorders>
              <w:top w:val="nil"/>
            </w:tcBorders>
            <w:vAlign w:val="center"/>
          </w:tcPr>
          <w:p>
            <w:pPr>
              <w:jc w:val="center"/>
              <w:rPr>
                <w:b/>
                <w:szCs w:val="21"/>
              </w:rPr>
            </w:pPr>
            <w:r>
              <w:rPr>
                <w:b/>
                <w:szCs w:val="21"/>
              </w:rPr>
              <w:t>3.</w:t>
            </w:r>
            <w:r>
              <w:rPr>
                <w:rFonts w:hint="eastAsia"/>
                <w:b/>
                <w:szCs w:val="21"/>
              </w:rPr>
              <w:t xml:space="preserve">项目执行 </w:t>
            </w:r>
          </w:p>
          <w:p>
            <w:pPr>
              <w:jc w:val="center"/>
              <w:rPr>
                <w:b/>
                <w:szCs w:val="21"/>
              </w:rPr>
            </w:pPr>
          </w:p>
        </w:tc>
        <w:tc>
          <w:tcPr>
            <w:tcW w:w="1241" w:type="dxa"/>
            <w:vAlign w:val="center"/>
          </w:tcPr>
          <w:p>
            <w:pPr>
              <w:jc w:val="left"/>
              <w:rPr>
                <w:b/>
                <w:szCs w:val="21"/>
              </w:rPr>
            </w:pPr>
            <w:r>
              <w:rPr>
                <w:b/>
                <w:szCs w:val="21"/>
              </w:rPr>
              <w:t>3.9</w:t>
            </w:r>
            <w:r>
              <w:rPr>
                <w:rFonts w:hint="eastAsia"/>
                <w:b/>
                <w:szCs w:val="21"/>
              </w:rPr>
              <w:t>重性精神疾病（严重精神障碍）患者管理（4分）</w:t>
            </w:r>
          </w:p>
        </w:tc>
        <w:tc>
          <w:tcPr>
            <w:tcW w:w="1417" w:type="dxa"/>
            <w:vAlign w:val="center"/>
          </w:tcPr>
          <w:p>
            <w:pPr>
              <w:rPr>
                <w:b/>
                <w:szCs w:val="21"/>
              </w:rPr>
            </w:pPr>
            <w:r>
              <w:rPr>
                <w:b/>
                <w:szCs w:val="21"/>
              </w:rPr>
              <w:t>3.9.1</w:t>
            </w:r>
            <w:r>
              <w:rPr>
                <w:rFonts w:hint="eastAsia"/>
                <w:b/>
                <w:szCs w:val="21"/>
              </w:rPr>
              <w:t>重性精神疾病（严重精神障碍）患者管理率（2分）</w:t>
            </w:r>
          </w:p>
        </w:tc>
        <w:tc>
          <w:tcPr>
            <w:tcW w:w="3969" w:type="dxa"/>
            <w:vAlign w:val="center"/>
          </w:tcPr>
          <w:p>
            <w:pPr>
              <w:rPr>
                <w:rFonts w:ascii="宋体" w:hAnsi="宋体"/>
                <w:szCs w:val="21"/>
              </w:rPr>
            </w:pPr>
            <w:r>
              <w:rPr>
                <w:rFonts w:ascii="宋体" w:hAnsi="宋体" w:cs="宋体" w:hint="eastAsia"/>
                <w:color w:val="000000"/>
                <w:szCs w:val="21"/>
              </w:rPr>
              <w:t>所有登记在册的确诊</w:t>
            </w:r>
            <w:r>
              <w:rPr>
                <w:rFonts w:ascii="宋体" w:hAnsi="宋体" w:hint="eastAsia"/>
                <w:bCs/>
                <w:color w:val="000000"/>
                <w:szCs w:val="21"/>
              </w:rPr>
              <w:t>重性精神疾病（严重精神障碍）患者，年度内至少获得一次完整的随访管理记录</w:t>
            </w:r>
            <w:r>
              <w:rPr>
                <w:rFonts w:ascii="宋体" w:hAnsi="宋体" w:cs="宋体" w:hint="eastAsia"/>
                <w:color w:val="000000"/>
                <w:szCs w:val="21"/>
              </w:rPr>
              <w:t>，反映</w:t>
            </w:r>
            <w:r>
              <w:rPr>
                <w:rFonts w:ascii="宋体" w:hAnsi="宋体" w:hint="eastAsia"/>
                <w:bCs/>
                <w:color w:val="000000"/>
                <w:szCs w:val="21"/>
              </w:rPr>
              <w:t>重性精神疾病（严重精神障碍）患者</w:t>
            </w:r>
            <w:r>
              <w:rPr>
                <w:rFonts w:ascii="宋体" w:hAnsi="宋体" w:cs="宋体" w:hint="eastAsia"/>
                <w:color w:val="000000"/>
                <w:szCs w:val="21"/>
              </w:rPr>
              <w:t>管理服务数量。</w:t>
            </w:r>
          </w:p>
        </w:tc>
        <w:tc>
          <w:tcPr>
            <w:tcW w:w="4111" w:type="dxa"/>
            <w:tcBorders>
              <w:right w:val="single" w:sz="4" w:space="0" w:color="auto"/>
            </w:tcBorders>
            <w:vAlign w:val="center"/>
          </w:tcPr>
          <w:p>
            <w:pPr>
              <w:rPr>
                <w:rFonts w:ascii="宋体" w:hAnsi="宋体"/>
                <w:szCs w:val="21"/>
              </w:rPr>
            </w:pPr>
            <w:r>
              <w:rPr>
                <w:rFonts w:ascii="宋体" w:hAnsi="宋体" w:cs="宋体" w:hint="eastAsia"/>
                <w:szCs w:val="21"/>
              </w:rPr>
              <w:t>国家严重精神障碍信息系统，基层</w:t>
            </w:r>
            <w:r>
              <w:rPr>
                <w:rFonts w:ascii="宋体" w:hAnsi="宋体" w:hint="eastAsia"/>
                <w:bCs/>
                <w:szCs w:val="21"/>
              </w:rPr>
              <w:t>重性精神疾病（严重精神障碍）</w:t>
            </w:r>
            <w:r>
              <w:rPr>
                <w:rFonts w:ascii="宋体" w:hAnsi="宋体" w:cs="宋体" w:hint="eastAsia"/>
                <w:szCs w:val="21"/>
              </w:rPr>
              <w:t>患者管理记录和随访记录、健康管理档案。</w:t>
            </w:r>
          </w:p>
        </w:tc>
        <w:tc>
          <w:tcPr>
            <w:tcW w:w="3686" w:type="dxa"/>
            <w:tcBorders>
              <w:left w:val="single" w:sz="4" w:space="0" w:color="auto"/>
            </w:tcBorders>
            <w:vAlign w:val="center"/>
          </w:tcPr>
          <w:p>
            <w:pPr>
              <w:rPr>
                <w:rFonts w:hint="eastAsia"/>
                <w:szCs w:val="21"/>
              </w:rPr>
            </w:pPr>
            <w:r>
              <w:rPr>
                <w:rFonts w:hint="eastAsia"/>
                <w:szCs w:val="21"/>
              </w:rPr>
              <w:t>得分=重性精神疾病患者管理率/80%*2分；</w:t>
            </w:r>
          </w:p>
          <w:p>
            <w:pPr>
              <w:rPr>
                <w:szCs w:val="21"/>
              </w:rPr>
            </w:pPr>
            <w:r>
              <w:rPr>
                <w:rFonts w:hint="eastAsia"/>
                <w:szCs w:val="21"/>
              </w:rPr>
              <w:t>重性精神疾病患者管理率</w:t>
            </w:r>
            <w:r>
              <w:rPr>
                <w:rFonts w:ascii="宋体" w:hAnsi="宋体" w:hint="eastAsia"/>
                <w:szCs w:val="21"/>
              </w:rPr>
              <w:t>≥</w:t>
            </w:r>
            <w:r>
              <w:rPr>
                <w:rFonts w:hint="eastAsia"/>
                <w:szCs w:val="21"/>
              </w:rPr>
              <w:t>80%，2分</w:t>
            </w:r>
          </w:p>
        </w:tc>
      </w:tr>
    </w:tbl>
    <w:p>
      <w:pPr>
        <w:sectPr>
          <w:headerReference w:type="even" r:id="rId88"/>
          <w:headerReference w:type="default" r:id="rId89"/>
          <w:footerReference w:type="even" r:id="rId90"/>
          <w:footerReference w:type="default" r:id="rId91"/>
          <w:headerReference w:type="first" r:id="rId92"/>
          <w:footerReference w:type="first" r:id="rId93"/>
          <w:type w:val="nextPage"/>
          <w:pgSz w:w="16838" w:h="11906" w:orient="landscape"/>
          <w:pgMar w:top="1797" w:right="1440" w:bottom="1797" w:left="1440" w:header="851" w:footer="992" w:gutter="0"/>
          <w:pgNumType w:start="15"/>
          <w:cols w:space="708"/>
          <w:titlePg w:val="0"/>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108"/>
        </w:trPr>
        <w:tc>
          <w:tcPr>
            <w:tcW w:w="1419" w:type="dxa"/>
            <w:vMerge w:val="restart"/>
            <w:tcBorders>
              <w:top w:val="nil"/>
            </w:tcBorders>
            <w:vAlign w:val="center"/>
          </w:tcPr>
          <w:p>
            <w:pPr>
              <w:jc w:val="center"/>
              <w:rPr>
                <w:b/>
                <w:szCs w:val="21"/>
              </w:rPr>
            </w:pPr>
          </w:p>
        </w:tc>
        <w:tc>
          <w:tcPr>
            <w:tcW w:w="1241" w:type="dxa"/>
            <w:vMerge w:val="restart"/>
            <w:vAlign w:val="center"/>
          </w:tcPr>
          <w:p>
            <w:pPr>
              <w:jc w:val="left"/>
              <w:rPr>
                <w:b/>
                <w:szCs w:val="21"/>
              </w:rPr>
            </w:pPr>
          </w:p>
        </w:tc>
        <w:tc>
          <w:tcPr>
            <w:tcW w:w="1417" w:type="dxa"/>
            <w:vAlign w:val="center"/>
          </w:tcPr>
          <w:p>
            <w:pPr>
              <w:rPr>
                <w:b/>
                <w:szCs w:val="21"/>
              </w:rPr>
            </w:pPr>
            <w:r>
              <w:rPr>
                <w:b/>
                <w:szCs w:val="21"/>
              </w:rPr>
              <w:t>3.9.2</w:t>
            </w:r>
            <w:r>
              <w:rPr>
                <w:rFonts w:hint="eastAsia"/>
                <w:b/>
                <w:szCs w:val="21"/>
              </w:rPr>
              <w:t>重性精神疾病患者规范管理率（2分）</w:t>
            </w:r>
          </w:p>
        </w:tc>
        <w:tc>
          <w:tcPr>
            <w:tcW w:w="3969" w:type="dxa"/>
            <w:vAlign w:val="center"/>
          </w:tcPr>
          <w:p>
            <w:pPr>
              <w:rPr>
                <w:rFonts w:ascii="宋体" w:hAnsi="宋体" w:cs="宋体"/>
                <w:color w:val="000000"/>
                <w:szCs w:val="21"/>
              </w:rPr>
            </w:pPr>
            <w:r>
              <w:rPr>
                <w:rFonts w:ascii="宋体" w:hAnsi="宋体" w:cs="宋体" w:hint="eastAsia"/>
                <w:color w:val="000000"/>
                <w:szCs w:val="21"/>
              </w:rPr>
              <w:t>所有登记在册的确诊</w:t>
            </w:r>
            <w:r>
              <w:rPr>
                <w:rFonts w:ascii="宋体" w:hAnsi="宋体" w:hint="eastAsia"/>
                <w:bCs/>
                <w:color w:val="000000"/>
                <w:szCs w:val="21"/>
              </w:rPr>
              <w:t>重性精神疾病（严重精神障碍）</w:t>
            </w:r>
            <w:r>
              <w:rPr>
                <w:rFonts w:ascii="宋体" w:hAnsi="宋体" w:cs="宋体" w:hint="eastAsia"/>
                <w:color w:val="000000"/>
                <w:szCs w:val="21"/>
              </w:rPr>
              <w:t>患者，年度内获得符合国家基本公共卫生服务规范要求的管理服务的情况，反映</w:t>
            </w:r>
            <w:r>
              <w:rPr>
                <w:rFonts w:ascii="宋体" w:hAnsi="宋体" w:hint="eastAsia"/>
                <w:bCs/>
                <w:color w:val="000000"/>
                <w:szCs w:val="21"/>
              </w:rPr>
              <w:t>重性精神疾病（严重精神障碍）</w:t>
            </w:r>
            <w:r>
              <w:rPr>
                <w:rFonts w:ascii="宋体" w:hAnsi="宋体" w:cs="宋体" w:hint="eastAsia"/>
                <w:color w:val="000000"/>
                <w:szCs w:val="21"/>
              </w:rPr>
              <w:t>患者管理的质量。</w:t>
            </w:r>
          </w:p>
          <w:p>
            <w:pPr>
              <w:rPr>
                <w:b/>
                <w:szCs w:val="21"/>
              </w:rPr>
            </w:pPr>
            <w:r>
              <w:rPr>
                <w:rFonts w:ascii="宋体" w:hAnsi="宋体" w:cs="宋体" w:hint="eastAsia"/>
                <w:b/>
                <w:color w:val="000000"/>
                <w:szCs w:val="21"/>
              </w:rPr>
              <w:t>必要时，核实</w:t>
            </w:r>
            <w:r>
              <w:rPr>
                <w:rFonts w:ascii="宋体" w:hAnsi="宋体" w:hint="eastAsia"/>
                <w:b/>
                <w:bCs/>
                <w:color w:val="000000"/>
                <w:szCs w:val="21"/>
              </w:rPr>
              <w:t>重性精神疾病（严重精神障碍）</w:t>
            </w:r>
            <w:r>
              <w:rPr>
                <w:rFonts w:ascii="宋体" w:hAnsi="宋体" w:cs="宋体" w:hint="eastAsia"/>
                <w:b/>
                <w:color w:val="000000"/>
                <w:szCs w:val="21"/>
              </w:rPr>
              <w:t>患者管理服务的真实性。</w:t>
            </w:r>
          </w:p>
        </w:tc>
        <w:tc>
          <w:tcPr>
            <w:tcW w:w="4111" w:type="dxa"/>
            <w:tcBorders>
              <w:right w:val="single" w:sz="4" w:space="0" w:color="auto"/>
            </w:tcBorders>
            <w:vAlign w:val="center"/>
          </w:tcPr>
          <w:p>
            <w:pPr>
              <w:rPr>
                <w:szCs w:val="21"/>
              </w:rPr>
            </w:pPr>
            <w:r>
              <w:rPr>
                <w:rFonts w:ascii="宋体" w:hAnsi="宋体" w:cs="宋体" w:hint="eastAsia"/>
                <w:szCs w:val="21"/>
              </w:rPr>
              <w:t>国家严重精神障碍信息系统，基层</w:t>
            </w:r>
            <w:r>
              <w:rPr>
                <w:rFonts w:ascii="宋体" w:hAnsi="宋体" w:hint="eastAsia"/>
                <w:bCs/>
                <w:szCs w:val="21"/>
              </w:rPr>
              <w:t>重性精神疾病（严重精神障碍）</w:t>
            </w:r>
            <w:r>
              <w:rPr>
                <w:rFonts w:ascii="宋体" w:hAnsi="宋体" w:cs="宋体" w:hint="eastAsia"/>
                <w:szCs w:val="21"/>
              </w:rPr>
              <w:t>患者管理记录和随访记录、健康管理档案，以及现场电话核查收集的信息。</w:t>
            </w:r>
          </w:p>
        </w:tc>
        <w:tc>
          <w:tcPr>
            <w:tcW w:w="3686" w:type="dxa"/>
            <w:tcBorders>
              <w:left w:val="single" w:sz="4" w:space="0" w:color="auto"/>
            </w:tcBorders>
            <w:vAlign w:val="center"/>
          </w:tcPr>
          <w:p>
            <w:pPr>
              <w:rPr>
                <w:rFonts w:hint="eastAsia"/>
                <w:szCs w:val="21"/>
              </w:rPr>
            </w:pPr>
            <w:r>
              <w:rPr>
                <w:rFonts w:hint="eastAsia"/>
                <w:szCs w:val="21"/>
              </w:rPr>
              <w:t>得分=规范管理率</w:t>
            </w:r>
            <w:r>
              <w:rPr>
                <w:rFonts w:hint="eastAsia"/>
                <w:b/>
                <w:szCs w:val="21"/>
              </w:rPr>
              <w:t>/60%</w:t>
            </w:r>
            <w:r>
              <w:rPr>
                <w:rFonts w:hint="eastAsia"/>
                <w:szCs w:val="21"/>
              </w:rPr>
              <w:t>* 2分；</w:t>
            </w:r>
          </w:p>
          <w:p>
            <w:pPr>
              <w:rPr>
                <w:szCs w:val="21"/>
              </w:rPr>
            </w:pPr>
            <w:r>
              <w:rPr>
                <w:rFonts w:hint="eastAsia"/>
                <w:szCs w:val="21"/>
              </w:rPr>
              <w:t>规范管理率</w:t>
            </w:r>
            <w:r>
              <w:rPr>
                <w:rFonts w:hint="eastAsia"/>
                <w:szCs w:val="21"/>
              </w:rPr>
              <w:t>≥</w:t>
            </w:r>
            <w:r>
              <w:rPr>
                <w:rFonts w:hint="eastAsia"/>
                <w:szCs w:val="21"/>
              </w:rPr>
              <w:t>60% ，2分</w:t>
            </w:r>
          </w:p>
        </w:tc>
      </w:tr>
      <w:tr>
        <w:tblPrEx>
          <w:tblW w:w="15843" w:type="dxa"/>
          <w:tblLayout w:type="fixed"/>
          <w:tblCellMar>
            <w:top w:w="0" w:type="dxa"/>
            <w:left w:w="108" w:type="dxa"/>
            <w:bottom w:w="0" w:type="dxa"/>
            <w:right w:w="108" w:type="dxa"/>
          </w:tblCellMar>
          <w:tblLook w:val="0000"/>
        </w:tblPrEx>
        <w:trPr>
          <w:trHeight w:val="961"/>
        </w:trPr>
        <w:tc>
          <w:tcPr>
            <w:tcW w:w="1419" w:type="dxa"/>
            <w:vMerge/>
            <w:tcBorders>
              <w:top w:val="nil"/>
            </w:tcBorders>
            <w:vAlign w:val="center"/>
          </w:tcPr>
          <w:p>
            <w:pPr>
              <w:jc w:val="center"/>
              <w:rPr>
                <w:b/>
                <w:szCs w:val="21"/>
              </w:rPr>
            </w:pPr>
          </w:p>
        </w:tc>
        <w:tc>
          <w:tcPr>
            <w:tcW w:w="1241" w:type="dxa"/>
            <w:vMerge w:val="restart"/>
            <w:vAlign w:val="center"/>
          </w:tcPr>
          <w:p>
            <w:pPr>
              <w:jc w:val="left"/>
              <w:rPr>
                <w:b/>
                <w:szCs w:val="21"/>
              </w:rPr>
            </w:pPr>
            <w:r>
              <w:rPr>
                <w:b/>
                <w:szCs w:val="21"/>
              </w:rPr>
              <w:t>3.10</w:t>
            </w:r>
            <w:r>
              <w:rPr>
                <w:rFonts w:hint="eastAsia"/>
                <w:b/>
                <w:szCs w:val="21"/>
              </w:rPr>
              <w:t>传染病及突发公共卫生事件报告和处置服务（4分）</w:t>
            </w:r>
          </w:p>
        </w:tc>
        <w:tc>
          <w:tcPr>
            <w:tcW w:w="1417" w:type="dxa"/>
            <w:vAlign w:val="center"/>
          </w:tcPr>
          <w:p>
            <w:pPr>
              <w:rPr>
                <w:b/>
                <w:szCs w:val="21"/>
              </w:rPr>
            </w:pPr>
            <w:r>
              <w:rPr>
                <w:b/>
              </w:rPr>
              <w:t xml:space="preserve">3.10.1 </w:t>
            </w:r>
            <w:r>
              <w:rPr>
                <w:rFonts w:hint="eastAsia"/>
                <w:b/>
              </w:rPr>
              <w:t>传染病疫情报告率（2分）</w:t>
            </w:r>
          </w:p>
        </w:tc>
        <w:tc>
          <w:tcPr>
            <w:tcW w:w="3969" w:type="dxa"/>
            <w:vAlign w:val="center"/>
          </w:tcPr>
          <w:p>
            <w:pPr>
              <w:rPr>
                <w:szCs w:val="21"/>
              </w:rPr>
            </w:pPr>
            <w:r>
              <w:rPr>
                <w:rFonts w:hint="eastAsia"/>
              </w:rPr>
              <w:t>基层医疗卫生机构按照国家有关法律、法规和国家规范要求，建立健全传染病报告管理制度，年度内上报传染病病例的情况。</w:t>
            </w:r>
          </w:p>
        </w:tc>
        <w:tc>
          <w:tcPr>
            <w:tcW w:w="4111" w:type="dxa"/>
            <w:tcBorders>
              <w:right w:val="single" w:sz="4" w:space="0" w:color="auto"/>
            </w:tcBorders>
            <w:vAlign w:val="center"/>
          </w:tcPr>
          <w:p>
            <w:pPr>
              <w:rPr>
                <w:szCs w:val="21"/>
              </w:rPr>
            </w:pPr>
            <w:r>
              <w:rPr>
                <w:rFonts w:hint="eastAsia"/>
              </w:rPr>
              <w:t>基层医疗卫生机构年度门诊日志，传染病报告和处理记录，传染病报告卡，中国疾病预防控制传染病监测信息系统。</w:t>
            </w:r>
          </w:p>
        </w:tc>
        <w:tc>
          <w:tcPr>
            <w:tcW w:w="3686" w:type="dxa"/>
            <w:tcBorders>
              <w:left w:val="single" w:sz="4" w:space="0" w:color="auto"/>
            </w:tcBorders>
            <w:vAlign w:val="center"/>
          </w:tcPr>
          <w:p>
            <w:pPr>
              <w:rPr>
                <w:szCs w:val="21"/>
              </w:rPr>
            </w:pPr>
            <w:r>
              <w:rPr>
                <w:rFonts w:hint="eastAsia"/>
                <w:b/>
                <w:szCs w:val="21"/>
              </w:rPr>
              <w:t>抽查的基层医疗卫生机构传染病疫情报告率=100%</w:t>
            </w:r>
            <w:r>
              <w:rPr>
                <w:rFonts w:hint="eastAsia"/>
                <w:szCs w:val="21"/>
              </w:rPr>
              <w:t>，2分；＜100%  0分。</w:t>
            </w:r>
          </w:p>
        </w:tc>
      </w:tr>
      <w:tr>
        <w:tblPrEx>
          <w:tblW w:w="15843" w:type="dxa"/>
          <w:tblLayout w:type="fixed"/>
          <w:tblCellMar>
            <w:top w:w="0" w:type="dxa"/>
            <w:left w:w="108" w:type="dxa"/>
            <w:bottom w:w="0" w:type="dxa"/>
            <w:right w:w="108" w:type="dxa"/>
          </w:tblCellMar>
          <w:tblLook w:val="0000"/>
        </w:tblPrEx>
        <w:trPr>
          <w:trHeight w:val="1119"/>
        </w:trPr>
        <w:tc>
          <w:tcPr>
            <w:tcW w:w="1419" w:type="dxa"/>
            <w:vMerge/>
            <w:tcBorders>
              <w:top w:val="nil"/>
            </w:tcBorders>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rPr>
              <w:t xml:space="preserve">3.10.2 </w:t>
            </w:r>
            <w:r>
              <w:rPr>
                <w:rFonts w:hint="eastAsia"/>
                <w:b/>
              </w:rPr>
              <w:t>传染病疫情报告及时率（1分）</w:t>
            </w:r>
          </w:p>
        </w:tc>
        <w:tc>
          <w:tcPr>
            <w:tcW w:w="3969" w:type="dxa"/>
            <w:vAlign w:val="center"/>
          </w:tcPr>
          <w:p>
            <w:pPr>
              <w:rPr>
                <w:szCs w:val="21"/>
              </w:rPr>
            </w:pPr>
            <w:r>
              <w:rPr>
                <w:rFonts w:hint="eastAsia"/>
              </w:rPr>
              <w:t>基层医疗卫生机构按照国家有关法律、法规和国家规范要求，建立健全传染病报告管理制度，年度内及时上报传染病病例的情况，反映疫情报告及时性。</w:t>
            </w:r>
          </w:p>
        </w:tc>
        <w:tc>
          <w:tcPr>
            <w:tcW w:w="4111" w:type="dxa"/>
            <w:tcBorders>
              <w:right w:val="single" w:sz="4" w:space="0" w:color="auto"/>
            </w:tcBorders>
            <w:vAlign w:val="center"/>
          </w:tcPr>
          <w:p>
            <w:pPr>
              <w:rPr>
                <w:szCs w:val="21"/>
              </w:rPr>
            </w:pPr>
            <w:r>
              <w:rPr>
                <w:rFonts w:hint="eastAsia"/>
              </w:rPr>
              <w:t>基层医疗卫生机构年度门诊日志，传染病报告和处理记录，传染病报告卡，中国疾病预防控制传染病监测信息系统。</w:t>
            </w:r>
          </w:p>
        </w:tc>
        <w:tc>
          <w:tcPr>
            <w:tcW w:w="3686" w:type="dxa"/>
            <w:tcBorders>
              <w:left w:val="single" w:sz="4" w:space="0" w:color="auto"/>
            </w:tcBorders>
            <w:vAlign w:val="center"/>
          </w:tcPr>
          <w:p>
            <w:pPr>
              <w:rPr>
                <w:szCs w:val="21"/>
              </w:rPr>
            </w:pPr>
            <w:r>
              <w:rPr>
                <w:rFonts w:hint="eastAsia"/>
                <w:szCs w:val="21"/>
              </w:rPr>
              <w:t>抽查的基层医疗卫生机构传染病疫情报告及时率（2小时内）=100%，1分；＜100%  0分。</w:t>
            </w:r>
          </w:p>
        </w:tc>
      </w:tr>
      <w:tr>
        <w:tblPrEx>
          <w:tblW w:w="15843" w:type="dxa"/>
          <w:tblLayout w:type="fixed"/>
          <w:tblCellMar>
            <w:top w:w="0" w:type="dxa"/>
            <w:left w:w="108" w:type="dxa"/>
            <w:bottom w:w="0" w:type="dxa"/>
            <w:right w:w="108" w:type="dxa"/>
          </w:tblCellMar>
          <w:tblLook w:val="0000"/>
        </w:tblPrEx>
        <w:trPr>
          <w:trHeight w:val="1105"/>
        </w:trPr>
        <w:tc>
          <w:tcPr>
            <w:tcW w:w="1419" w:type="dxa"/>
            <w:vMerge/>
            <w:tcBorders>
              <w:top w:val="nil"/>
            </w:tcBorders>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rPr>
              <w:t xml:space="preserve">3.10.3 </w:t>
            </w:r>
            <w:r>
              <w:rPr>
                <w:rFonts w:hint="eastAsia"/>
                <w:b/>
              </w:rPr>
              <w:t>突发公共卫生事件相关信息报告率（1分）</w:t>
            </w:r>
          </w:p>
        </w:tc>
        <w:tc>
          <w:tcPr>
            <w:tcW w:w="3969" w:type="dxa"/>
            <w:vAlign w:val="center"/>
          </w:tcPr>
          <w:p>
            <w:pPr>
              <w:rPr>
                <w:szCs w:val="21"/>
              </w:rPr>
            </w:pPr>
            <w:r>
              <w:rPr>
                <w:rFonts w:hint="eastAsia"/>
              </w:rPr>
              <w:t>基层医疗卫生机构建立健全突发公共卫生事件报告管理制度，年度内及时上报突发公共卫生事件，反映突发公共卫生事件报告的及时性。</w:t>
            </w:r>
          </w:p>
        </w:tc>
        <w:tc>
          <w:tcPr>
            <w:tcW w:w="4111" w:type="dxa"/>
            <w:tcBorders>
              <w:right w:val="single" w:sz="4" w:space="0" w:color="auto"/>
            </w:tcBorders>
            <w:vAlign w:val="center"/>
          </w:tcPr>
          <w:p>
            <w:pPr>
              <w:rPr>
                <w:szCs w:val="21"/>
              </w:rPr>
            </w:pPr>
            <w:r>
              <w:rPr>
                <w:rFonts w:hint="eastAsia"/>
              </w:rPr>
              <w:t>基层医疗卫生机构突发公共卫生事件报告管理制度，突发公共卫生事件报告和处理记录等有关资料，突发公共卫生事件相关信息报告卡，中国疾病预防控制突发公共卫生事件报告系统。</w:t>
            </w:r>
          </w:p>
        </w:tc>
        <w:tc>
          <w:tcPr>
            <w:tcW w:w="3686" w:type="dxa"/>
            <w:tcBorders>
              <w:left w:val="single" w:sz="4" w:space="0" w:color="auto"/>
            </w:tcBorders>
            <w:vAlign w:val="center"/>
          </w:tcPr>
          <w:p>
            <w:pPr>
              <w:rPr>
                <w:szCs w:val="21"/>
              </w:rPr>
            </w:pPr>
            <w:r>
              <w:rPr>
                <w:rFonts w:hint="eastAsia"/>
                <w:szCs w:val="21"/>
              </w:rPr>
              <w:t>（1）有突发公卫事件的，有处置服务的信息报告卡或记录，1分；没有记录的，0分；</w:t>
            </w:r>
          </w:p>
          <w:p>
            <w:pPr>
              <w:rPr>
                <w:szCs w:val="21"/>
              </w:rPr>
            </w:pPr>
            <w:r>
              <w:rPr>
                <w:rFonts w:hint="eastAsia"/>
                <w:szCs w:val="21"/>
              </w:rPr>
              <w:t>（2）没有发生突发公卫事件的，有报告管理制度，1分，没有管理制度的，0分。</w:t>
            </w:r>
          </w:p>
        </w:tc>
      </w:tr>
      <w:tr>
        <w:tblPrEx>
          <w:tblW w:w="15843" w:type="dxa"/>
          <w:tblLayout w:type="fixed"/>
          <w:tblCellMar>
            <w:top w:w="0" w:type="dxa"/>
            <w:left w:w="108" w:type="dxa"/>
            <w:bottom w:w="0" w:type="dxa"/>
            <w:right w:w="108" w:type="dxa"/>
          </w:tblCellMar>
          <w:tblLook w:val="0000"/>
        </w:tblPrEx>
        <w:trPr>
          <w:trHeight w:val="492"/>
        </w:trPr>
        <w:tc>
          <w:tcPr>
            <w:tcW w:w="1419" w:type="dxa"/>
            <w:vMerge/>
            <w:tcBorders>
              <w:top w:val="nil"/>
            </w:tcBorders>
            <w:vAlign w:val="center"/>
          </w:tcPr>
          <w:p>
            <w:pPr>
              <w:jc w:val="center"/>
              <w:rPr>
                <w:b/>
                <w:szCs w:val="21"/>
              </w:rPr>
            </w:pPr>
          </w:p>
        </w:tc>
        <w:tc>
          <w:tcPr>
            <w:tcW w:w="1241" w:type="dxa"/>
            <w:vAlign w:val="center"/>
          </w:tcPr>
          <w:p>
            <w:pPr>
              <w:jc w:val="left"/>
              <w:rPr>
                <w:b/>
                <w:szCs w:val="21"/>
              </w:rPr>
            </w:pPr>
            <w:r>
              <w:rPr>
                <w:b/>
                <w:szCs w:val="21"/>
              </w:rPr>
              <w:t>3.11</w:t>
            </w:r>
            <w:r>
              <w:rPr>
                <w:rFonts w:hint="eastAsia"/>
                <w:b/>
                <w:szCs w:val="21"/>
              </w:rPr>
              <w:t>卫生监督协管服务（2分）</w:t>
            </w:r>
          </w:p>
        </w:tc>
        <w:tc>
          <w:tcPr>
            <w:tcW w:w="1417" w:type="dxa"/>
            <w:vAlign w:val="center"/>
          </w:tcPr>
          <w:p>
            <w:pPr>
              <w:rPr>
                <w:b/>
                <w:szCs w:val="21"/>
              </w:rPr>
            </w:pPr>
            <w:r>
              <w:rPr>
                <w:b/>
                <w:szCs w:val="21"/>
              </w:rPr>
              <w:t>3.11.1</w:t>
            </w:r>
            <w:r>
              <w:rPr>
                <w:rFonts w:hint="eastAsia"/>
                <w:b/>
                <w:szCs w:val="21"/>
              </w:rPr>
              <w:t>卫生监督协管信息报告率（1分）</w:t>
            </w:r>
          </w:p>
        </w:tc>
        <w:tc>
          <w:tcPr>
            <w:tcW w:w="3969" w:type="dxa"/>
            <w:vAlign w:val="center"/>
          </w:tcPr>
          <w:p>
            <w:pPr>
              <w:rPr>
                <w:szCs w:val="21"/>
              </w:rPr>
            </w:pPr>
            <w:r>
              <w:rPr>
                <w:rFonts w:hint="eastAsia"/>
                <w:szCs w:val="21"/>
              </w:rPr>
              <w:t>基层医疗卫生机构按照国家基本公共卫生服务规范要求和本地区卫生监督协管服务有关工作制度，开展卫生监督协管工作，年度内报告的有关事件或线索的次数。</w:t>
            </w:r>
          </w:p>
        </w:tc>
        <w:tc>
          <w:tcPr>
            <w:tcW w:w="4111" w:type="dxa"/>
            <w:tcBorders>
              <w:right w:val="single" w:sz="4" w:space="0" w:color="auto"/>
            </w:tcBorders>
            <w:vAlign w:val="center"/>
          </w:tcPr>
          <w:p>
            <w:pPr>
              <w:rPr>
                <w:szCs w:val="21"/>
              </w:rPr>
            </w:pPr>
            <w:r>
              <w:rPr>
                <w:rFonts w:hint="eastAsia"/>
                <w:szCs w:val="21"/>
              </w:rPr>
              <w:t>基层医疗卫生机构卫生监督协管工作有关制度，相关工作记录，卫生监督协管信息登记报告表。</w:t>
            </w:r>
          </w:p>
        </w:tc>
        <w:tc>
          <w:tcPr>
            <w:tcW w:w="3686" w:type="dxa"/>
            <w:tcBorders>
              <w:left w:val="single" w:sz="4" w:space="0" w:color="auto"/>
            </w:tcBorders>
            <w:vAlign w:val="center"/>
          </w:tcPr>
          <w:p>
            <w:pPr>
              <w:rPr>
                <w:b/>
                <w:szCs w:val="21"/>
              </w:rPr>
            </w:pPr>
            <w:r>
              <w:rPr>
                <w:rFonts w:hint="eastAsia"/>
                <w:szCs w:val="21"/>
              </w:rPr>
              <w:t>（</w:t>
            </w:r>
            <w:r>
              <w:rPr>
                <w:rFonts w:hint="eastAsia"/>
                <w:b/>
                <w:szCs w:val="21"/>
              </w:rPr>
              <w:t>1）基层医疗卫生机构设立（或聘用）卫生监督协管人员（文件或记录）0.5分；</w:t>
            </w:r>
          </w:p>
          <w:p>
            <w:pPr>
              <w:rPr>
                <w:szCs w:val="21"/>
              </w:rPr>
            </w:pPr>
            <w:r>
              <w:rPr>
                <w:rFonts w:hint="eastAsia"/>
                <w:szCs w:val="21"/>
              </w:rPr>
              <w:t>（2）有服务记录。（0.5分）</w:t>
            </w:r>
          </w:p>
        </w:tc>
      </w:tr>
    </w:tbl>
    <w:p>
      <w:pPr>
        <w:sectPr>
          <w:headerReference w:type="even" r:id="rId94"/>
          <w:headerReference w:type="default" r:id="rId95"/>
          <w:footerReference w:type="even" r:id="rId96"/>
          <w:footerReference w:type="default" r:id="rId97"/>
          <w:headerReference w:type="first" r:id="rId98"/>
          <w:footerReference w:type="first" r:id="rId99"/>
          <w:type w:val="nextPage"/>
          <w:pgSz w:w="16838" w:h="11906" w:orient="landscape"/>
          <w:pgMar w:top="1797" w:right="1440" w:bottom="1797" w:left="1440" w:header="851" w:footer="992" w:gutter="0"/>
          <w:pgNumType w:start="16"/>
          <w:cols w:space="708"/>
          <w:titlePg w:val="0"/>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1676"/>
        </w:trPr>
        <w:tc>
          <w:tcPr>
            <w:tcW w:w="1419" w:type="dxa"/>
            <w:vMerge w:val="restart"/>
            <w:tcBorders>
              <w:top w:val="nil"/>
            </w:tcBorders>
            <w:vAlign w:val="center"/>
          </w:tcPr>
          <w:p>
            <w:pPr>
              <w:jc w:val="center"/>
              <w:rPr>
                <w:b/>
                <w:szCs w:val="21"/>
              </w:rPr>
            </w:pPr>
          </w:p>
        </w:tc>
        <w:tc>
          <w:tcPr>
            <w:tcW w:w="1241" w:type="dxa"/>
            <w:vMerge w:val="restart"/>
            <w:vAlign w:val="center"/>
          </w:tcPr>
          <w:p>
            <w:pPr>
              <w:jc w:val="left"/>
              <w:rPr>
                <w:b/>
                <w:szCs w:val="21"/>
              </w:rPr>
            </w:pPr>
          </w:p>
        </w:tc>
        <w:tc>
          <w:tcPr>
            <w:tcW w:w="1417" w:type="dxa"/>
            <w:vAlign w:val="center"/>
          </w:tcPr>
          <w:p>
            <w:pPr>
              <w:rPr>
                <w:b/>
                <w:szCs w:val="21"/>
              </w:rPr>
            </w:pPr>
            <w:r>
              <w:rPr>
                <w:b/>
                <w:szCs w:val="21"/>
              </w:rPr>
              <w:t>3.11.2</w:t>
            </w:r>
            <w:r>
              <w:rPr>
                <w:rFonts w:hint="eastAsia"/>
                <w:b/>
                <w:szCs w:val="21"/>
              </w:rPr>
              <w:t>卫生监督协管巡查次数（1分）</w:t>
            </w:r>
          </w:p>
        </w:tc>
        <w:tc>
          <w:tcPr>
            <w:tcW w:w="3969" w:type="dxa"/>
            <w:vAlign w:val="center"/>
          </w:tcPr>
          <w:p>
            <w:pPr>
              <w:rPr>
                <w:szCs w:val="21"/>
              </w:rPr>
            </w:pPr>
            <w:r>
              <w:rPr>
                <w:rFonts w:hint="eastAsia"/>
                <w:szCs w:val="21"/>
              </w:rPr>
              <w:t>基层医疗卫生机构按照国家基本公共卫生服务规范要求和本地区卫生监督协管服务有关工作制度，年度内开展卫生监督协管实地巡查的次数，反映卫生监督协管工作开展的数量。巡查内容包括：饮用水卫生安全、学校卫生、非法行医、非法采供血实地巡查。</w:t>
            </w:r>
          </w:p>
        </w:tc>
        <w:tc>
          <w:tcPr>
            <w:tcW w:w="4111" w:type="dxa"/>
            <w:tcBorders>
              <w:right w:val="single" w:sz="4" w:space="0" w:color="auto"/>
            </w:tcBorders>
            <w:vAlign w:val="center"/>
          </w:tcPr>
          <w:p>
            <w:pPr>
              <w:rPr>
                <w:szCs w:val="21"/>
              </w:rPr>
            </w:pPr>
            <w:r>
              <w:rPr>
                <w:rFonts w:hint="eastAsia"/>
                <w:szCs w:val="21"/>
              </w:rPr>
              <w:t>基层医疗卫生机构卫生监督协管工作有关制度，相关工作记录，卫生监督协管巡查登记表。</w:t>
            </w:r>
          </w:p>
        </w:tc>
        <w:tc>
          <w:tcPr>
            <w:tcW w:w="3686" w:type="dxa"/>
            <w:tcBorders>
              <w:left w:val="single" w:sz="4" w:space="0" w:color="auto"/>
            </w:tcBorders>
            <w:vAlign w:val="center"/>
          </w:tcPr>
          <w:p>
            <w:pPr>
              <w:rPr>
                <w:szCs w:val="21"/>
              </w:rPr>
            </w:pPr>
            <w:r>
              <w:rPr>
                <w:rFonts w:hint="eastAsia"/>
                <w:szCs w:val="21"/>
              </w:rPr>
              <w:t>卫生监督协管巡查符合要求（1分）</w:t>
            </w:r>
          </w:p>
        </w:tc>
      </w:tr>
      <w:tr>
        <w:tblPrEx>
          <w:tblW w:w="15843" w:type="dxa"/>
          <w:tblLayout w:type="fixed"/>
          <w:tblCellMar>
            <w:top w:w="0" w:type="dxa"/>
            <w:left w:w="108" w:type="dxa"/>
            <w:bottom w:w="0" w:type="dxa"/>
            <w:right w:w="108" w:type="dxa"/>
          </w:tblCellMar>
          <w:tblLook w:val="0000"/>
        </w:tblPrEx>
        <w:trPr>
          <w:trHeight w:val="1542"/>
        </w:trPr>
        <w:tc>
          <w:tcPr>
            <w:tcW w:w="1419" w:type="dxa"/>
            <w:vMerge w:val="restart"/>
            <w:vAlign w:val="center"/>
          </w:tcPr>
          <w:p>
            <w:pPr>
              <w:jc w:val="center"/>
              <w:rPr>
                <w:b/>
                <w:szCs w:val="21"/>
              </w:rPr>
            </w:pPr>
            <w:r>
              <w:rPr>
                <w:b/>
                <w:szCs w:val="21"/>
              </w:rPr>
              <w:t>3.</w:t>
            </w:r>
            <w:r>
              <w:rPr>
                <w:rFonts w:hint="eastAsia"/>
                <w:b/>
                <w:szCs w:val="21"/>
              </w:rPr>
              <w:t>项目执行</w:t>
            </w:r>
          </w:p>
          <w:p>
            <w:pPr>
              <w:jc w:val="center"/>
              <w:rPr>
                <w:b/>
                <w:szCs w:val="21"/>
              </w:rPr>
            </w:pPr>
          </w:p>
        </w:tc>
        <w:tc>
          <w:tcPr>
            <w:tcW w:w="1241" w:type="dxa"/>
            <w:vMerge w:val="restart"/>
            <w:vAlign w:val="center"/>
          </w:tcPr>
          <w:p>
            <w:pPr>
              <w:jc w:val="left"/>
              <w:rPr>
                <w:b/>
                <w:szCs w:val="21"/>
              </w:rPr>
            </w:pPr>
            <w:r>
              <w:rPr>
                <w:b/>
                <w:szCs w:val="21"/>
              </w:rPr>
              <w:t>3.12</w:t>
            </w:r>
            <w:r>
              <w:rPr>
                <w:rFonts w:hint="eastAsia"/>
                <w:b/>
                <w:szCs w:val="21"/>
              </w:rPr>
              <w:t>中医药健康管理服务（3分）</w:t>
            </w:r>
          </w:p>
        </w:tc>
        <w:tc>
          <w:tcPr>
            <w:tcW w:w="1417" w:type="dxa"/>
            <w:tcBorders>
              <w:bottom w:val="single" w:sz="4" w:space="0" w:color="auto"/>
            </w:tcBorders>
            <w:vAlign w:val="center"/>
          </w:tcPr>
          <w:p>
            <w:pPr>
              <w:rPr>
                <w:b/>
                <w:szCs w:val="21"/>
              </w:rPr>
            </w:pPr>
            <w:r>
              <w:rPr>
                <w:b/>
                <w:szCs w:val="21"/>
              </w:rPr>
              <w:t>3.12.1</w:t>
            </w:r>
            <w:r>
              <w:rPr>
                <w:rFonts w:hint="eastAsia"/>
                <w:b/>
                <w:szCs w:val="21"/>
              </w:rPr>
              <w:t>老年人中医药健康管理服务率（1分）</w:t>
            </w:r>
          </w:p>
        </w:tc>
        <w:tc>
          <w:tcPr>
            <w:tcW w:w="3969" w:type="dxa"/>
            <w:tcBorders>
              <w:bottom w:val="single" w:sz="4" w:space="0" w:color="auto"/>
            </w:tcBorders>
            <w:vAlign w:val="center"/>
          </w:tcPr>
          <w:p>
            <w:pPr>
              <w:rPr>
                <w:szCs w:val="21"/>
              </w:rPr>
            </w:pPr>
            <w:r>
              <w:rPr>
                <w:rFonts w:hint="eastAsia"/>
                <w:szCs w:val="21"/>
              </w:rPr>
              <w:t>基层医疗卫生机构辖区</w:t>
            </w:r>
            <w:r>
              <w:rPr>
                <w:szCs w:val="21"/>
              </w:rPr>
              <w:t>65</w:t>
            </w:r>
            <w:r>
              <w:rPr>
                <w:rFonts w:hint="eastAsia"/>
                <w:szCs w:val="21"/>
              </w:rPr>
              <w:t>岁及以上常住居民，按照国家中医药健康管理服务规范要求，年度内接受中医药健康管理服务的人数比例，反映老年人中医药服务数量。</w:t>
            </w:r>
          </w:p>
        </w:tc>
        <w:tc>
          <w:tcPr>
            <w:tcW w:w="4111" w:type="dxa"/>
            <w:tcBorders>
              <w:bottom w:val="single" w:sz="4" w:space="0" w:color="auto"/>
              <w:right w:val="single" w:sz="4" w:space="0" w:color="auto"/>
            </w:tcBorders>
            <w:vAlign w:val="center"/>
          </w:tcPr>
          <w:p>
            <w:pPr>
              <w:rPr>
                <w:szCs w:val="21"/>
              </w:rPr>
            </w:pPr>
            <w:r>
              <w:rPr>
                <w:rFonts w:hint="eastAsia"/>
                <w:szCs w:val="21"/>
              </w:rPr>
              <w:t>辖区内人口统计数据，</w:t>
            </w:r>
            <w:r>
              <w:rPr>
                <w:szCs w:val="21"/>
              </w:rPr>
              <w:t>65</w:t>
            </w:r>
            <w:r>
              <w:rPr>
                <w:rFonts w:hint="eastAsia"/>
                <w:szCs w:val="21"/>
              </w:rPr>
              <w:t>岁及以上常住居民数，老年人中医药健康服务记录，体质判定标准表。</w:t>
            </w:r>
          </w:p>
        </w:tc>
        <w:tc>
          <w:tcPr>
            <w:tcW w:w="3686" w:type="dxa"/>
            <w:tcBorders>
              <w:left w:val="single" w:sz="4" w:space="0" w:color="auto"/>
              <w:bottom w:val="single" w:sz="4" w:space="0" w:color="auto"/>
            </w:tcBorders>
            <w:vAlign w:val="center"/>
          </w:tcPr>
          <w:p>
            <w:pPr>
              <w:rPr>
                <w:szCs w:val="21"/>
              </w:rPr>
            </w:pPr>
            <w:r>
              <w:rPr>
                <w:rFonts w:hint="eastAsia"/>
                <w:szCs w:val="21"/>
              </w:rPr>
              <w:t>得分=老年人中医药健康管理服务率/</w:t>
            </w:r>
            <w:r>
              <w:rPr>
                <w:rFonts w:hint="eastAsia"/>
                <w:b/>
                <w:szCs w:val="21"/>
              </w:rPr>
              <w:t>35%</w:t>
            </w:r>
            <w:r>
              <w:rPr>
                <w:rFonts w:hint="eastAsia"/>
                <w:szCs w:val="21"/>
              </w:rPr>
              <w:t>*2分；</w:t>
            </w:r>
          </w:p>
          <w:p>
            <w:pPr>
              <w:rPr>
                <w:szCs w:val="21"/>
              </w:rPr>
            </w:pPr>
            <w:r>
              <w:rPr>
                <w:rFonts w:hint="eastAsia"/>
                <w:szCs w:val="21"/>
              </w:rPr>
              <w:t>老年人中医药健康管理服务率</w:t>
            </w:r>
            <w:r>
              <w:rPr>
                <w:rFonts w:ascii="宋体" w:hAnsi="宋体" w:hint="eastAsia"/>
                <w:szCs w:val="21"/>
              </w:rPr>
              <w:t>≥</w:t>
            </w:r>
            <w:r>
              <w:rPr>
                <w:rFonts w:ascii="宋体" w:hAnsi="宋体" w:hint="eastAsia"/>
                <w:szCs w:val="21"/>
              </w:rPr>
              <w:t xml:space="preserve">35%的，2分。 </w:t>
            </w:r>
          </w:p>
        </w:tc>
      </w:tr>
      <w:tr>
        <w:tblPrEx>
          <w:tblW w:w="15843" w:type="dxa"/>
          <w:tblLayout w:type="fixed"/>
          <w:tblCellMar>
            <w:top w:w="0" w:type="dxa"/>
            <w:left w:w="108" w:type="dxa"/>
            <w:bottom w:w="0" w:type="dxa"/>
            <w:right w:w="108" w:type="dxa"/>
          </w:tblCellMar>
          <w:tblLook w:val="0000"/>
        </w:tblPrEx>
        <w:trPr>
          <w:trHeight w:val="1534"/>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tcBorders>
              <w:bottom w:val="single" w:sz="4" w:space="0" w:color="auto"/>
            </w:tcBorders>
            <w:vAlign w:val="center"/>
          </w:tcPr>
          <w:p>
            <w:pPr>
              <w:rPr>
                <w:b/>
                <w:szCs w:val="21"/>
              </w:rPr>
            </w:pPr>
            <w:r>
              <w:rPr>
                <w:b/>
                <w:szCs w:val="21"/>
              </w:rPr>
              <w:t>3.12.2</w:t>
            </w:r>
            <w:r>
              <w:rPr>
                <w:rFonts w:hint="eastAsia"/>
                <w:b/>
                <w:szCs w:val="21"/>
              </w:rPr>
              <w:t>老年人中医药健康管理服务记录表完整率（1分）</w:t>
            </w:r>
          </w:p>
        </w:tc>
        <w:tc>
          <w:tcPr>
            <w:tcW w:w="3969" w:type="dxa"/>
            <w:tcBorders>
              <w:bottom w:val="single" w:sz="4" w:space="0" w:color="auto"/>
            </w:tcBorders>
            <w:vAlign w:val="center"/>
          </w:tcPr>
          <w:p>
            <w:pPr>
              <w:rPr>
                <w:szCs w:val="21"/>
              </w:rPr>
            </w:pPr>
            <w:r>
              <w:rPr>
                <w:rFonts w:hint="eastAsia"/>
                <w:szCs w:val="21"/>
              </w:rPr>
              <w:t>已接受中医药健康管理服务的</w:t>
            </w:r>
            <w:r>
              <w:rPr>
                <w:szCs w:val="21"/>
              </w:rPr>
              <w:t>65</w:t>
            </w:r>
            <w:r>
              <w:rPr>
                <w:rFonts w:hint="eastAsia"/>
                <w:szCs w:val="21"/>
              </w:rPr>
              <w:t>岁及以上常住居民，年度内获得符合国家基本公共卫生服务规范要求的中医药健康管理服务并填写完整记录表的情况，反映老年人中医药健康管理服务的质量。</w:t>
            </w:r>
          </w:p>
          <w:p>
            <w:pPr>
              <w:rPr>
                <w:szCs w:val="21"/>
              </w:rPr>
            </w:pPr>
            <w:r>
              <w:rPr>
                <w:rFonts w:hint="eastAsia"/>
                <w:szCs w:val="21"/>
              </w:rPr>
              <w:t>同时，核实老年人中医药健康管理服务的真实性。</w:t>
            </w:r>
          </w:p>
        </w:tc>
        <w:tc>
          <w:tcPr>
            <w:tcW w:w="4111" w:type="dxa"/>
            <w:tcBorders>
              <w:bottom w:val="single" w:sz="4" w:space="0" w:color="auto"/>
              <w:right w:val="single" w:sz="4" w:space="0" w:color="auto"/>
            </w:tcBorders>
            <w:vAlign w:val="center"/>
          </w:tcPr>
          <w:p>
            <w:pPr>
              <w:rPr>
                <w:szCs w:val="21"/>
              </w:rPr>
            </w:pPr>
            <w:r>
              <w:rPr>
                <w:rFonts w:hint="eastAsia"/>
                <w:szCs w:val="21"/>
              </w:rPr>
              <w:t>基层医疗卫生机构的老年人健康管理档案，老年人中医药健康管理服务记录表，体质判定标准表，</w:t>
            </w:r>
            <w:r>
              <w:rPr>
                <w:rFonts w:ascii="宋体" w:hAnsi="宋体" w:cs="宋体" w:hint="eastAsia"/>
                <w:szCs w:val="21"/>
              </w:rPr>
              <w:t>以及现场电话核查收集的信息。</w:t>
            </w:r>
          </w:p>
        </w:tc>
        <w:tc>
          <w:tcPr>
            <w:tcW w:w="3686" w:type="dxa"/>
            <w:tcBorders>
              <w:left w:val="single" w:sz="4" w:space="0" w:color="auto"/>
              <w:bottom w:val="single" w:sz="4" w:space="0" w:color="auto"/>
            </w:tcBorders>
            <w:vAlign w:val="center"/>
          </w:tcPr>
          <w:p>
            <w:pPr>
              <w:rPr>
                <w:szCs w:val="21"/>
              </w:rPr>
            </w:pPr>
            <w:r>
              <w:rPr>
                <w:rFonts w:hint="eastAsia"/>
                <w:szCs w:val="21"/>
              </w:rPr>
              <w:t>得分=老年人中医药健康管理服务记录表完整率/</w:t>
            </w:r>
            <w:r>
              <w:rPr>
                <w:rFonts w:hint="eastAsia"/>
                <w:b/>
                <w:szCs w:val="21"/>
              </w:rPr>
              <w:t>70%</w:t>
            </w:r>
            <w:r>
              <w:rPr>
                <w:rFonts w:hint="eastAsia"/>
                <w:szCs w:val="21"/>
              </w:rPr>
              <w:t>*1分；</w:t>
            </w:r>
          </w:p>
          <w:p>
            <w:pPr>
              <w:rPr>
                <w:rFonts w:ascii="宋体" w:hAnsi="宋体"/>
                <w:szCs w:val="21"/>
              </w:rPr>
            </w:pPr>
            <w:r>
              <w:rPr>
                <w:rFonts w:hint="eastAsia"/>
                <w:szCs w:val="21"/>
              </w:rPr>
              <w:t>老年人中医药健康管理服务记录表完整率</w:t>
            </w:r>
            <w:r>
              <w:rPr>
                <w:rFonts w:ascii="宋体" w:hAnsi="宋体" w:hint="eastAsia"/>
                <w:szCs w:val="21"/>
              </w:rPr>
              <w:t>≥</w:t>
            </w:r>
            <w:r>
              <w:rPr>
                <w:rFonts w:ascii="宋体" w:hAnsi="宋体" w:hint="eastAsia"/>
                <w:szCs w:val="21"/>
              </w:rPr>
              <w:t xml:space="preserve">70%的，1分。 </w:t>
            </w:r>
          </w:p>
          <w:p>
            <w:pPr>
              <w:rPr>
                <w:b/>
                <w:szCs w:val="21"/>
              </w:rPr>
            </w:pPr>
            <w:r>
              <w:rPr>
                <w:rFonts w:hint="eastAsia"/>
                <w:b/>
                <w:szCs w:val="21"/>
              </w:rPr>
              <w:t>每个基层机构电话核查2例。</w:t>
            </w:r>
          </w:p>
          <w:p>
            <w:pPr>
              <w:rPr>
                <w:szCs w:val="21"/>
              </w:rPr>
            </w:pPr>
            <w:r>
              <w:rPr>
                <w:rFonts w:ascii="宋体" w:hAnsi="宋体" w:hint="eastAsia"/>
                <w:szCs w:val="21"/>
              </w:rPr>
              <w:t>电话核查有1例不真实扣0.5分</w:t>
            </w:r>
          </w:p>
        </w:tc>
      </w:tr>
    </w:tbl>
    <w:p>
      <w:pPr>
        <w:sectPr>
          <w:headerReference w:type="even" r:id="rId100"/>
          <w:headerReference w:type="default" r:id="rId101"/>
          <w:footerReference w:type="even" r:id="rId102"/>
          <w:footerReference w:type="default" r:id="rId103"/>
          <w:headerReference w:type="first" r:id="rId104"/>
          <w:footerReference w:type="first" r:id="rId105"/>
          <w:type w:val="nextPage"/>
          <w:pgSz w:w="16838" w:h="11906" w:orient="landscape"/>
          <w:pgMar w:top="1797" w:right="1440" w:bottom="1797" w:left="1440" w:header="851" w:footer="992" w:gutter="0"/>
          <w:pgNumType w:start="17"/>
          <w:cols w:space="708"/>
          <w:titlePg w:val="0"/>
          <w:docGrid w:type="linesAndChars" w:linePitch="312"/>
        </w:sectPr>
      </w:pPr>
    </w:p>
    <w:tbl>
      <w:tblPr>
        <w:tblStyle w:val="TableNormal"/>
        <w:tblpPr w:leftFromText="180" w:rightFromText="180" w:vertAnchor="text" w:horzAnchor="page" w:tblpXSpec="center" w:tblpX="1" w:tblpY="725"/>
        <w:tblOverlap w:val="never"/>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419"/>
        <w:gridCol w:w="1241"/>
        <w:gridCol w:w="1417"/>
        <w:gridCol w:w="3969"/>
        <w:gridCol w:w="4111"/>
        <w:gridCol w:w="3686"/>
      </w:tblGrid>
      <w:tr>
        <w:tblPrEx>
          <w:tblW w:w="15843" w:type="dxa"/>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095"/>
        </w:trPr>
        <w:tc>
          <w:tcPr>
            <w:tcW w:w="1419" w:type="dxa"/>
            <w:vMerge w:val="restart"/>
            <w:vAlign w:val="center"/>
          </w:tcPr>
          <w:p>
            <w:pPr>
              <w:jc w:val="center"/>
              <w:rPr>
                <w:b/>
                <w:szCs w:val="21"/>
              </w:rPr>
            </w:pPr>
          </w:p>
        </w:tc>
        <w:tc>
          <w:tcPr>
            <w:tcW w:w="1241" w:type="dxa"/>
            <w:vAlign w:val="center"/>
          </w:tcPr>
          <w:p>
            <w:pPr>
              <w:jc w:val="left"/>
              <w:rPr>
                <w:b/>
                <w:szCs w:val="21"/>
              </w:rPr>
            </w:pPr>
          </w:p>
        </w:tc>
        <w:tc>
          <w:tcPr>
            <w:tcW w:w="1417" w:type="dxa"/>
            <w:tcBorders>
              <w:bottom w:val="single" w:sz="4" w:space="0" w:color="auto"/>
            </w:tcBorders>
            <w:vAlign w:val="center"/>
          </w:tcPr>
          <w:p>
            <w:pPr>
              <w:rPr>
                <w:b/>
                <w:szCs w:val="21"/>
              </w:rPr>
            </w:pPr>
            <w:r>
              <w:rPr>
                <w:b/>
                <w:szCs w:val="21"/>
              </w:rPr>
              <w:t>3.12.3 0~36</w:t>
            </w:r>
            <w:r>
              <w:rPr>
                <w:rFonts w:hint="eastAsia"/>
                <w:b/>
                <w:szCs w:val="21"/>
              </w:rPr>
              <w:t>个月儿童中医药健康管理服务率（1分）</w:t>
            </w:r>
          </w:p>
        </w:tc>
        <w:tc>
          <w:tcPr>
            <w:tcW w:w="3969" w:type="dxa"/>
            <w:tcBorders>
              <w:bottom w:val="single" w:sz="4" w:space="0" w:color="auto"/>
            </w:tcBorders>
            <w:vAlign w:val="center"/>
          </w:tcPr>
          <w:p>
            <w:pPr>
              <w:rPr>
                <w:szCs w:val="21"/>
              </w:rPr>
            </w:pPr>
            <w:r>
              <w:rPr>
                <w:szCs w:val="21"/>
              </w:rPr>
              <w:t>0~36</w:t>
            </w:r>
            <w:r>
              <w:rPr>
                <w:rFonts w:hint="eastAsia"/>
                <w:szCs w:val="21"/>
              </w:rPr>
              <w:t>个月儿童，按照国家基本公共卫生服务规范要求，年度内辖区内按照月龄接受中医药健康管理服务的人数比例，反映儿童中医药服务数量。</w:t>
            </w:r>
          </w:p>
          <w:p>
            <w:pPr>
              <w:rPr>
                <w:szCs w:val="21"/>
              </w:rPr>
            </w:pPr>
            <w:r>
              <w:rPr>
                <w:rFonts w:hint="eastAsia"/>
                <w:szCs w:val="21"/>
              </w:rPr>
              <w:t>同时，核实儿童中医药健康管理服务的真实性。</w:t>
            </w:r>
          </w:p>
        </w:tc>
        <w:tc>
          <w:tcPr>
            <w:tcW w:w="4111" w:type="dxa"/>
            <w:tcBorders>
              <w:bottom w:val="single" w:sz="4" w:space="0" w:color="auto"/>
              <w:right w:val="single" w:sz="4" w:space="0" w:color="auto"/>
            </w:tcBorders>
            <w:vAlign w:val="center"/>
          </w:tcPr>
          <w:p>
            <w:pPr>
              <w:rPr>
                <w:szCs w:val="21"/>
              </w:rPr>
            </w:pPr>
            <w:r>
              <w:rPr>
                <w:rFonts w:hint="eastAsia"/>
                <w:szCs w:val="21"/>
              </w:rPr>
              <w:t>考核时段辖区内</w:t>
            </w:r>
            <w:r>
              <w:rPr>
                <w:szCs w:val="21"/>
              </w:rPr>
              <w:t>0-36</w:t>
            </w:r>
            <w:r>
              <w:rPr>
                <w:rFonts w:hint="eastAsia"/>
                <w:szCs w:val="21"/>
              </w:rPr>
              <w:t>个月儿童数，基层医疗卫生机构的</w:t>
            </w:r>
            <w:r>
              <w:rPr>
                <w:szCs w:val="21"/>
              </w:rPr>
              <w:t>0-36</w:t>
            </w:r>
            <w:r>
              <w:rPr>
                <w:rFonts w:hint="eastAsia"/>
                <w:szCs w:val="21"/>
              </w:rPr>
              <w:t>个月儿童中医药健康服务记录，儿童中医药健康管理服务记录表，</w:t>
            </w:r>
            <w:r>
              <w:rPr>
                <w:rFonts w:ascii="宋体" w:hAnsi="宋体" w:cs="宋体" w:hint="eastAsia"/>
                <w:szCs w:val="21"/>
              </w:rPr>
              <w:t>以及现场电话核查收集的信息。</w:t>
            </w:r>
          </w:p>
        </w:tc>
        <w:tc>
          <w:tcPr>
            <w:tcW w:w="3686" w:type="dxa"/>
            <w:tcBorders>
              <w:left w:val="single" w:sz="4" w:space="0" w:color="auto"/>
              <w:bottom w:val="single" w:sz="4" w:space="0" w:color="auto"/>
            </w:tcBorders>
            <w:vAlign w:val="center"/>
          </w:tcPr>
          <w:p>
            <w:pPr>
              <w:rPr>
                <w:szCs w:val="21"/>
              </w:rPr>
            </w:pPr>
            <w:r>
              <w:rPr>
                <w:rFonts w:hint="eastAsia"/>
                <w:szCs w:val="21"/>
              </w:rPr>
              <w:t>得分=0-36个月儿童中医药健康管理服务率/35%*1分；</w:t>
            </w:r>
          </w:p>
          <w:p>
            <w:pPr>
              <w:rPr>
                <w:rFonts w:ascii="宋体" w:hAnsi="宋体"/>
                <w:szCs w:val="21"/>
              </w:rPr>
            </w:pPr>
            <w:r>
              <w:rPr>
                <w:rFonts w:hint="eastAsia"/>
                <w:szCs w:val="21"/>
              </w:rPr>
              <w:t>0-36个月儿童中医药健康管理服务率</w:t>
            </w:r>
            <w:r>
              <w:rPr>
                <w:rFonts w:ascii="宋体" w:hAnsi="宋体" w:hint="eastAsia"/>
                <w:szCs w:val="21"/>
              </w:rPr>
              <w:t>≥</w:t>
            </w:r>
            <w:r>
              <w:rPr>
                <w:rFonts w:ascii="宋体" w:hAnsi="宋体" w:hint="eastAsia"/>
                <w:b/>
                <w:szCs w:val="21"/>
              </w:rPr>
              <w:t>35%</w:t>
            </w:r>
            <w:r>
              <w:rPr>
                <w:rFonts w:ascii="宋体" w:hAnsi="宋体" w:hint="eastAsia"/>
                <w:szCs w:val="21"/>
              </w:rPr>
              <w:t>的，1分。</w:t>
            </w:r>
          </w:p>
          <w:p>
            <w:pPr>
              <w:rPr>
                <w:b/>
                <w:szCs w:val="21"/>
              </w:rPr>
            </w:pPr>
            <w:r>
              <w:rPr>
                <w:rFonts w:hint="eastAsia"/>
                <w:b/>
                <w:szCs w:val="21"/>
              </w:rPr>
              <w:t>每个基层机构电话核查2例。</w:t>
            </w:r>
          </w:p>
          <w:p>
            <w:pPr>
              <w:rPr>
                <w:szCs w:val="21"/>
              </w:rPr>
            </w:pPr>
            <w:r>
              <w:rPr>
                <w:rFonts w:ascii="宋体" w:hAnsi="宋体" w:hint="eastAsia"/>
                <w:szCs w:val="21"/>
              </w:rPr>
              <w:t>电话核查有1例不真实扣0.5分</w:t>
            </w:r>
          </w:p>
        </w:tc>
      </w:tr>
      <w:tr>
        <w:tblPrEx>
          <w:tblW w:w="15843" w:type="dxa"/>
          <w:tblLayout w:type="fixed"/>
          <w:tblCellMar>
            <w:top w:w="0" w:type="dxa"/>
            <w:left w:w="108" w:type="dxa"/>
            <w:bottom w:w="0" w:type="dxa"/>
            <w:right w:w="108" w:type="dxa"/>
          </w:tblCellMar>
          <w:tblLook w:val="0000"/>
        </w:tblPrEx>
        <w:trPr>
          <w:trHeight w:val="1119"/>
        </w:trPr>
        <w:tc>
          <w:tcPr>
            <w:tcW w:w="1419" w:type="dxa"/>
            <w:vMerge w:val="restart"/>
            <w:vAlign w:val="center"/>
          </w:tcPr>
          <w:p>
            <w:pPr>
              <w:jc w:val="center"/>
              <w:rPr>
                <w:b/>
                <w:szCs w:val="21"/>
              </w:rPr>
            </w:pPr>
            <w:r>
              <w:rPr>
                <w:b/>
                <w:szCs w:val="21"/>
              </w:rPr>
              <w:t>4.</w:t>
            </w:r>
            <w:r>
              <w:rPr>
                <w:rFonts w:hint="eastAsia"/>
                <w:b/>
                <w:szCs w:val="21"/>
              </w:rPr>
              <w:t>项目效果</w:t>
            </w:r>
          </w:p>
          <w:p>
            <w:pPr>
              <w:jc w:val="center"/>
              <w:rPr>
                <w:b/>
                <w:szCs w:val="21"/>
              </w:rPr>
            </w:pPr>
            <w:r>
              <w:rPr>
                <w:rFonts w:hint="eastAsia"/>
                <w:b/>
                <w:szCs w:val="21"/>
              </w:rPr>
              <w:t>（20分）</w:t>
            </w:r>
          </w:p>
        </w:tc>
        <w:tc>
          <w:tcPr>
            <w:tcW w:w="1241" w:type="dxa"/>
            <w:vAlign w:val="center"/>
          </w:tcPr>
          <w:p>
            <w:pPr>
              <w:jc w:val="left"/>
              <w:rPr>
                <w:b/>
                <w:szCs w:val="21"/>
              </w:rPr>
            </w:pPr>
            <w:r>
              <w:rPr>
                <w:b/>
                <w:szCs w:val="21"/>
              </w:rPr>
              <w:t>4.1</w:t>
            </w:r>
            <w:r>
              <w:rPr>
                <w:rFonts w:hint="eastAsia"/>
                <w:b/>
                <w:szCs w:val="21"/>
              </w:rPr>
              <w:t>健康档案应用（2分）</w:t>
            </w:r>
          </w:p>
        </w:tc>
        <w:tc>
          <w:tcPr>
            <w:tcW w:w="1417" w:type="dxa"/>
            <w:vAlign w:val="center"/>
          </w:tcPr>
          <w:p>
            <w:pPr>
              <w:rPr>
                <w:b/>
                <w:szCs w:val="21"/>
              </w:rPr>
            </w:pPr>
            <w:r>
              <w:rPr>
                <w:b/>
                <w:szCs w:val="21"/>
              </w:rPr>
              <w:t>4.1.1</w:t>
            </w:r>
            <w:r>
              <w:rPr>
                <w:rFonts w:hint="eastAsia"/>
                <w:b/>
                <w:szCs w:val="21"/>
              </w:rPr>
              <w:t>健康档案动态使用率（2分）</w:t>
            </w:r>
          </w:p>
        </w:tc>
        <w:tc>
          <w:tcPr>
            <w:tcW w:w="3969" w:type="dxa"/>
            <w:vAlign w:val="center"/>
          </w:tcPr>
          <w:p>
            <w:pPr>
              <w:rPr>
                <w:szCs w:val="21"/>
              </w:rPr>
            </w:pPr>
            <w:r>
              <w:rPr>
                <w:rFonts w:hint="eastAsia"/>
                <w:szCs w:val="21"/>
              </w:rPr>
              <w:t>基层医疗卫生机构对辖区内的已建档人群，按照《国家基本公共卫生服务规范》要求，及时更新健康档案信息，推动档案使用的情况。</w:t>
            </w:r>
            <w:r>
              <w:rPr>
                <w:rFonts w:hint="eastAsia"/>
                <w:b/>
                <w:szCs w:val="21"/>
              </w:rPr>
              <w:t>重点考核基本公共卫生服务各类重点人群健康档案的管理、维护和更新。</w:t>
            </w:r>
          </w:p>
        </w:tc>
        <w:tc>
          <w:tcPr>
            <w:tcW w:w="4111" w:type="dxa"/>
            <w:tcBorders>
              <w:right w:val="single" w:sz="4" w:space="0" w:color="auto"/>
            </w:tcBorders>
            <w:vAlign w:val="center"/>
          </w:tcPr>
          <w:p>
            <w:pPr>
              <w:rPr>
                <w:szCs w:val="21"/>
              </w:rPr>
            </w:pPr>
            <w:r>
              <w:rPr>
                <w:rFonts w:hint="eastAsia"/>
                <w:szCs w:val="21"/>
              </w:rPr>
              <w:t>基层医疗卫生机构居民健康档案，基层医疗卫生机构诊疗记录。</w:t>
            </w:r>
          </w:p>
        </w:tc>
        <w:tc>
          <w:tcPr>
            <w:tcW w:w="3686" w:type="dxa"/>
            <w:tcBorders>
              <w:left w:val="single" w:sz="4" w:space="0" w:color="auto"/>
            </w:tcBorders>
            <w:vAlign w:val="center"/>
          </w:tcPr>
          <w:p>
            <w:pPr>
              <w:rPr>
                <w:b/>
                <w:szCs w:val="21"/>
              </w:rPr>
            </w:pPr>
            <w:r>
              <w:rPr>
                <w:rFonts w:hint="eastAsia"/>
                <w:szCs w:val="21"/>
              </w:rPr>
              <w:t>考核的每个县（市、区）</w:t>
            </w:r>
            <w:r>
              <w:rPr>
                <w:rFonts w:hint="eastAsia"/>
                <w:b/>
                <w:szCs w:val="21"/>
              </w:rPr>
              <w:t>随机抽查2014年以前建立的重点人群健康档案10份（3份老年人，2份高血压，2份糖尿病，2份0-6岁儿童，1份孕产妇）。</w:t>
            </w:r>
          </w:p>
          <w:p>
            <w:pPr>
              <w:rPr>
                <w:szCs w:val="21"/>
              </w:rPr>
            </w:pPr>
            <w:r>
              <w:rPr>
                <w:rFonts w:hint="eastAsia"/>
                <w:szCs w:val="21"/>
              </w:rPr>
              <w:t>得分=抽查的健康档案使用率/90%*2分；抽查的健康档案使用率</w:t>
            </w:r>
            <w:r>
              <w:rPr>
                <w:rFonts w:ascii="宋体" w:hAnsi="宋体" w:hint="eastAsia"/>
                <w:szCs w:val="21"/>
              </w:rPr>
              <w:t>≥</w:t>
            </w:r>
            <w:r>
              <w:rPr>
                <w:rFonts w:ascii="宋体" w:hAnsi="宋体" w:hint="eastAsia"/>
                <w:szCs w:val="21"/>
              </w:rPr>
              <w:t>90%，2分</w:t>
            </w:r>
          </w:p>
        </w:tc>
      </w:tr>
      <w:tr>
        <w:tblPrEx>
          <w:tblW w:w="15843" w:type="dxa"/>
          <w:tblLayout w:type="fixed"/>
          <w:tblCellMar>
            <w:top w:w="0" w:type="dxa"/>
            <w:left w:w="108" w:type="dxa"/>
            <w:bottom w:w="0" w:type="dxa"/>
            <w:right w:w="108" w:type="dxa"/>
          </w:tblCellMar>
          <w:tblLook w:val="0000"/>
        </w:tblPrEx>
        <w:trPr>
          <w:trHeight w:val="1405"/>
        </w:trPr>
        <w:tc>
          <w:tcPr>
            <w:tcW w:w="1419" w:type="dxa"/>
            <w:vMerge/>
            <w:vAlign w:val="center"/>
          </w:tcPr>
          <w:p>
            <w:pPr>
              <w:jc w:val="center"/>
              <w:rPr>
                <w:b/>
                <w:szCs w:val="21"/>
              </w:rPr>
            </w:pPr>
          </w:p>
        </w:tc>
        <w:tc>
          <w:tcPr>
            <w:tcW w:w="1241" w:type="dxa"/>
            <w:vMerge w:val="restart"/>
            <w:vAlign w:val="center"/>
          </w:tcPr>
          <w:p>
            <w:pPr>
              <w:jc w:val="left"/>
              <w:rPr>
                <w:b/>
                <w:szCs w:val="21"/>
              </w:rPr>
            </w:pPr>
            <w:r>
              <w:rPr>
                <w:b/>
                <w:szCs w:val="21"/>
              </w:rPr>
              <w:t>4.2</w:t>
            </w:r>
            <w:r>
              <w:rPr>
                <w:rFonts w:hint="eastAsia"/>
                <w:b/>
                <w:szCs w:val="21"/>
              </w:rPr>
              <w:t>重点人群管理效果（6分）</w:t>
            </w:r>
          </w:p>
        </w:tc>
        <w:tc>
          <w:tcPr>
            <w:tcW w:w="1417" w:type="dxa"/>
            <w:vAlign w:val="center"/>
          </w:tcPr>
          <w:p>
            <w:pPr>
              <w:rPr>
                <w:b/>
                <w:szCs w:val="21"/>
              </w:rPr>
            </w:pPr>
            <w:r>
              <w:rPr>
                <w:b/>
                <w:szCs w:val="21"/>
              </w:rPr>
              <w:t>4.2.1</w:t>
            </w:r>
            <w:r>
              <w:rPr>
                <w:rFonts w:hint="eastAsia"/>
                <w:b/>
                <w:szCs w:val="21"/>
              </w:rPr>
              <w:t>高血压患者血压控制率（2分）</w:t>
            </w:r>
          </w:p>
        </w:tc>
        <w:tc>
          <w:tcPr>
            <w:tcW w:w="3969" w:type="dxa"/>
            <w:vAlign w:val="center"/>
          </w:tcPr>
          <w:p>
            <w:pPr>
              <w:rPr>
                <w:szCs w:val="21"/>
              </w:rPr>
            </w:pPr>
            <w:r>
              <w:rPr>
                <w:rFonts w:hint="eastAsia"/>
                <w:szCs w:val="21"/>
              </w:rPr>
              <w:t>县（区）已管理的高血压患者，最近一次随访的血压控制达标人数的比例，反映健康管理服务对患者病情控制的效果。</w:t>
            </w:r>
          </w:p>
        </w:tc>
        <w:tc>
          <w:tcPr>
            <w:tcW w:w="4111" w:type="dxa"/>
            <w:tcBorders>
              <w:right w:val="single" w:sz="4" w:space="0" w:color="auto"/>
            </w:tcBorders>
            <w:vAlign w:val="center"/>
          </w:tcPr>
          <w:p>
            <w:pPr>
              <w:rPr>
                <w:szCs w:val="21"/>
              </w:rPr>
            </w:pPr>
            <w:r>
              <w:rPr>
                <w:rFonts w:hint="eastAsia"/>
                <w:szCs w:val="21"/>
              </w:rPr>
              <w:t>基层医疗卫生机构的高血压患者健康管理档案、随访记录。</w:t>
            </w:r>
          </w:p>
          <w:p>
            <w:pPr>
              <w:rPr>
                <w:b/>
                <w:szCs w:val="21"/>
              </w:rPr>
            </w:pPr>
            <w:r>
              <w:rPr>
                <w:rFonts w:hint="eastAsia"/>
                <w:b/>
                <w:szCs w:val="21"/>
              </w:rPr>
              <w:t>有条件的地区，现场随机抽取已管理的高血压患者，测量血压。</w:t>
            </w:r>
          </w:p>
        </w:tc>
        <w:tc>
          <w:tcPr>
            <w:tcW w:w="3686" w:type="dxa"/>
            <w:tcBorders>
              <w:left w:val="single" w:sz="4" w:space="0" w:color="auto"/>
            </w:tcBorders>
            <w:vAlign w:val="center"/>
          </w:tcPr>
          <w:p>
            <w:pPr>
              <w:rPr>
                <w:szCs w:val="21"/>
              </w:rPr>
            </w:pPr>
            <w:r>
              <w:rPr>
                <w:rFonts w:hint="eastAsia"/>
                <w:szCs w:val="21"/>
              </w:rPr>
              <w:t>得分=抽查的患者血压控制率/40%*2分；抽查的患者血压控制率</w:t>
            </w:r>
            <w:r>
              <w:rPr>
                <w:rFonts w:ascii="宋体" w:hAnsi="宋体" w:hint="eastAsia"/>
                <w:szCs w:val="21"/>
              </w:rPr>
              <w:t>≥</w:t>
            </w:r>
            <w:r>
              <w:rPr>
                <w:rFonts w:ascii="宋体" w:hAnsi="宋体" w:hint="eastAsia"/>
                <w:szCs w:val="21"/>
              </w:rPr>
              <w:t>40%，2分。</w:t>
            </w:r>
          </w:p>
        </w:tc>
      </w:tr>
      <w:tr>
        <w:tblPrEx>
          <w:tblW w:w="15843" w:type="dxa"/>
          <w:tblLayout w:type="fixed"/>
          <w:tblCellMar>
            <w:top w:w="0" w:type="dxa"/>
            <w:left w:w="108" w:type="dxa"/>
            <w:bottom w:w="0" w:type="dxa"/>
            <w:right w:w="108" w:type="dxa"/>
          </w:tblCellMar>
          <w:tblLook w:val="0000"/>
        </w:tblPrEx>
        <w:trPr>
          <w:trHeight w:val="1694"/>
        </w:trPr>
        <w:tc>
          <w:tcPr>
            <w:tcW w:w="1419" w:type="dxa"/>
            <w:vMerge/>
            <w:vAlign w:val="center"/>
          </w:tcPr>
          <w:p>
            <w:pPr>
              <w:jc w:val="center"/>
              <w:rPr>
                <w:b/>
                <w:szCs w:val="21"/>
              </w:rPr>
            </w:pPr>
          </w:p>
        </w:tc>
        <w:tc>
          <w:tcPr>
            <w:tcW w:w="1241" w:type="dxa"/>
            <w:vMerge/>
            <w:vAlign w:val="center"/>
          </w:tcPr>
          <w:p>
            <w:pPr>
              <w:jc w:val="left"/>
              <w:rPr>
                <w:b/>
                <w:szCs w:val="21"/>
              </w:rPr>
            </w:pPr>
          </w:p>
        </w:tc>
        <w:tc>
          <w:tcPr>
            <w:tcW w:w="1417" w:type="dxa"/>
            <w:vAlign w:val="center"/>
          </w:tcPr>
          <w:p>
            <w:pPr>
              <w:rPr>
                <w:b/>
                <w:szCs w:val="21"/>
              </w:rPr>
            </w:pPr>
            <w:r>
              <w:rPr>
                <w:b/>
                <w:szCs w:val="21"/>
              </w:rPr>
              <w:t>4.2.2</w:t>
            </w:r>
            <w:r>
              <w:rPr>
                <w:rFonts w:hint="eastAsia"/>
                <w:b/>
                <w:szCs w:val="21"/>
              </w:rPr>
              <w:t>糖尿病患者血糖控制率（2分）</w:t>
            </w:r>
          </w:p>
        </w:tc>
        <w:tc>
          <w:tcPr>
            <w:tcW w:w="3969" w:type="dxa"/>
            <w:vAlign w:val="center"/>
          </w:tcPr>
          <w:p>
            <w:pPr>
              <w:rPr>
                <w:szCs w:val="21"/>
              </w:rPr>
            </w:pPr>
            <w:r>
              <w:rPr>
                <w:rFonts w:hint="eastAsia"/>
                <w:szCs w:val="21"/>
              </w:rPr>
              <w:t>县（区）已管理的</w:t>
            </w:r>
            <w:r>
              <w:rPr>
                <w:szCs w:val="21"/>
              </w:rPr>
              <w:t>2</w:t>
            </w:r>
            <w:r>
              <w:rPr>
                <w:rFonts w:hint="eastAsia"/>
                <w:szCs w:val="21"/>
              </w:rPr>
              <w:t>型糖尿病患者的血糖控制情况，最近一次随访的血糖控制达标人数的比例，反映健康管理服务对患者病情控制的效果。</w:t>
            </w:r>
          </w:p>
        </w:tc>
        <w:tc>
          <w:tcPr>
            <w:tcW w:w="4111" w:type="dxa"/>
            <w:tcBorders>
              <w:right w:val="single" w:sz="4" w:space="0" w:color="auto"/>
            </w:tcBorders>
            <w:vAlign w:val="center"/>
          </w:tcPr>
          <w:p>
            <w:pPr>
              <w:rPr>
                <w:szCs w:val="21"/>
              </w:rPr>
            </w:pPr>
            <w:r>
              <w:rPr>
                <w:rFonts w:hint="eastAsia"/>
                <w:szCs w:val="21"/>
              </w:rPr>
              <w:t>基层医疗卫生机构的</w:t>
            </w:r>
            <w:r>
              <w:rPr>
                <w:szCs w:val="21"/>
              </w:rPr>
              <w:t>2</w:t>
            </w:r>
            <w:r>
              <w:rPr>
                <w:rFonts w:hint="eastAsia"/>
                <w:szCs w:val="21"/>
              </w:rPr>
              <w:t>型糖尿病患者健康管理档案、随访记录。</w:t>
            </w:r>
            <w:r>
              <w:rPr>
                <w:rFonts w:hint="eastAsia"/>
                <w:b/>
                <w:szCs w:val="21"/>
              </w:rPr>
              <w:t>有条件的地区，现场抽取已管理的糖尿病患者，测量血糖。</w:t>
            </w:r>
            <w:r>
              <w:rPr>
                <w:rFonts w:hint="eastAsia"/>
                <w:szCs w:val="21"/>
              </w:rPr>
              <w:t>没有条件测量空腹血糖时，采用糖尿病患者随机血糖控制达标值进行判断。</w:t>
            </w:r>
          </w:p>
        </w:tc>
        <w:tc>
          <w:tcPr>
            <w:tcW w:w="3686" w:type="dxa"/>
            <w:tcBorders>
              <w:left w:val="single" w:sz="4" w:space="0" w:color="auto"/>
            </w:tcBorders>
            <w:vAlign w:val="center"/>
          </w:tcPr>
          <w:p>
            <w:pPr>
              <w:rPr>
                <w:szCs w:val="21"/>
              </w:rPr>
            </w:pPr>
            <w:r>
              <w:rPr>
                <w:rFonts w:hint="eastAsia"/>
                <w:szCs w:val="21"/>
              </w:rPr>
              <w:t>得分=抽查的患者血糖控制率/35%*2分；抽查的患者血糖控制率</w:t>
            </w:r>
            <w:r>
              <w:rPr>
                <w:rFonts w:ascii="宋体" w:hAnsi="宋体" w:hint="eastAsia"/>
                <w:szCs w:val="21"/>
              </w:rPr>
              <w:t>≥</w:t>
            </w:r>
            <w:r>
              <w:rPr>
                <w:rFonts w:ascii="宋体" w:hAnsi="宋体" w:hint="eastAsia"/>
                <w:szCs w:val="21"/>
              </w:rPr>
              <w:t>35%，2分。</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https://d.book118.com/237165001045006033</w:t>
        </w:r>
      </w:hyperlink>
    </w:p>
    <w:p/>
    <w:sectPr>
      <w:headerReference w:type="even" r:id="rId107"/>
      <w:headerReference w:type="default" r:id="rId108"/>
      <w:footerReference w:type="even" r:id="rId109"/>
      <w:footerReference w:type="default" r:id="rId110"/>
      <w:headerReference w:type="first" r:id="rId111"/>
      <w:footerReference w:type="first" r:id="rId112"/>
      <w:type w:val="nextPage"/>
      <w:pgSz w:w="16838" w:h="11906" w:orient="landscape"/>
      <w:pgMar w:top="1797" w:right="1440" w:bottom="1797" w:left="1440" w:header="851" w:footer="992" w:gutter="0"/>
      <w:pgNumType w:start="1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altName w:val="Arial Unicode MS"/>
    <w:panose1 w:val="02010601030101010101"/>
    <w:charset w:val="86"/>
    <w:family w:val="auto"/>
    <w:pitch w:val="default"/>
    <w:sig w:usb0="00000001" w:usb1="080E0000" w:usb2="00000010" w:usb3="00000000" w:csb0="00040000" w:csb1="00000000"/>
  </w:font>
  <w:font w:name="仿宋_GB2312">
    <w:altName w:val="仿宋"/>
    <w:panose1 w:val="02010609030101010101"/>
    <w:charset w:val="86"/>
    <w:family w:val="modern"/>
    <w:pitch w:val="default"/>
    <w:sig w:usb0="00000001" w:usb1="080E0000" w:usb2="00000010" w:usb3="00000000" w:csb0="00040000" w:csb1="0000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6</w:t>
    </w:r>
    <w: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7</w:t>
    </w:r>
    <w: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8</w:t>
    </w:r>
    <w: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10</w:t>
    </w:r>
    <w:r>
      <w:fldChar w:fldCharType="end"/>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11</w:t>
    </w:r>
    <w:r>
      <w:fldChar w:fldCharType="end"/>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12</w:t>
    </w:r>
    <w:r>
      <w:fldChar w:fldCharType="end"/>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12</w:t>
    </w:r>
    <w:r>
      <w:fldChar w:fldCharType="end"/>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13</w:t>
    </w:r>
    <w:r>
      <w:fldChar w:fldCharType="end"/>
    </w:r>
  </w:p>
  <w:p>
    <w:pPr>
      <w:pStyle w:val="Footer"/>
      <w:tabs>
        <w:tab w:val="center" w:pos="4153"/>
        <w:tab w:val="right" w:pos="8306"/>
      </w:tabs>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14</w:t>
    </w:r>
    <w:r>
      <w:fldChar w:fldCharType="end"/>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15</w:t>
    </w:r>
    <w:r>
      <w:fldChar w:fldCharType="end"/>
    </w:r>
  </w:p>
  <w:p>
    <w:pPr>
      <w:pStyle w:val="Footer"/>
      <w:tabs>
        <w:tab w:val="center" w:pos="4153"/>
        <w:tab w:val="right" w:pos="8306"/>
      </w:tabs>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17</w:t>
    </w:r>
    <w:r>
      <w:fldChar w:fldCharType="end"/>
    </w:r>
  </w:p>
  <w:p>
    <w:pPr>
      <w:pStyle w:val="Footer"/>
      <w:tabs>
        <w:tab w:val="center" w:pos="4153"/>
        <w:tab w:val="right" w:pos="8306"/>
      </w:tabs>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17</w:t>
    </w:r>
    <w:r>
      <w:fldChar w:fldCharType="end"/>
    </w:r>
  </w:p>
  <w:p>
    <w:pPr>
      <w:pStyle w:val="Footer"/>
      <w:tabs>
        <w:tab w:val="center" w:pos="4153"/>
        <w:tab w:val="right" w:pos="8306"/>
      </w:tabs>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PAGE   \* MERGEFORMAT</w:instrText>
    </w:r>
    <w:r>
      <w:fldChar w:fldCharType="separate"/>
    </w:r>
    <w:r>
      <w:rPr>
        <w:lang w:val="zh-CN"/>
      </w:rPr>
      <w:t>18</w:t>
    </w:r>
    <w:r>
      <w:fldChar w:fldCharType="end"/>
    </w:r>
  </w:p>
  <w:p>
    <w:pPr>
      <w:pStyle w:val="Footer"/>
      <w:tabs>
        <w:tab w:val="center" w:pos="4153"/>
        <w:tab w:val="right" w:pos="8306"/>
      </w:tabs>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757B0C"/>
    <w:multiLevelType w:val="multilevel"/>
    <w:tmpl w:val="7F757B0C"/>
    <w:lvl w:ilvl="0">
      <w:start w:val="1"/>
      <w:numFmt w:val="japaneseCounting"/>
      <w:lvlText w:val="%1、"/>
      <w:lvlJc w:val="left"/>
      <w:pPr>
        <w:tabs>
          <w:tab w:val="num" w:pos="1360"/>
        </w:tabs>
        <w:ind w:left="1360" w:hanging="720"/>
      </w:pPr>
      <w:rPr>
        <w:rFonts w:hint="default"/>
      </w:rPr>
    </w:lvl>
    <w:lvl w:ilvl="1">
      <w:start w:val="1"/>
      <w:numFmt w:val="lowerLetter"/>
      <w:lvlText w:val="%2)"/>
      <w:lvlJc w:val="left"/>
      <w:pPr>
        <w:tabs>
          <w:tab w:val="num" w:pos="1480"/>
        </w:tabs>
        <w:ind w:left="1480" w:hanging="420"/>
      </w:pPr>
    </w:lvl>
    <w:lvl w:ilvl="2">
      <w:start w:val="1"/>
      <w:numFmt w:val="lowerRoman"/>
      <w:lvlText w:val="%3."/>
      <w:lvlJc w:val="right"/>
      <w:pPr>
        <w:tabs>
          <w:tab w:val="num" w:pos="1900"/>
        </w:tabs>
        <w:ind w:left="1900" w:hanging="420"/>
      </w:pPr>
    </w:lvl>
    <w:lvl w:ilvl="3">
      <w:start w:val="1"/>
      <w:numFmt w:val="decimal"/>
      <w:lvlText w:val="%4."/>
      <w:lvlJc w:val="left"/>
      <w:pPr>
        <w:tabs>
          <w:tab w:val="num" w:pos="2320"/>
        </w:tabs>
        <w:ind w:left="2320" w:hanging="420"/>
      </w:pPr>
    </w:lvl>
    <w:lvl w:ilvl="4">
      <w:start w:val="1"/>
      <w:numFmt w:val="lowerLetter"/>
      <w:lvlText w:val="%5)"/>
      <w:lvlJc w:val="left"/>
      <w:pPr>
        <w:tabs>
          <w:tab w:val="num" w:pos="2740"/>
        </w:tabs>
        <w:ind w:left="2740" w:hanging="420"/>
      </w:pPr>
    </w:lvl>
    <w:lvl w:ilvl="5">
      <w:start w:val="1"/>
      <w:numFmt w:val="lowerRoman"/>
      <w:lvlText w:val="%6."/>
      <w:lvlJc w:val="right"/>
      <w:pPr>
        <w:tabs>
          <w:tab w:val="num" w:pos="3160"/>
        </w:tabs>
        <w:ind w:left="3160" w:hanging="420"/>
      </w:pPr>
    </w:lvl>
    <w:lvl w:ilvl="6">
      <w:start w:val="1"/>
      <w:numFmt w:val="decimal"/>
      <w:lvlText w:val="%7."/>
      <w:lvlJc w:val="left"/>
      <w:pPr>
        <w:tabs>
          <w:tab w:val="num" w:pos="3580"/>
        </w:tabs>
        <w:ind w:left="3580" w:hanging="420"/>
      </w:pPr>
    </w:lvl>
    <w:lvl w:ilvl="7">
      <w:start w:val="1"/>
      <w:numFmt w:val="lowerLetter"/>
      <w:lvlText w:val="%8)"/>
      <w:lvlJc w:val="left"/>
      <w:pPr>
        <w:tabs>
          <w:tab w:val="num" w:pos="4000"/>
        </w:tabs>
        <w:ind w:left="4000" w:hanging="420"/>
      </w:pPr>
    </w:lvl>
    <w:lvl w:ilvl="8">
      <w:start w:val="1"/>
      <w:numFmt w:val="lowerRoman"/>
      <w:lvlText w:val="%9."/>
      <w:lvlJc w:val="right"/>
      <w:pPr>
        <w:tabs>
          <w:tab w:val="num" w:pos="4420"/>
        </w:tabs>
        <w:ind w:left="442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29C4"/>
    <w:rsid w:val="000140B9"/>
    <w:rsid w:val="00031CD8"/>
    <w:rsid w:val="000322C1"/>
    <w:rsid w:val="00033232"/>
    <w:rsid w:val="00040DCB"/>
    <w:rsid w:val="0005354F"/>
    <w:rsid w:val="00055182"/>
    <w:rsid w:val="00060B1B"/>
    <w:rsid w:val="000667AF"/>
    <w:rsid w:val="000670F0"/>
    <w:rsid w:val="000678AD"/>
    <w:rsid w:val="0007770A"/>
    <w:rsid w:val="000826AA"/>
    <w:rsid w:val="000A2C25"/>
    <w:rsid w:val="000A764E"/>
    <w:rsid w:val="000C5DF6"/>
    <w:rsid w:val="000D0019"/>
    <w:rsid w:val="000E1F7C"/>
    <w:rsid w:val="00112900"/>
    <w:rsid w:val="0012383F"/>
    <w:rsid w:val="00136045"/>
    <w:rsid w:val="00136350"/>
    <w:rsid w:val="001417E9"/>
    <w:rsid w:val="00145161"/>
    <w:rsid w:val="001516B2"/>
    <w:rsid w:val="0016594F"/>
    <w:rsid w:val="00175F0B"/>
    <w:rsid w:val="001902DE"/>
    <w:rsid w:val="00190B6A"/>
    <w:rsid w:val="001A3780"/>
    <w:rsid w:val="001C2139"/>
    <w:rsid w:val="001C5F78"/>
    <w:rsid w:val="001D1404"/>
    <w:rsid w:val="001E1461"/>
    <w:rsid w:val="001F19DA"/>
    <w:rsid w:val="002130B6"/>
    <w:rsid w:val="002217AD"/>
    <w:rsid w:val="00221EAF"/>
    <w:rsid w:val="00234A18"/>
    <w:rsid w:val="00234DC9"/>
    <w:rsid w:val="00234E52"/>
    <w:rsid w:val="00236D61"/>
    <w:rsid w:val="002426DB"/>
    <w:rsid w:val="002469B6"/>
    <w:rsid w:val="00266532"/>
    <w:rsid w:val="00282200"/>
    <w:rsid w:val="002A3112"/>
    <w:rsid w:val="002A32EF"/>
    <w:rsid w:val="002B11F4"/>
    <w:rsid w:val="002B4769"/>
    <w:rsid w:val="002B4F73"/>
    <w:rsid w:val="002B6D69"/>
    <w:rsid w:val="002C6A60"/>
    <w:rsid w:val="002D1842"/>
    <w:rsid w:val="002E7DE3"/>
    <w:rsid w:val="0031168E"/>
    <w:rsid w:val="003266E1"/>
    <w:rsid w:val="003350EF"/>
    <w:rsid w:val="00335334"/>
    <w:rsid w:val="003434FE"/>
    <w:rsid w:val="0035029D"/>
    <w:rsid w:val="00360DD2"/>
    <w:rsid w:val="0036519E"/>
    <w:rsid w:val="003707C9"/>
    <w:rsid w:val="00382135"/>
    <w:rsid w:val="003823E8"/>
    <w:rsid w:val="003A0B7B"/>
    <w:rsid w:val="003A5524"/>
    <w:rsid w:val="003B1A7C"/>
    <w:rsid w:val="003C415B"/>
    <w:rsid w:val="003D370E"/>
    <w:rsid w:val="003E3997"/>
    <w:rsid w:val="003E5690"/>
    <w:rsid w:val="003E7A5A"/>
    <w:rsid w:val="00401C8F"/>
    <w:rsid w:val="0041259D"/>
    <w:rsid w:val="00443F5D"/>
    <w:rsid w:val="0045022A"/>
    <w:rsid w:val="00450E10"/>
    <w:rsid w:val="004555FC"/>
    <w:rsid w:val="00463A60"/>
    <w:rsid w:val="00463C1A"/>
    <w:rsid w:val="004707E7"/>
    <w:rsid w:val="00482D80"/>
    <w:rsid w:val="004B2B69"/>
    <w:rsid w:val="004C7BD2"/>
    <w:rsid w:val="004D6186"/>
    <w:rsid w:val="004E05A4"/>
    <w:rsid w:val="004E1923"/>
    <w:rsid w:val="004E2EB1"/>
    <w:rsid w:val="004E5B3C"/>
    <w:rsid w:val="004E7338"/>
    <w:rsid w:val="004F0344"/>
    <w:rsid w:val="00502CC0"/>
    <w:rsid w:val="00517C7F"/>
    <w:rsid w:val="00525BE8"/>
    <w:rsid w:val="005425B8"/>
    <w:rsid w:val="00562475"/>
    <w:rsid w:val="005636C8"/>
    <w:rsid w:val="00563B09"/>
    <w:rsid w:val="0056404F"/>
    <w:rsid w:val="005876F0"/>
    <w:rsid w:val="0059070B"/>
    <w:rsid w:val="005B5879"/>
    <w:rsid w:val="005C37A3"/>
    <w:rsid w:val="005C4D99"/>
    <w:rsid w:val="005D4E49"/>
    <w:rsid w:val="005D7CDD"/>
    <w:rsid w:val="005F2D9E"/>
    <w:rsid w:val="00600D91"/>
    <w:rsid w:val="00601175"/>
    <w:rsid w:val="00602171"/>
    <w:rsid w:val="0060574E"/>
    <w:rsid w:val="00607D31"/>
    <w:rsid w:val="006157E7"/>
    <w:rsid w:val="00615852"/>
    <w:rsid w:val="00624F7A"/>
    <w:rsid w:val="00626858"/>
    <w:rsid w:val="00631F53"/>
    <w:rsid w:val="00640911"/>
    <w:rsid w:val="00644E27"/>
    <w:rsid w:val="006470BF"/>
    <w:rsid w:val="006638C7"/>
    <w:rsid w:val="00667273"/>
    <w:rsid w:val="00674D88"/>
    <w:rsid w:val="00682592"/>
    <w:rsid w:val="006A14FE"/>
    <w:rsid w:val="006A2EEC"/>
    <w:rsid w:val="006B4722"/>
    <w:rsid w:val="006C5998"/>
    <w:rsid w:val="006E1B5D"/>
    <w:rsid w:val="006E2741"/>
    <w:rsid w:val="00701FCF"/>
    <w:rsid w:val="00716D67"/>
    <w:rsid w:val="00723A3E"/>
    <w:rsid w:val="00725A3B"/>
    <w:rsid w:val="00742457"/>
    <w:rsid w:val="007447D3"/>
    <w:rsid w:val="00751C2F"/>
    <w:rsid w:val="0077214A"/>
    <w:rsid w:val="00780130"/>
    <w:rsid w:val="00786DFD"/>
    <w:rsid w:val="00790489"/>
    <w:rsid w:val="00792A0C"/>
    <w:rsid w:val="007B2FD4"/>
    <w:rsid w:val="007C445D"/>
    <w:rsid w:val="007E3053"/>
    <w:rsid w:val="007E3658"/>
    <w:rsid w:val="007E3F3E"/>
    <w:rsid w:val="007F4A9F"/>
    <w:rsid w:val="007F4EA6"/>
    <w:rsid w:val="00804691"/>
    <w:rsid w:val="0081104F"/>
    <w:rsid w:val="0081779E"/>
    <w:rsid w:val="00842F6B"/>
    <w:rsid w:val="008437A7"/>
    <w:rsid w:val="00845873"/>
    <w:rsid w:val="00852A68"/>
    <w:rsid w:val="0085412A"/>
    <w:rsid w:val="0086066A"/>
    <w:rsid w:val="008901D2"/>
    <w:rsid w:val="008A5F06"/>
    <w:rsid w:val="008B0EA4"/>
    <w:rsid w:val="008B23A5"/>
    <w:rsid w:val="008C1ED3"/>
    <w:rsid w:val="008D0A2F"/>
    <w:rsid w:val="008D748E"/>
    <w:rsid w:val="008E0088"/>
    <w:rsid w:val="008E7B7F"/>
    <w:rsid w:val="008F08B2"/>
    <w:rsid w:val="00901B84"/>
    <w:rsid w:val="009065B9"/>
    <w:rsid w:val="0091188D"/>
    <w:rsid w:val="009121CF"/>
    <w:rsid w:val="00912C6E"/>
    <w:rsid w:val="009226F9"/>
    <w:rsid w:val="00923DAD"/>
    <w:rsid w:val="009306A7"/>
    <w:rsid w:val="00932EB6"/>
    <w:rsid w:val="00933333"/>
    <w:rsid w:val="00935834"/>
    <w:rsid w:val="00937EA3"/>
    <w:rsid w:val="00947FCA"/>
    <w:rsid w:val="00964962"/>
    <w:rsid w:val="00965979"/>
    <w:rsid w:val="0097340A"/>
    <w:rsid w:val="00985F1E"/>
    <w:rsid w:val="009903B5"/>
    <w:rsid w:val="009A14A2"/>
    <w:rsid w:val="009B2369"/>
    <w:rsid w:val="009B23FF"/>
    <w:rsid w:val="009B7C4B"/>
    <w:rsid w:val="009C51D0"/>
    <w:rsid w:val="009D752E"/>
    <w:rsid w:val="009E7257"/>
    <w:rsid w:val="009F00DE"/>
    <w:rsid w:val="00A174B6"/>
    <w:rsid w:val="00A24ED9"/>
    <w:rsid w:val="00A320FC"/>
    <w:rsid w:val="00A40D5A"/>
    <w:rsid w:val="00A54421"/>
    <w:rsid w:val="00A61B06"/>
    <w:rsid w:val="00A63FC4"/>
    <w:rsid w:val="00A74149"/>
    <w:rsid w:val="00A82EBF"/>
    <w:rsid w:val="00AB5836"/>
    <w:rsid w:val="00AD0E0F"/>
    <w:rsid w:val="00AD22C5"/>
    <w:rsid w:val="00AD251C"/>
    <w:rsid w:val="00AD29C4"/>
    <w:rsid w:val="00AE7754"/>
    <w:rsid w:val="00AF5231"/>
    <w:rsid w:val="00B039CA"/>
    <w:rsid w:val="00B04497"/>
    <w:rsid w:val="00B15C63"/>
    <w:rsid w:val="00B52736"/>
    <w:rsid w:val="00B63FDF"/>
    <w:rsid w:val="00B6717E"/>
    <w:rsid w:val="00B710A4"/>
    <w:rsid w:val="00B716CC"/>
    <w:rsid w:val="00B738E9"/>
    <w:rsid w:val="00B74226"/>
    <w:rsid w:val="00B761EE"/>
    <w:rsid w:val="00B814BB"/>
    <w:rsid w:val="00B83FEA"/>
    <w:rsid w:val="00BA42D7"/>
    <w:rsid w:val="00BC5754"/>
    <w:rsid w:val="00BC6C6A"/>
    <w:rsid w:val="00BE2516"/>
    <w:rsid w:val="00C01ECC"/>
    <w:rsid w:val="00C038AC"/>
    <w:rsid w:val="00C03AFA"/>
    <w:rsid w:val="00C41614"/>
    <w:rsid w:val="00C566C1"/>
    <w:rsid w:val="00C622B1"/>
    <w:rsid w:val="00C9745C"/>
    <w:rsid w:val="00CA1110"/>
    <w:rsid w:val="00CA2060"/>
    <w:rsid w:val="00CA2D50"/>
    <w:rsid w:val="00CA61B3"/>
    <w:rsid w:val="00CB4608"/>
    <w:rsid w:val="00CD7D39"/>
    <w:rsid w:val="00CF5787"/>
    <w:rsid w:val="00CF78B9"/>
    <w:rsid w:val="00D10451"/>
    <w:rsid w:val="00D1272A"/>
    <w:rsid w:val="00D12FE1"/>
    <w:rsid w:val="00D2483D"/>
    <w:rsid w:val="00D31EDE"/>
    <w:rsid w:val="00D3219A"/>
    <w:rsid w:val="00D421A7"/>
    <w:rsid w:val="00D550EA"/>
    <w:rsid w:val="00D67B84"/>
    <w:rsid w:val="00D73688"/>
    <w:rsid w:val="00D771B2"/>
    <w:rsid w:val="00D81AD9"/>
    <w:rsid w:val="00D81E22"/>
    <w:rsid w:val="00D97A8A"/>
    <w:rsid w:val="00DE1E1E"/>
    <w:rsid w:val="00DF06D1"/>
    <w:rsid w:val="00DF2DBF"/>
    <w:rsid w:val="00E0081B"/>
    <w:rsid w:val="00E148D9"/>
    <w:rsid w:val="00E16529"/>
    <w:rsid w:val="00E2638E"/>
    <w:rsid w:val="00E31B30"/>
    <w:rsid w:val="00E32D9E"/>
    <w:rsid w:val="00E34FD1"/>
    <w:rsid w:val="00E42E9D"/>
    <w:rsid w:val="00E445D1"/>
    <w:rsid w:val="00E511CB"/>
    <w:rsid w:val="00E6577D"/>
    <w:rsid w:val="00E738C5"/>
    <w:rsid w:val="00E81185"/>
    <w:rsid w:val="00E81796"/>
    <w:rsid w:val="00E831B6"/>
    <w:rsid w:val="00E84F9D"/>
    <w:rsid w:val="00EA215D"/>
    <w:rsid w:val="00EA45F8"/>
    <w:rsid w:val="00EC0D68"/>
    <w:rsid w:val="00EC60F4"/>
    <w:rsid w:val="00EE0FAC"/>
    <w:rsid w:val="00EF0DE5"/>
    <w:rsid w:val="00F07B3C"/>
    <w:rsid w:val="00F1024D"/>
    <w:rsid w:val="00F21214"/>
    <w:rsid w:val="00F45B18"/>
    <w:rsid w:val="00F47D69"/>
    <w:rsid w:val="00F62838"/>
    <w:rsid w:val="00F7308D"/>
    <w:rsid w:val="00F74712"/>
    <w:rsid w:val="00F81957"/>
    <w:rsid w:val="00F82AA6"/>
    <w:rsid w:val="00F845A5"/>
    <w:rsid w:val="00FE3974"/>
    <w:rsid w:val="00FE42A9"/>
    <w:rsid w:val="00FE6DAA"/>
    <w:rsid w:val="00FF5F27"/>
    <w:rsid w:val="5D680B5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szCs w:val="24"/>
      <w:lang w:val="en-US" w:eastAsia="zh-CN" w:bidi="ar-SA"/>
    </w:rPr>
  </w:style>
  <w:style w:type="character" w:default="1" w:styleId="DefaultParagraphFont">
    <w:name w:val="Default Paragraph Font"/>
    <w:link w:val="Char"/>
    <w:semiHidden/>
  </w:style>
  <w:style w:type="table" w:default="1" w:styleId="TableNormal">
    <w:name w:val="Normal Table"/>
    <w:semiHidden/>
    <w:tblPr>
      <w:tblCellMar>
        <w:top w:w="0" w:type="dxa"/>
        <w:left w:w="108" w:type="dxa"/>
        <w:bottom w:w="0" w:type="dxa"/>
        <w:right w:w="108" w:type="dxa"/>
      </w:tblCellMar>
    </w:tblPr>
  </w:style>
  <w:style w:type="paragraph" w:styleId="DocumentMap">
    <w:name w:val="Document Map"/>
    <w:basedOn w:val="Normal"/>
    <w:semiHidden/>
    <w:pPr>
      <w:shd w:val="clear" w:color="auto" w:fill="000080"/>
    </w:pPr>
  </w:style>
  <w:style w:type="paragraph" w:styleId="Footer">
    <w:name w:val="footer"/>
    <w:basedOn w:val="Normal"/>
    <w:link w:val="CharChar"/>
    <w:pPr>
      <w:tabs>
        <w:tab w:val="center" w:pos="4153"/>
        <w:tab w:val="right" w:pos="8306"/>
      </w:tabs>
      <w:snapToGrid w:val="0"/>
      <w:jc w:val="left"/>
    </w:pPr>
    <w:rPr>
      <w:sz w:val="18"/>
      <w:szCs w:val="18"/>
    </w:rPr>
  </w:style>
  <w:style w:type="character" w:customStyle="1" w:styleId="CharChar">
    <w:name w:val=" Char Char"/>
    <w:link w:val="Footer"/>
    <w:rPr>
      <w:rFonts w:eastAsia="宋体"/>
      <w:kern w:val="2"/>
      <w:sz w:val="18"/>
      <w:szCs w:val="18"/>
      <w:lang w:val="en-US" w:eastAsia="zh-CN" w:bidi="ar-SA"/>
    </w:rPr>
  </w:style>
  <w:style w:type="paragraph" w:styleId="Header">
    <w:name w:val="header"/>
    <w:basedOn w:val="Normal"/>
    <w:link w:val="CharChar1"/>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rPr>
      <w:rFonts w:eastAsia="宋体"/>
      <w:kern w:val="2"/>
      <w:sz w:val="18"/>
      <w:szCs w:val="18"/>
      <w:lang w:val="en-US" w:eastAsia="zh-CN" w:bidi="ar-SA"/>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 Char"/>
    <w:basedOn w:val="DocumentMap"/>
    <w:link w:val="DefaultParagraphFont"/>
    <w:rPr>
      <w:rFonts w:ascii="Tahoma" w:hAnsi="Tahoma"/>
      <w:sz w:val="24"/>
    </w:rPr>
  </w:style>
  <w:style w:type="character" w:styleId="PageNumber">
    <w:name w:val="page number"/>
    <w:basedOn w:val="DefaultParagraphFont"/>
  </w:style>
  <w:style w:type="character" w:styleId="Emphasis">
    <w:name w:val="Emphasis"/>
    <w:basedOn w:val="DefaultParagraphFont"/>
    <w:rPr>
      <w:color w:val="CC0000"/>
    </w:rPr>
  </w:style>
  <w:style w:type="paragraph" w:customStyle="1" w:styleId="reader-word-layerreader-word-s1-2">
    <w:name w:val="reader-word-layer reader-word-s1-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4">
    <w:name w:val="reader-word-layer reader-word-s1-4"/>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yperlink" Target="https://d.book118.com/237165001045006033" TargetMode="External" /><Relationship Id="rId107" Type="http://schemas.openxmlformats.org/officeDocument/2006/relationships/header" Target="header52.xml" /><Relationship Id="rId108" Type="http://schemas.openxmlformats.org/officeDocument/2006/relationships/header" Target="header53.xml" /><Relationship Id="rId109" Type="http://schemas.openxmlformats.org/officeDocument/2006/relationships/footer" Target="footer52.xml" /><Relationship Id="rId11" Type="http://schemas.openxmlformats.org/officeDocument/2006/relationships/header" Target="header5.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theme" Target="theme/theme1.xml" /><Relationship Id="rId114" Type="http://schemas.openxmlformats.org/officeDocument/2006/relationships/numbering" Target="numbering.xml" /><Relationship Id="rId115" Type="http://schemas.openxmlformats.org/officeDocument/2006/relationships/styles" Target="styles.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24</Pages>
  <Words>4301</Words>
  <Characters>24518</Characters>
  <Application>Microsoft Office Word</Application>
  <DocSecurity>0</DocSecurity>
  <Lines>204</Lines>
  <Paragraphs>57</Paragraphs>
  <ScaleCrop>false</ScaleCrop>
  <Company>Microsoft</Company>
  <LinksUpToDate>false</LinksUpToDate>
  <CharactersWithSpaces>28762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昆卫社基〔2015〕 号</dc:title>
  <dc:creator>锦溪镇预防保健所</dc:creator>
  <cp:lastModifiedBy>沐宇舒荷</cp:lastModifiedBy>
  <cp:revision>16</cp:revision>
  <cp:lastPrinted>2015-06-08T00:54:00Z</cp:lastPrinted>
  <dcterms:created xsi:type="dcterms:W3CDTF">2015-06-08T08:01:00Z</dcterms:created>
  <dcterms:modified xsi:type="dcterms:W3CDTF">2021-08-08T03:41:44Z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59FE70A3AD674CA1BFD147404385D1CB</vt:lpwstr>
  </property>
  <property fmtid="{D5CDD505-2E9C-101B-9397-08002B2CF9AE}" pid="3" name="KSOProductBuildVer">
    <vt:lpwstr>2052-11.1.0.10700</vt:lpwstr>
  </property>
</Properties>
</file>