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红外线气体分析仪行业相关公司设立可行性研究报告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_Toc15852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_Toc9869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_Toc7880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eastAsia="zh-CN"/>
          </w:rPr>
          <w:t>(一)、红外线气体分析仪项目选址原则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_Toc12879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_Toc21821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6" w:history="1">
        <w:r>
          <w:rPr>
            <w:rFonts w:ascii="仿宋" w:eastAsia="仿宋" w:hAnsi="仿宋" w:cs="仿宋" w:hint="eastAsia"/>
            <w:lang w:eastAsia="zh-CN"/>
          </w:rPr>
          <w:t>(五)、红外线气体分析仪项目选址综合评价</w:t>
        </w:r>
        <w:r>
          <w:tab/>
        </w:r>
        <w:r>
          <w:fldChar w:fldCharType="begin"/>
        </w:r>
        <w:r>
          <w:instrText xml:space="preserve"> PAGEREF _Toc6116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_Toc19184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_Toc13317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_Toc8890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_Toc17073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_Toc18213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_Toc6285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_Toc27159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_Toc21583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8" w:history="1">
        <w:r>
          <w:rPr>
            <w:rFonts w:ascii="仿宋" w:eastAsia="仿宋" w:hAnsi="仿宋" w:cs="仿宋" w:hint="eastAsia"/>
            <w:lang w:eastAsia="zh-CN"/>
          </w:rPr>
          <w:t>(七)、红外线气体分析仪项目建设必要性分析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_Toc3826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_Toc16289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_Toc15989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_Toc28730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(五)、红外线气体分析仪项目总投资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5" w:history="1">
        <w:r>
          <w:rPr>
            <w:rFonts w:ascii="仿宋" w:eastAsia="仿宋" w:hAnsi="仿宋" w:cs="仿宋" w:hint="eastAsia"/>
            <w:lang w:eastAsia="zh-CN"/>
          </w:rPr>
          <w:t>八、红外线气体分析仪项目风险分析</w:t>
        </w:r>
        <w:r>
          <w:tab/>
        </w:r>
        <w:r>
          <w:fldChar w:fldCharType="begin"/>
        </w:r>
        <w:r>
          <w:instrText xml:space="preserve"> PAGEREF _Toc15385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8" w:history="1">
        <w:r>
          <w:rPr>
            <w:rFonts w:ascii="仿宋" w:eastAsia="仿宋" w:hAnsi="仿宋" w:cs="仿宋" w:hint="eastAsia"/>
            <w:lang w:eastAsia="zh-CN"/>
          </w:rPr>
          <w:t>(一)、红外线气体分析仪项目风险分析</w:t>
        </w:r>
        <w:r>
          <w:tab/>
        </w:r>
        <w:r>
          <w:fldChar w:fldCharType="begin"/>
        </w:r>
        <w:r>
          <w:instrText xml:space="preserve"> PAGEREF _Toc9398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5" w:history="1">
        <w:r>
          <w:rPr>
            <w:rFonts w:ascii="仿宋" w:eastAsia="仿宋" w:hAnsi="仿宋" w:cs="仿宋" w:hint="eastAsia"/>
            <w:lang w:eastAsia="zh-CN"/>
          </w:rPr>
          <w:t>(二)、红外线气体分析仪项目风险对策</w:t>
        </w:r>
        <w:r>
          <w:tab/>
        </w:r>
        <w:r>
          <w:fldChar w:fldCharType="begin"/>
        </w:r>
        <w:r>
          <w:instrText xml:space="preserve"> PAGEREF _Toc20335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3" w:history="1">
        <w:r>
          <w:rPr>
            <w:rFonts w:ascii="仿宋" w:eastAsia="仿宋" w:hAnsi="仿宋" w:cs="仿宋" w:hint="eastAsia"/>
            <w:lang w:eastAsia="zh-CN"/>
          </w:rPr>
          <w:t>九、红外线气体分析仪项目经济效益</w:t>
        </w:r>
        <w:r>
          <w:tab/>
        </w:r>
        <w:r>
          <w:fldChar w:fldCharType="begin"/>
        </w:r>
        <w:r>
          <w:instrText xml:space="preserve"> PAGEREF _Toc9603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_Toc22066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eastAsia="zh-CN"/>
          </w:rPr>
          <w:t>(三)、红外线气体分析仪项目盈利能力分析</w:t>
        </w:r>
        <w:r>
          <w:tab/>
        </w:r>
        <w:r>
          <w:fldChar w:fldCharType="begin"/>
        </w:r>
        <w:r>
          <w:instrText xml:space="preserve"> PAGEREF _Toc31275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_Toc21509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_Toc30803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9" w:history="1">
        <w:r>
          <w:rPr>
            <w:rFonts w:ascii="仿宋" w:eastAsia="仿宋" w:hAnsi="仿宋" w:cs="仿宋" w:hint="eastAsia"/>
            <w:lang w:eastAsia="zh-CN"/>
          </w:rPr>
          <w:t>(一)、红外线气体分析仪项目背景分析</w:t>
        </w:r>
        <w:r>
          <w:tab/>
        </w:r>
        <w:r>
          <w:fldChar w:fldCharType="begin"/>
        </w:r>
        <w:r>
          <w:instrText xml:space="preserve"> PAGEREF _Toc11169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eastAsia="zh-CN"/>
          </w:rPr>
          <w:t>(二)、红外线气体分析仪项目建设必要性分析</w:t>
        </w:r>
        <w:r>
          <w:tab/>
        </w:r>
        <w:r>
          <w:fldChar w:fldCharType="begin"/>
        </w:r>
        <w:r>
          <w:instrText xml:space="preserve"> PAGEREF _Toc22315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_Toc30991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_Toc10026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_Toc32359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_Toc3764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_Toc11188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85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50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https://d.book118.com/238012064071006031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红外线气体分析仪行业相关公司设立可行性研究报告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红外线气体分析仪行业相关公司设立可行性研究报告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红外线气体分析仪行业相关公司设立可行性研究报告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红外线气体分析仪行业相关公司设立可行性研究报告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红外线气体分析仪行业相关公司设立可行性研究报告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01206407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2024-01-20T11:43:00Z</dcterms:created>
  <dcterms:modified xsi:type="dcterms:W3CDTF">2024-01-20T11:43:40Z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9E569CB1C3FC46EA9A74E17D376C2759_11</vt:lpwstr>
  </property>
  <property fmtid="{D5CDD505-2E9C-101B-9397-08002B2CF9AE}" pid="3" name="KSOProductBuildVer">
    <vt:lpwstr>2052-12.1.0.16120</vt:lpwstr>
  </property>
</Properties>
</file>