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非金属废料和碎屑项目规划设计蓝图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26" w:history="1">
        <w:r>
          <w:rPr>
            <w:rFonts w:ascii="仿宋" w:eastAsia="仿宋" w:hAnsi="仿宋" w:cs="仿宋" w:hint="eastAsia"/>
            <w:lang w:eastAsia="zh-CN"/>
          </w:rPr>
          <w:t>前言</w:t>
        </w:r>
        <w:r>
          <w:tab/>
        </w:r>
        <w:r>
          <w:fldChar w:fldCharType="begin"/>
        </w:r>
        <w:r>
          <w:instrText xml:space="preserve"> PAGEREF _Toc17726 \h </w:instrText>
        </w:r>
        <w:r>
          <w:fldChar w:fldCharType="separate"/>
        </w:r>
        <w:r>
          <w:t>3</w:t>
        </w:r>
        <w:r>
          <w:fldChar w:fldCharType="end"/>
        </w:r>
      </w:hyperlink>
    </w:p>
    <w:p>
      <w:pPr>
        <w:pStyle w:val="TOC1"/>
        <w:tabs>
          <w:tab w:val="right" w:leader="dot" w:pos="8306"/>
        </w:tabs>
      </w:pPr>
      <w:hyperlink w:anchor="_Toc9754" w:history="1">
        <w:r>
          <w:rPr>
            <w:rFonts w:ascii="仿宋" w:eastAsia="仿宋" w:hAnsi="仿宋" w:cs="仿宋" w:hint="eastAsia"/>
            <w:lang w:eastAsia="zh-CN"/>
          </w:rPr>
          <w:t>一、非金属废料和碎屑项目绩效评估</w:t>
        </w:r>
        <w:r>
          <w:tab/>
        </w:r>
        <w:r>
          <w:fldChar w:fldCharType="begin"/>
        </w:r>
        <w:r>
          <w:instrText xml:space="preserve"> PAGEREF _Toc9754 \h </w:instrText>
        </w:r>
        <w:r>
          <w:fldChar w:fldCharType="separate"/>
        </w:r>
        <w:r>
          <w:t>3</w:t>
        </w:r>
        <w:r>
          <w:fldChar w:fldCharType="end"/>
        </w:r>
      </w:hyperlink>
    </w:p>
    <w:p>
      <w:pPr>
        <w:pStyle w:val="TOC2"/>
        <w:tabs>
          <w:tab w:val="right" w:leader="dot" w:pos="8306"/>
        </w:tabs>
      </w:pPr>
      <w:hyperlink w:anchor="_Toc849" w:history="1">
        <w:r>
          <w:rPr>
            <w:rFonts w:ascii="仿宋" w:eastAsia="仿宋" w:hAnsi="仿宋" w:cs="仿宋" w:hint="eastAsia"/>
            <w:lang w:eastAsia="zh-CN"/>
          </w:rPr>
          <w:t>(一)、绩效评估指标</w:t>
        </w:r>
        <w:r>
          <w:tab/>
        </w:r>
        <w:r>
          <w:fldChar w:fldCharType="begin"/>
        </w:r>
        <w:r>
          <w:instrText xml:space="preserve"> PAGEREF _Toc849 \h </w:instrText>
        </w:r>
        <w:r>
          <w:fldChar w:fldCharType="separate"/>
        </w:r>
        <w:r>
          <w:t>3</w:t>
        </w:r>
        <w:r>
          <w:fldChar w:fldCharType="end"/>
        </w:r>
      </w:hyperlink>
    </w:p>
    <w:p>
      <w:pPr>
        <w:pStyle w:val="TOC2"/>
        <w:tabs>
          <w:tab w:val="right" w:leader="dot" w:pos="8306"/>
        </w:tabs>
      </w:pPr>
      <w:hyperlink w:anchor="_Toc13886" w:history="1">
        <w:r>
          <w:rPr>
            <w:rFonts w:ascii="仿宋" w:eastAsia="仿宋" w:hAnsi="仿宋" w:cs="仿宋" w:hint="eastAsia"/>
            <w:lang w:eastAsia="zh-CN"/>
          </w:rPr>
          <w:t>(二)、绩效评估方法</w:t>
        </w:r>
        <w:r>
          <w:tab/>
        </w:r>
        <w:r>
          <w:fldChar w:fldCharType="begin"/>
        </w:r>
        <w:r>
          <w:instrText xml:space="preserve"> PAGEREF _Toc13886 \h </w:instrText>
        </w:r>
        <w:r>
          <w:fldChar w:fldCharType="separate"/>
        </w:r>
        <w:r>
          <w:t>4</w:t>
        </w:r>
        <w:r>
          <w:fldChar w:fldCharType="end"/>
        </w:r>
      </w:hyperlink>
    </w:p>
    <w:p>
      <w:pPr>
        <w:pStyle w:val="TOC2"/>
        <w:tabs>
          <w:tab w:val="right" w:leader="dot" w:pos="8306"/>
        </w:tabs>
      </w:pPr>
      <w:hyperlink w:anchor="_Toc8173" w:history="1">
        <w:r>
          <w:rPr>
            <w:rFonts w:ascii="仿宋" w:eastAsia="仿宋" w:hAnsi="仿宋" w:cs="仿宋" w:hint="eastAsia"/>
            <w:lang w:eastAsia="zh-CN"/>
          </w:rPr>
          <w:t>(三)、绩效评估周期</w:t>
        </w:r>
        <w:r>
          <w:tab/>
        </w:r>
        <w:r>
          <w:fldChar w:fldCharType="begin"/>
        </w:r>
        <w:r>
          <w:instrText xml:space="preserve"> PAGEREF _Toc8173 \h </w:instrText>
        </w:r>
        <w:r>
          <w:fldChar w:fldCharType="separate"/>
        </w:r>
        <w:r>
          <w:t>5</w:t>
        </w:r>
        <w:r>
          <w:fldChar w:fldCharType="end"/>
        </w:r>
      </w:hyperlink>
    </w:p>
    <w:p>
      <w:pPr>
        <w:pStyle w:val="TOC1"/>
        <w:tabs>
          <w:tab w:val="right" w:leader="dot" w:pos="8306"/>
        </w:tabs>
      </w:pPr>
      <w:hyperlink w:anchor="_Toc29930" w:history="1">
        <w:r>
          <w:rPr>
            <w:rFonts w:ascii="仿宋" w:eastAsia="仿宋" w:hAnsi="仿宋" w:cs="仿宋" w:hint="eastAsia"/>
            <w:lang w:eastAsia="zh-CN"/>
          </w:rPr>
          <w:t>二、非金属废料和碎屑项目危机管理</w:t>
        </w:r>
        <w:r>
          <w:tab/>
        </w:r>
        <w:r>
          <w:fldChar w:fldCharType="begin"/>
        </w:r>
        <w:r>
          <w:instrText xml:space="preserve"> PAGEREF _Toc29930 \h </w:instrText>
        </w:r>
        <w:r>
          <w:fldChar w:fldCharType="separate"/>
        </w:r>
        <w:r>
          <w:t>6</w:t>
        </w:r>
        <w:r>
          <w:fldChar w:fldCharType="end"/>
        </w:r>
      </w:hyperlink>
    </w:p>
    <w:p>
      <w:pPr>
        <w:pStyle w:val="TOC2"/>
        <w:tabs>
          <w:tab w:val="right" w:leader="dot" w:pos="8306"/>
        </w:tabs>
      </w:pPr>
      <w:hyperlink w:anchor="_Toc13191" w:history="1">
        <w:r>
          <w:rPr>
            <w:rFonts w:ascii="仿宋" w:eastAsia="仿宋" w:hAnsi="仿宋" w:cs="仿宋" w:hint="eastAsia"/>
            <w:lang w:eastAsia="zh-CN"/>
          </w:rPr>
          <w:t>(一)、危机预警与识别</w:t>
        </w:r>
        <w:r>
          <w:tab/>
        </w:r>
        <w:r>
          <w:fldChar w:fldCharType="begin"/>
        </w:r>
        <w:r>
          <w:instrText xml:space="preserve"> PAGEREF _Toc13191 \h </w:instrText>
        </w:r>
        <w:r>
          <w:fldChar w:fldCharType="separate"/>
        </w:r>
        <w:r>
          <w:t>6</w:t>
        </w:r>
        <w:r>
          <w:fldChar w:fldCharType="end"/>
        </w:r>
      </w:hyperlink>
    </w:p>
    <w:p>
      <w:pPr>
        <w:pStyle w:val="TOC2"/>
        <w:tabs>
          <w:tab w:val="right" w:leader="dot" w:pos="8306"/>
        </w:tabs>
      </w:pPr>
      <w:hyperlink w:anchor="_Toc9186" w:history="1">
        <w:r>
          <w:rPr>
            <w:rFonts w:ascii="仿宋" w:eastAsia="仿宋" w:hAnsi="仿宋" w:cs="仿宋" w:hint="eastAsia"/>
            <w:lang w:eastAsia="zh-CN"/>
          </w:rPr>
          <w:t>(二)、危机应对与恢复</w:t>
        </w:r>
        <w:r>
          <w:tab/>
        </w:r>
        <w:r>
          <w:fldChar w:fldCharType="begin"/>
        </w:r>
        <w:r>
          <w:instrText xml:space="preserve"> PAGEREF _Toc9186 \h </w:instrText>
        </w:r>
        <w:r>
          <w:fldChar w:fldCharType="separate"/>
        </w:r>
        <w:r>
          <w:t>7</w:t>
        </w:r>
        <w:r>
          <w:fldChar w:fldCharType="end"/>
        </w:r>
      </w:hyperlink>
    </w:p>
    <w:p>
      <w:pPr>
        <w:pStyle w:val="TOC1"/>
        <w:tabs>
          <w:tab w:val="right" w:leader="dot" w:pos="8306"/>
        </w:tabs>
      </w:pPr>
      <w:hyperlink w:anchor="_Toc24427" w:history="1">
        <w:r>
          <w:rPr>
            <w:rFonts w:ascii="仿宋" w:eastAsia="仿宋" w:hAnsi="仿宋" w:cs="仿宋" w:hint="eastAsia"/>
            <w:lang w:eastAsia="zh-CN"/>
          </w:rPr>
          <w:t>三、市场分析、调研</w:t>
        </w:r>
        <w:r>
          <w:tab/>
        </w:r>
        <w:r>
          <w:fldChar w:fldCharType="begin"/>
        </w:r>
        <w:r>
          <w:instrText xml:space="preserve"> PAGEREF _Toc24427 \h </w:instrText>
        </w:r>
        <w:r>
          <w:fldChar w:fldCharType="separate"/>
        </w:r>
        <w:r>
          <w:t>9</w:t>
        </w:r>
        <w:r>
          <w:fldChar w:fldCharType="end"/>
        </w:r>
      </w:hyperlink>
    </w:p>
    <w:p>
      <w:pPr>
        <w:pStyle w:val="TOC2"/>
        <w:tabs>
          <w:tab w:val="right" w:leader="dot" w:pos="8306"/>
        </w:tabs>
      </w:pPr>
      <w:hyperlink w:anchor="_Toc4981" w:history="1">
        <w:r>
          <w:rPr>
            <w:rFonts w:ascii="仿宋" w:eastAsia="仿宋" w:hAnsi="仿宋" w:cs="仿宋" w:hint="eastAsia"/>
            <w:lang w:eastAsia="zh-CN"/>
          </w:rPr>
          <w:t>(一)、非金属废料和碎屑行业分析</w:t>
        </w:r>
        <w:r>
          <w:tab/>
        </w:r>
        <w:r>
          <w:fldChar w:fldCharType="begin"/>
        </w:r>
        <w:r>
          <w:instrText xml:space="preserve"> PAGEREF _Toc4981 \h </w:instrText>
        </w:r>
        <w:r>
          <w:fldChar w:fldCharType="separate"/>
        </w:r>
        <w:r>
          <w:t>9</w:t>
        </w:r>
        <w:r>
          <w:fldChar w:fldCharType="end"/>
        </w:r>
      </w:hyperlink>
    </w:p>
    <w:p>
      <w:pPr>
        <w:pStyle w:val="TOC2"/>
        <w:tabs>
          <w:tab w:val="right" w:leader="dot" w:pos="8306"/>
        </w:tabs>
      </w:pPr>
      <w:hyperlink w:anchor="_Toc24083" w:history="1">
        <w:r>
          <w:rPr>
            <w:rFonts w:ascii="仿宋" w:eastAsia="仿宋" w:hAnsi="仿宋" w:cs="仿宋" w:hint="eastAsia"/>
            <w:lang w:eastAsia="zh-CN"/>
          </w:rPr>
          <w:t>(二)、非金属废料和碎屑市场分析预测</w:t>
        </w:r>
        <w:r>
          <w:tab/>
        </w:r>
        <w:r>
          <w:fldChar w:fldCharType="begin"/>
        </w:r>
        <w:r>
          <w:instrText xml:space="preserve"> PAGEREF _Toc24083 \h </w:instrText>
        </w:r>
        <w:r>
          <w:fldChar w:fldCharType="separate"/>
        </w:r>
        <w:r>
          <w:t>10</w:t>
        </w:r>
        <w:r>
          <w:fldChar w:fldCharType="end"/>
        </w:r>
      </w:hyperlink>
    </w:p>
    <w:p>
      <w:pPr>
        <w:pStyle w:val="TOC1"/>
        <w:tabs>
          <w:tab w:val="right" w:leader="dot" w:pos="8306"/>
        </w:tabs>
      </w:pPr>
      <w:hyperlink w:anchor="_Toc14838" w:history="1">
        <w:r>
          <w:rPr>
            <w:rFonts w:ascii="仿宋" w:eastAsia="仿宋" w:hAnsi="仿宋" w:cs="仿宋" w:hint="eastAsia"/>
            <w:lang w:eastAsia="zh-CN"/>
          </w:rPr>
          <w:t>四、产品规划分析</w:t>
        </w:r>
        <w:r>
          <w:tab/>
        </w:r>
        <w:r>
          <w:fldChar w:fldCharType="begin"/>
        </w:r>
        <w:r>
          <w:instrText xml:space="preserve"> PAGEREF _Toc14838 \h </w:instrText>
        </w:r>
        <w:r>
          <w:fldChar w:fldCharType="separate"/>
        </w:r>
        <w:r>
          <w:t>11</w:t>
        </w:r>
        <w:r>
          <w:fldChar w:fldCharType="end"/>
        </w:r>
      </w:hyperlink>
    </w:p>
    <w:p>
      <w:pPr>
        <w:pStyle w:val="TOC2"/>
        <w:tabs>
          <w:tab w:val="right" w:leader="dot" w:pos="8306"/>
        </w:tabs>
      </w:pPr>
      <w:hyperlink w:anchor="_Toc25410" w:history="1">
        <w:r>
          <w:rPr>
            <w:rFonts w:ascii="仿宋" w:eastAsia="仿宋" w:hAnsi="仿宋" w:cs="仿宋" w:hint="eastAsia"/>
            <w:lang w:eastAsia="zh-CN"/>
          </w:rPr>
          <w:t>(一)、产品规划</w:t>
        </w:r>
        <w:r>
          <w:tab/>
        </w:r>
        <w:r>
          <w:fldChar w:fldCharType="begin"/>
        </w:r>
        <w:r>
          <w:instrText xml:space="preserve"> PAGEREF _Toc25410 \h </w:instrText>
        </w:r>
        <w:r>
          <w:fldChar w:fldCharType="separate"/>
        </w:r>
        <w:r>
          <w:t>11</w:t>
        </w:r>
        <w:r>
          <w:fldChar w:fldCharType="end"/>
        </w:r>
      </w:hyperlink>
    </w:p>
    <w:p>
      <w:pPr>
        <w:pStyle w:val="TOC2"/>
        <w:tabs>
          <w:tab w:val="right" w:leader="dot" w:pos="8306"/>
        </w:tabs>
      </w:pPr>
      <w:hyperlink w:anchor="_Toc8176" w:history="1">
        <w:r>
          <w:rPr>
            <w:rFonts w:ascii="仿宋" w:eastAsia="仿宋" w:hAnsi="仿宋" w:cs="仿宋" w:hint="eastAsia"/>
            <w:lang w:eastAsia="zh-CN"/>
          </w:rPr>
          <w:t>(二)、建设规模</w:t>
        </w:r>
        <w:r>
          <w:tab/>
        </w:r>
        <w:r>
          <w:fldChar w:fldCharType="begin"/>
        </w:r>
        <w:r>
          <w:instrText xml:space="preserve"> PAGEREF _Toc8176 \h </w:instrText>
        </w:r>
        <w:r>
          <w:fldChar w:fldCharType="separate"/>
        </w:r>
        <w:r>
          <w:t>11</w:t>
        </w:r>
        <w:r>
          <w:fldChar w:fldCharType="end"/>
        </w:r>
      </w:hyperlink>
    </w:p>
    <w:p>
      <w:pPr>
        <w:pStyle w:val="TOC1"/>
        <w:tabs>
          <w:tab w:val="right" w:leader="dot" w:pos="8306"/>
        </w:tabs>
      </w:pPr>
      <w:hyperlink w:anchor="_Toc12773" w:history="1">
        <w:r>
          <w:rPr>
            <w:rFonts w:ascii="仿宋" w:eastAsia="仿宋" w:hAnsi="仿宋" w:cs="仿宋" w:hint="eastAsia"/>
            <w:lang w:eastAsia="zh-CN"/>
          </w:rPr>
          <w:t>五、工艺说明</w:t>
        </w:r>
        <w:r>
          <w:tab/>
        </w:r>
        <w:r>
          <w:fldChar w:fldCharType="begin"/>
        </w:r>
        <w:r>
          <w:instrText xml:space="preserve"> PAGEREF _Toc12773 \h </w:instrText>
        </w:r>
        <w:r>
          <w:fldChar w:fldCharType="separate"/>
        </w:r>
        <w:r>
          <w:t>13</w:t>
        </w:r>
        <w:r>
          <w:fldChar w:fldCharType="end"/>
        </w:r>
      </w:hyperlink>
    </w:p>
    <w:p>
      <w:pPr>
        <w:pStyle w:val="TOC2"/>
        <w:tabs>
          <w:tab w:val="right" w:leader="dot" w:pos="8306"/>
        </w:tabs>
      </w:pPr>
      <w:hyperlink w:anchor="_Toc3835" w:history="1">
        <w:r>
          <w:rPr>
            <w:rFonts w:ascii="仿宋" w:eastAsia="仿宋" w:hAnsi="仿宋" w:cs="仿宋" w:hint="eastAsia"/>
            <w:lang w:eastAsia="zh-CN"/>
          </w:rPr>
          <w:t>(一)、技术管理特点</w:t>
        </w:r>
        <w:r>
          <w:tab/>
        </w:r>
        <w:r>
          <w:fldChar w:fldCharType="begin"/>
        </w:r>
        <w:r>
          <w:instrText xml:space="preserve"> PAGEREF _Toc3835 \h </w:instrText>
        </w:r>
        <w:r>
          <w:fldChar w:fldCharType="separate"/>
        </w:r>
        <w:r>
          <w:t>13</w:t>
        </w:r>
        <w:r>
          <w:fldChar w:fldCharType="end"/>
        </w:r>
      </w:hyperlink>
    </w:p>
    <w:p>
      <w:pPr>
        <w:pStyle w:val="TOC2"/>
        <w:tabs>
          <w:tab w:val="right" w:leader="dot" w:pos="8306"/>
        </w:tabs>
      </w:pPr>
      <w:hyperlink w:anchor="_Toc15879" w:history="1">
        <w:r>
          <w:rPr>
            <w:rFonts w:ascii="仿宋" w:eastAsia="仿宋" w:hAnsi="仿宋" w:cs="仿宋" w:hint="eastAsia"/>
            <w:lang w:eastAsia="zh-CN"/>
          </w:rPr>
          <w:t>(二)、非金属废料和碎屑项目工艺技术设计方案</w:t>
        </w:r>
        <w:r>
          <w:tab/>
        </w:r>
        <w:r>
          <w:fldChar w:fldCharType="begin"/>
        </w:r>
        <w:r>
          <w:instrText xml:space="preserve"> PAGEREF _Toc15879 \h </w:instrText>
        </w:r>
        <w:r>
          <w:fldChar w:fldCharType="separate"/>
        </w:r>
        <w:r>
          <w:t>14</w:t>
        </w:r>
        <w:r>
          <w:fldChar w:fldCharType="end"/>
        </w:r>
      </w:hyperlink>
    </w:p>
    <w:p>
      <w:pPr>
        <w:pStyle w:val="TOC2"/>
        <w:tabs>
          <w:tab w:val="right" w:leader="dot" w:pos="8306"/>
        </w:tabs>
      </w:pPr>
      <w:hyperlink w:anchor="_Toc8299" w:history="1">
        <w:r>
          <w:rPr>
            <w:rFonts w:ascii="仿宋" w:eastAsia="仿宋" w:hAnsi="仿宋" w:cs="仿宋" w:hint="eastAsia"/>
            <w:lang w:eastAsia="zh-CN"/>
          </w:rPr>
          <w:t>(三)、设备选型方案</w:t>
        </w:r>
        <w:r>
          <w:tab/>
        </w:r>
        <w:r>
          <w:fldChar w:fldCharType="begin"/>
        </w:r>
        <w:r>
          <w:instrText xml:space="preserve"> PAGEREF _Toc8299 \h </w:instrText>
        </w:r>
        <w:r>
          <w:fldChar w:fldCharType="separate"/>
        </w:r>
        <w:r>
          <w:t>15</w:t>
        </w:r>
        <w:r>
          <w:fldChar w:fldCharType="end"/>
        </w:r>
      </w:hyperlink>
    </w:p>
    <w:p>
      <w:pPr>
        <w:pStyle w:val="TOC1"/>
        <w:tabs>
          <w:tab w:val="right" w:leader="dot" w:pos="8306"/>
        </w:tabs>
      </w:pPr>
      <w:hyperlink w:anchor="_Toc9051" w:history="1">
        <w:r>
          <w:rPr>
            <w:rFonts w:ascii="仿宋" w:eastAsia="仿宋" w:hAnsi="仿宋" w:cs="仿宋" w:hint="eastAsia"/>
            <w:lang w:eastAsia="zh-CN"/>
          </w:rPr>
          <w:t>六、非金属废料和碎屑项目建设单位说明</w:t>
        </w:r>
        <w:r>
          <w:tab/>
        </w:r>
        <w:r>
          <w:fldChar w:fldCharType="begin"/>
        </w:r>
        <w:r>
          <w:instrText xml:space="preserve"> PAGEREF _Toc9051 \h </w:instrText>
        </w:r>
        <w:r>
          <w:fldChar w:fldCharType="separate"/>
        </w:r>
        <w:r>
          <w:t>17</w:t>
        </w:r>
        <w:r>
          <w:fldChar w:fldCharType="end"/>
        </w:r>
      </w:hyperlink>
    </w:p>
    <w:p>
      <w:pPr>
        <w:pStyle w:val="TOC2"/>
        <w:tabs>
          <w:tab w:val="right" w:leader="dot" w:pos="8306"/>
        </w:tabs>
      </w:pPr>
      <w:hyperlink w:anchor="_Toc29219" w:history="1">
        <w:r>
          <w:rPr>
            <w:rFonts w:ascii="仿宋" w:eastAsia="仿宋" w:hAnsi="仿宋" w:cs="仿宋" w:hint="eastAsia"/>
            <w:lang w:eastAsia="zh-CN"/>
          </w:rPr>
          <w:t>(一)、非金属废料和碎屑项目承办单位基本情况</w:t>
        </w:r>
        <w:r>
          <w:tab/>
        </w:r>
        <w:r>
          <w:fldChar w:fldCharType="begin"/>
        </w:r>
        <w:r>
          <w:instrText xml:space="preserve"> PAGEREF _Toc29219 \h </w:instrText>
        </w:r>
        <w:r>
          <w:fldChar w:fldCharType="separate"/>
        </w:r>
        <w:r>
          <w:t>17</w:t>
        </w:r>
        <w:r>
          <w:fldChar w:fldCharType="end"/>
        </w:r>
      </w:hyperlink>
    </w:p>
    <w:p>
      <w:pPr>
        <w:pStyle w:val="TOC2"/>
        <w:tabs>
          <w:tab w:val="right" w:leader="dot" w:pos="8306"/>
        </w:tabs>
      </w:pPr>
      <w:hyperlink w:anchor="_Toc15662" w:history="1">
        <w:r>
          <w:rPr>
            <w:rFonts w:ascii="仿宋" w:eastAsia="仿宋" w:hAnsi="仿宋" w:cs="仿宋" w:hint="eastAsia"/>
            <w:lang w:eastAsia="zh-CN"/>
          </w:rPr>
          <w:t>(二)、公司经济效益分析</w:t>
        </w:r>
        <w:r>
          <w:tab/>
        </w:r>
        <w:r>
          <w:fldChar w:fldCharType="begin"/>
        </w:r>
        <w:r>
          <w:instrText xml:space="preserve"> PAGEREF _Toc15662 \h </w:instrText>
        </w:r>
        <w:r>
          <w:fldChar w:fldCharType="separate"/>
        </w:r>
        <w:r>
          <w:t>17</w:t>
        </w:r>
        <w:r>
          <w:fldChar w:fldCharType="end"/>
        </w:r>
      </w:hyperlink>
    </w:p>
    <w:p>
      <w:pPr>
        <w:pStyle w:val="TOC1"/>
        <w:tabs>
          <w:tab w:val="right" w:leader="dot" w:pos="8306"/>
        </w:tabs>
      </w:pPr>
      <w:hyperlink w:anchor="_Toc15189" w:history="1">
        <w:r>
          <w:rPr>
            <w:rFonts w:ascii="仿宋" w:eastAsia="仿宋" w:hAnsi="仿宋" w:cs="仿宋" w:hint="eastAsia"/>
            <w:lang w:eastAsia="zh-CN"/>
          </w:rPr>
          <w:t>七、非金属废料和碎屑项目财务管理</w:t>
        </w:r>
        <w:r>
          <w:tab/>
        </w:r>
        <w:r>
          <w:fldChar w:fldCharType="begin"/>
        </w:r>
        <w:r>
          <w:instrText xml:space="preserve"> PAGEREF _Toc15189 \h </w:instrText>
        </w:r>
        <w:r>
          <w:fldChar w:fldCharType="separate"/>
        </w:r>
        <w:r>
          <w:t>18</w:t>
        </w:r>
        <w:r>
          <w:fldChar w:fldCharType="end"/>
        </w:r>
      </w:hyperlink>
    </w:p>
    <w:p>
      <w:pPr>
        <w:pStyle w:val="TOC2"/>
        <w:tabs>
          <w:tab w:val="right" w:leader="dot" w:pos="8306"/>
        </w:tabs>
      </w:pPr>
      <w:hyperlink w:anchor="_Toc21175" w:history="1">
        <w:r>
          <w:rPr>
            <w:rFonts w:ascii="仿宋" w:eastAsia="仿宋" w:hAnsi="仿宋" w:cs="仿宋" w:hint="eastAsia"/>
            <w:lang w:eastAsia="zh-CN"/>
          </w:rPr>
          <w:t>(一)、资金需求大</w:t>
        </w:r>
        <w:r>
          <w:tab/>
        </w:r>
        <w:r>
          <w:fldChar w:fldCharType="begin"/>
        </w:r>
        <w:r>
          <w:instrText xml:space="preserve"> PAGEREF _Toc21175 \h </w:instrText>
        </w:r>
        <w:r>
          <w:fldChar w:fldCharType="separate"/>
        </w:r>
        <w:r>
          <w:t>18</w:t>
        </w:r>
        <w:r>
          <w:fldChar w:fldCharType="end"/>
        </w:r>
      </w:hyperlink>
    </w:p>
    <w:p>
      <w:pPr>
        <w:pStyle w:val="TOC2"/>
        <w:tabs>
          <w:tab w:val="right" w:leader="dot" w:pos="8306"/>
        </w:tabs>
      </w:pPr>
      <w:hyperlink w:anchor="_Toc2043" w:history="1">
        <w:r>
          <w:rPr>
            <w:rFonts w:ascii="仿宋" w:eastAsia="仿宋" w:hAnsi="仿宋" w:cs="仿宋" w:hint="eastAsia"/>
            <w:lang w:eastAsia="zh-CN"/>
          </w:rPr>
          <w:t>(二)、研发周期长</w:t>
        </w:r>
        <w:r>
          <w:tab/>
        </w:r>
        <w:r>
          <w:fldChar w:fldCharType="begin"/>
        </w:r>
        <w:r>
          <w:instrText xml:space="preserve"> PAGEREF _Toc2043 \h </w:instrText>
        </w:r>
        <w:r>
          <w:fldChar w:fldCharType="separate"/>
        </w:r>
        <w:r>
          <w:t>19</w:t>
        </w:r>
        <w:r>
          <w:fldChar w:fldCharType="end"/>
        </w:r>
      </w:hyperlink>
    </w:p>
    <w:p>
      <w:pPr>
        <w:pStyle w:val="TOC2"/>
        <w:tabs>
          <w:tab w:val="right" w:leader="dot" w:pos="8306"/>
        </w:tabs>
      </w:pPr>
      <w:hyperlink w:anchor="_Toc8994" w:history="1">
        <w:r>
          <w:rPr>
            <w:rFonts w:ascii="仿宋" w:eastAsia="仿宋" w:hAnsi="仿宋" w:cs="仿宋" w:hint="eastAsia"/>
            <w:lang w:eastAsia="zh-CN"/>
          </w:rPr>
          <w:t>(三)、市场风险大</w:t>
        </w:r>
        <w:r>
          <w:tab/>
        </w:r>
        <w:r>
          <w:fldChar w:fldCharType="begin"/>
        </w:r>
        <w:r>
          <w:instrText xml:space="preserve"> PAGEREF _Toc8994 \h </w:instrText>
        </w:r>
        <w:r>
          <w:fldChar w:fldCharType="separate"/>
        </w:r>
        <w:r>
          <w:t>21</w:t>
        </w:r>
        <w:r>
          <w:fldChar w:fldCharType="end"/>
        </w:r>
      </w:hyperlink>
    </w:p>
    <w:p>
      <w:pPr>
        <w:pStyle w:val="TOC2"/>
        <w:tabs>
          <w:tab w:val="right" w:leader="dot" w:pos="8306"/>
        </w:tabs>
      </w:pPr>
      <w:hyperlink w:anchor="_Toc22851" w:history="1">
        <w:r>
          <w:rPr>
            <w:rFonts w:ascii="仿宋" w:eastAsia="仿宋" w:hAnsi="仿宋" w:cs="仿宋" w:hint="eastAsia"/>
            <w:lang w:eastAsia="zh-CN"/>
          </w:rPr>
          <w:t>(四)、利润率高</w:t>
        </w:r>
        <w:r>
          <w:tab/>
        </w:r>
        <w:r>
          <w:fldChar w:fldCharType="begin"/>
        </w:r>
        <w:r>
          <w:instrText xml:space="preserve"> PAGEREF _Toc22851 \h </w:instrText>
        </w:r>
        <w:r>
          <w:fldChar w:fldCharType="separate"/>
        </w:r>
        <w:r>
          <w:t>23</w:t>
        </w:r>
        <w:r>
          <w:fldChar w:fldCharType="end"/>
        </w:r>
      </w:hyperlink>
    </w:p>
    <w:p>
      <w:pPr>
        <w:pStyle w:val="TOC1"/>
        <w:tabs>
          <w:tab w:val="right" w:leader="dot" w:pos="8306"/>
        </w:tabs>
      </w:pPr>
      <w:hyperlink w:anchor="_Toc14032" w:history="1">
        <w:r>
          <w:rPr>
            <w:rFonts w:ascii="仿宋" w:eastAsia="仿宋" w:hAnsi="仿宋" w:cs="仿宋" w:hint="eastAsia"/>
            <w:lang w:eastAsia="zh-CN"/>
          </w:rPr>
          <w:t>八、非金属废料和碎屑项目人力资源管理</w:t>
        </w:r>
        <w:r>
          <w:tab/>
        </w:r>
        <w:r>
          <w:fldChar w:fldCharType="begin"/>
        </w:r>
        <w:r>
          <w:instrText xml:space="preserve"> PAGEREF _Toc14032 \h </w:instrText>
        </w:r>
        <w:r>
          <w:fldChar w:fldCharType="separate"/>
        </w:r>
        <w:r>
          <w:t>26</w:t>
        </w:r>
        <w:r>
          <w:fldChar w:fldCharType="end"/>
        </w:r>
      </w:hyperlink>
    </w:p>
    <w:p>
      <w:pPr>
        <w:pStyle w:val="TOC2"/>
        <w:tabs>
          <w:tab w:val="right" w:leader="dot" w:pos="8306"/>
        </w:tabs>
      </w:pPr>
      <w:hyperlink w:anchor="_Toc6733" w:history="1">
        <w:r>
          <w:rPr>
            <w:rFonts w:ascii="仿宋" w:eastAsia="仿宋" w:hAnsi="仿宋" w:cs="仿宋" w:hint="eastAsia"/>
            <w:lang w:eastAsia="zh-CN"/>
          </w:rPr>
          <w:t>(一)、建立健全的预算管理制度</w:t>
        </w:r>
        <w:r>
          <w:tab/>
        </w:r>
        <w:r>
          <w:fldChar w:fldCharType="begin"/>
        </w:r>
        <w:r>
          <w:instrText xml:space="preserve"> PAGEREF _Toc6733 \h </w:instrText>
        </w:r>
        <w:r>
          <w:fldChar w:fldCharType="separate"/>
        </w:r>
        <w:r>
          <w:t>26</w:t>
        </w:r>
        <w:r>
          <w:fldChar w:fldCharType="end"/>
        </w:r>
      </w:hyperlink>
    </w:p>
    <w:p>
      <w:pPr>
        <w:pStyle w:val="TOC2"/>
        <w:tabs>
          <w:tab w:val="right" w:leader="dot" w:pos="8306"/>
        </w:tabs>
      </w:pPr>
      <w:hyperlink w:anchor="_Toc18326" w:history="1">
        <w:r>
          <w:rPr>
            <w:rFonts w:ascii="仿宋" w:eastAsia="仿宋" w:hAnsi="仿宋" w:cs="仿宋" w:hint="eastAsia"/>
            <w:lang w:eastAsia="zh-CN"/>
          </w:rPr>
          <w:t>(二)、加强资金流动监控</w:t>
        </w:r>
        <w:r>
          <w:tab/>
        </w:r>
        <w:r>
          <w:fldChar w:fldCharType="begin"/>
        </w:r>
        <w:r>
          <w:instrText xml:space="preserve"> PAGEREF _Toc18326 \h </w:instrText>
        </w:r>
        <w:r>
          <w:fldChar w:fldCharType="separate"/>
        </w:r>
        <w:r>
          <w:t>27</w:t>
        </w:r>
        <w:r>
          <w:fldChar w:fldCharType="end"/>
        </w:r>
      </w:hyperlink>
    </w:p>
    <w:p>
      <w:pPr>
        <w:pStyle w:val="TOC2"/>
        <w:tabs>
          <w:tab w:val="right" w:leader="dot" w:pos="8306"/>
        </w:tabs>
      </w:pPr>
      <w:hyperlink w:anchor="_Toc5101" w:history="1">
        <w:r>
          <w:rPr>
            <w:rFonts w:ascii="仿宋" w:eastAsia="仿宋" w:hAnsi="仿宋" w:cs="仿宋" w:hint="eastAsia"/>
            <w:lang w:eastAsia="zh-CN"/>
          </w:rPr>
          <w:t>(三)、制定完善的风险控制机制</w:t>
        </w:r>
        <w:r>
          <w:tab/>
        </w:r>
        <w:r>
          <w:fldChar w:fldCharType="begin"/>
        </w:r>
        <w:r>
          <w:instrText xml:space="preserve"> PAGEREF _Toc5101 \h </w:instrText>
        </w:r>
        <w:r>
          <w:fldChar w:fldCharType="separate"/>
        </w:r>
        <w:r>
          <w:t>29</w:t>
        </w:r>
        <w:r>
          <w:fldChar w:fldCharType="end"/>
        </w:r>
      </w:hyperlink>
    </w:p>
    <w:p>
      <w:pPr>
        <w:pStyle w:val="TOC2"/>
        <w:tabs>
          <w:tab w:val="right" w:leader="dot" w:pos="8306"/>
        </w:tabs>
      </w:pPr>
      <w:hyperlink w:anchor="_Toc24584" w:history="1">
        <w:r>
          <w:rPr>
            <w:rFonts w:ascii="仿宋" w:eastAsia="仿宋" w:hAnsi="仿宋" w:cs="仿宋" w:hint="eastAsia"/>
            <w:lang w:eastAsia="zh-CN"/>
          </w:rPr>
          <w:t>(四)、优化成本管理</w:t>
        </w:r>
        <w:r>
          <w:tab/>
        </w:r>
        <w:r>
          <w:fldChar w:fldCharType="begin"/>
        </w:r>
        <w:r>
          <w:instrText xml:space="preserve"> PAGEREF _Toc24584 \h </w:instrText>
        </w:r>
        <w:r>
          <w:fldChar w:fldCharType="separate"/>
        </w:r>
        <w:r>
          <w:t>30</w:t>
        </w:r>
        <w:r>
          <w:fldChar w:fldCharType="end"/>
        </w:r>
      </w:hyperlink>
    </w:p>
    <w:p>
      <w:pPr>
        <w:pStyle w:val="TOC1"/>
        <w:tabs>
          <w:tab w:val="right" w:leader="dot" w:pos="8306"/>
        </w:tabs>
      </w:pPr>
      <w:hyperlink w:anchor="_Toc8005" w:history="1">
        <w:r>
          <w:rPr>
            <w:rFonts w:ascii="仿宋" w:eastAsia="仿宋" w:hAnsi="仿宋" w:cs="仿宋" w:hint="eastAsia"/>
            <w:lang w:eastAsia="zh-CN"/>
          </w:rPr>
          <w:t>九、非金属废料和碎屑项目风险管理</w:t>
        </w:r>
        <w:r>
          <w:tab/>
        </w:r>
        <w:r>
          <w:fldChar w:fldCharType="begin"/>
        </w:r>
        <w:r>
          <w:instrText xml:space="preserve"> PAGEREF _Toc8005 \h </w:instrText>
        </w:r>
        <w:r>
          <w:fldChar w:fldCharType="separate"/>
        </w:r>
        <w:r>
          <w:t>31</w:t>
        </w:r>
        <w:r>
          <w:fldChar w:fldCharType="end"/>
        </w:r>
      </w:hyperlink>
    </w:p>
    <w:p>
      <w:pPr>
        <w:pStyle w:val="TOC2"/>
        <w:tabs>
          <w:tab w:val="right" w:leader="dot" w:pos="8306"/>
        </w:tabs>
      </w:pPr>
      <w:hyperlink w:anchor="_Toc4629" w:history="1">
        <w:r>
          <w:rPr>
            <w:rFonts w:ascii="仿宋" w:eastAsia="仿宋" w:hAnsi="仿宋" w:cs="仿宋" w:hint="eastAsia"/>
            <w:lang w:eastAsia="zh-CN"/>
          </w:rPr>
          <w:t>(一)、风险识别与评估</w:t>
        </w:r>
        <w:r>
          <w:tab/>
        </w:r>
        <w:r>
          <w:fldChar w:fldCharType="begin"/>
        </w:r>
        <w:r>
          <w:instrText xml:space="preserve"> PAGEREF _Toc4629 \h </w:instrText>
        </w:r>
        <w:r>
          <w:fldChar w:fldCharType="separate"/>
        </w:r>
        <w:r>
          <w:t>31</w:t>
        </w:r>
        <w:r>
          <w:fldChar w:fldCharType="end"/>
        </w:r>
      </w:hyperlink>
    </w:p>
    <w:p>
      <w:pPr>
        <w:pStyle w:val="TOC2"/>
        <w:tabs>
          <w:tab w:val="right" w:leader="dot" w:pos="8306"/>
        </w:tabs>
      </w:pPr>
      <w:hyperlink w:anchor="_Toc5753" w:history="1">
        <w:r>
          <w:rPr>
            <w:rFonts w:ascii="仿宋" w:eastAsia="仿宋" w:hAnsi="仿宋" w:cs="仿宋" w:hint="eastAsia"/>
            <w:lang w:eastAsia="zh-CN"/>
          </w:rPr>
          <w:t>(二)、风险应对策略</w:t>
        </w:r>
        <w:r>
          <w:tab/>
        </w:r>
        <w:r>
          <w:fldChar w:fldCharType="begin"/>
        </w:r>
        <w:r>
          <w:instrText xml:space="preserve"> PAGEREF _Toc5753 \h </w:instrText>
        </w:r>
        <w:r>
          <w:fldChar w:fldCharType="separate"/>
        </w:r>
        <w:r>
          <w:t>33</w:t>
        </w:r>
        <w:r>
          <w:fldChar w:fldCharType="end"/>
        </w:r>
      </w:hyperlink>
    </w:p>
    <w:p>
      <w:pPr>
        <w:pStyle w:val="TOC2"/>
        <w:tabs>
          <w:tab w:val="right" w:leader="dot" w:pos="8306"/>
        </w:tabs>
      </w:pPr>
      <w:hyperlink w:anchor="_Toc26493" w:history="1">
        <w:r>
          <w:rPr>
            <w:rFonts w:ascii="仿宋" w:eastAsia="仿宋" w:hAnsi="仿宋" w:cs="仿宋" w:hint="eastAsia"/>
            <w:lang w:eastAsia="zh-CN"/>
          </w:rPr>
          <w:t>(三)、风险监控与控制</w:t>
        </w:r>
        <w:r>
          <w:tab/>
        </w:r>
        <w:r>
          <w:fldChar w:fldCharType="begin"/>
        </w:r>
        <w:r>
          <w:instrText xml:space="preserve"> PAGEREF _Toc26493 \h </w:instrText>
        </w:r>
        <w:r>
          <w:fldChar w:fldCharType="separate"/>
        </w:r>
        <w:r>
          <w:t>34</w:t>
        </w:r>
        <w:r>
          <w:fldChar w:fldCharType="end"/>
        </w:r>
      </w:hyperlink>
    </w:p>
    <w:p>
      <w:pPr>
        <w:pStyle w:val="TOC1"/>
        <w:tabs>
          <w:tab w:val="right" w:leader="dot" w:pos="8306"/>
        </w:tabs>
      </w:pPr>
      <w:hyperlink w:anchor="_Toc15314" w:history="1">
        <w:r>
          <w:rPr>
            <w:rFonts w:ascii="仿宋" w:eastAsia="仿宋" w:hAnsi="仿宋" w:cs="仿宋" w:hint="eastAsia"/>
            <w:lang w:eastAsia="zh-CN"/>
          </w:rPr>
          <w:t>十、非金属废料和碎屑项目创新与研发</w:t>
        </w:r>
        <w:r>
          <w:tab/>
        </w:r>
        <w:r>
          <w:fldChar w:fldCharType="begin"/>
        </w:r>
        <w:r>
          <w:instrText xml:space="preserve"> PAGEREF _Toc15314 \h </w:instrText>
        </w:r>
        <w:r>
          <w:fldChar w:fldCharType="separate"/>
        </w:r>
        <w:r>
          <w:t>35</w:t>
        </w:r>
        <w:r>
          <w:fldChar w:fldCharType="end"/>
        </w:r>
      </w:hyperlink>
    </w:p>
    <w:p>
      <w:pPr>
        <w:pStyle w:val="TOC2"/>
        <w:tabs>
          <w:tab w:val="right" w:leader="dot" w:pos="8306"/>
        </w:tabs>
      </w:pPr>
      <w:hyperlink w:anchor="_Toc737" w:history="1">
        <w:r>
          <w:rPr>
            <w:rFonts w:ascii="仿宋" w:eastAsia="仿宋" w:hAnsi="仿宋" w:cs="仿宋" w:hint="eastAsia"/>
            <w:lang w:eastAsia="zh-CN"/>
          </w:rPr>
          <w:t>(一)、创新策略与方向</w:t>
        </w:r>
        <w:r>
          <w:tab/>
        </w:r>
        <w:r>
          <w:fldChar w:fldCharType="begin"/>
        </w:r>
        <w:r>
          <w:instrText xml:space="preserve"> PAGEREF _Toc737 \h </w:instrText>
        </w:r>
        <w:r>
          <w:fldChar w:fldCharType="separate"/>
        </w:r>
        <w:r>
          <w:t>35</w:t>
        </w:r>
        <w:r>
          <w:fldChar w:fldCharType="end"/>
        </w:r>
      </w:hyperlink>
    </w:p>
    <w:p>
      <w:pPr>
        <w:pStyle w:val="TOC2"/>
        <w:tabs>
          <w:tab w:val="right" w:leader="dot" w:pos="8306"/>
        </w:tabs>
      </w:pPr>
      <w:hyperlink w:anchor="_Toc21245" w:history="1">
        <w:r>
          <w:rPr>
            <w:rFonts w:ascii="仿宋" w:eastAsia="仿宋" w:hAnsi="仿宋" w:cs="仿宋" w:hint="eastAsia"/>
            <w:lang w:eastAsia="zh-CN"/>
          </w:rPr>
          <w:t>(二)、研发规划与投入</w:t>
        </w:r>
        <w:r>
          <w:tab/>
        </w:r>
        <w:r>
          <w:fldChar w:fldCharType="begin"/>
        </w:r>
        <w:r>
          <w:instrText xml:space="preserve"> PAGEREF _Toc21245 \h </w:instrText>
        </w:r>
        <w:r>
          <w:fldChar w:fldCharType="separate"/>
        </w:r>
        <w:r>
          <w:t>37</w:t>
        </w:r>
        <w:r>
          <w:fldChar w:fldCharType="end"/>
        </w:r>
      </w:hyperlink>
    </w:p>
    <w:p>
      <w:pPr>
        <w:pStyle w:val="TOC1"/>
        <w:tabs>
          <w:tab w:val="right" w:leader="dot" w:pos="8306"/>
        </w:tabs>
      </w:pPr>
      <w:hyperlink w:anchor="_Toc24196" w:history="1">
        <w:r>
          <w:rPr>
            <w:rFonts w:ascii="仿宋" w:eastAsia="仿宋" w:hAnsi="仿宋" w:cs="仿宋" w:hint="eastAsia"/>
            <w:lang w:eastAsia="zh-CN"/>
          </w:rPr>
          <w:t>十一、非金属废料和碎屑项目计划安排</w:t>
        </w:r>
        <w:r>
          <w:tab/>
        </w:r>
        <w:r>
          <w:fldChar w:fldCharType="begin"/>
        </w:r>
        <w:r>
          <w:instrText xml:space="preserve"> PAGEREF _Toc24196 \h </w:instrText>
        </w:r>
        <w:r>
          <w:fldChar w:fldCharType="separate"/>
        </w:r>
        <w:r>
          <w:t>39</w:t>
        </w:r>
        <w:r>
          <w:fldChar w:fldCharType="end"/>
        </w:r>
      </w:hyperlink>
    </w:p>
    <w:p>
      <w:pPr>
        <w:pStyle w:val="TOC2"/>
        <w:tabs>
          <w:tab w:val="right" w:leader="dot" w:pos="8306"/>
        </w:tabs>
      </w:pPr>
      <w:hyperlink w:anchor="_Toc17743" w:history="1">
        <w:r>
          <w:rPr>
            <w:rFonts w:ascii="仿宋" w:eastAsia="仿宋" w:hAnsi="仿宋" w:cs="仿宋" w:hint="eastAsia"/>
            <w:lang w:eastAsia="zh-CN"/>
          </w:rPr>
          <w:t>(一)、建设周期</w:t>
        </w:r>
        <w:r>
          <w:tab/>
        </w:r>
        <w:r>
          <w:fldChar w:fldCharType="begin"/>
        </w:r>
        <w:r>
          <w:instrText xml:space="preserve"> PAGEREF _Toc17743 \h </w:instrText>
        </w:r>
        <w:r>
          <w:fldChar w:fldCharType="separate"/>
        </w:r>
        <w:r>
          <w:t>39</w:t>
        </w:r>
        <w:r>
          <w:fldChar w:fldCharType="end"/>
        </w:r>
      </w:hyperlink>
    </w:p>
    <w:p>
      <w:pPr>
        <w:pStyle w:val="TOC2"/>
        <w:tabs>
          <w:tab w:val="right" w:leader="dot" w:pos="8306"/>
        </w:tabs>
      </w:pPr>
      <w:hyperlink w:anchor="_Toc15866" w:history="1">
        <w:r>
          <w:rPr>
            <w:rFonts w:ascii="仿宋" w:eastAsia="仿宋" w:hAnsi="仿宋" w:cs="仿宋" w:hint="eastAsia"/>
            <w:lang w:eastAsia="zh-CN"/>
          </w:rPr>
          <w:t>(二)、建设进度</w:t>
        </w:r>
        <w:r>
          <w:tab/>
        </w:r>
        <w:r>
          <w:fldChar w:fldCharType="begin"/>
        </w:r>
        <w:r>
          <w:instrText xml:space="preserve"> PAGEREF _Toc15866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7" w:history="1">
        <w:r>
          <w:rPr>
            <w:rFonts w:ascii="仿宋" w:eastAsia="仿宋" w:hAnsi="仿宋" w:cs="仿宋" w:hint="eastAsia"/>
            <w:lang w:eastAsia="zh-CN"/>
          </w:rPr>
          <w:t>(三)、进度安排注意事项</w:t>
        </w:r>
        <w:r>
          <w:tab/>
        </w:r>
        <w:r>
          <w:fldChar w:fldCharType="begin"/>
        </w:r>
        <w:r>
          <w:instrText xml:space="preserve"> PAGEREF _Toc12607 \h </w:instrText>
        </w:r>
        <w:r>
          <w:fldChar w:fldCharType="separate"/>
        </w:r>
        <w:r>
          <w:t>41</w:t>
        </w:r>
        <w:r>
          <w:fldChar w:fldCharType="end"/>
        </w:r>
      </w:hyperlink>
    </w:p>
    <w:p>
      <w:pPr>
        <w:pStyle w:val="TOC2"/>
        <w:tabs>
          <w:tab w:val="right" w:leader="dot" w:pos="8306"/>
        </w:tabs>
      </w:pPr>
      <w:hyperlink w:anchor="_Toc21075" w:history="1">
        <w:r>
          <w:rPr>
            <w:rFonts w:ascii="仿宋" w:eastAsia="仿宋" w:hAnsi="仿宋" w:cs="仿宋" w:hint="eastAsia"/>
            <w:lang w:eastAsia="zh-CN"/>
          </w:rPr>
          <w:t>(四)、人力资源配置</w:t>
        </w:r>
        <w:r>
          <w:tab/>
        </w:r>
        <w:r>
          <w:fldChar w:fldCharType="begin"/>
        </w:r>
        <w:r>
          <w:instrText xml:space="preserve"> PAGEREF _Toc21075 \h </w:instrText>
        </w:r>
        <w:r>
          <w:fldChar w:fldCharType="separate"/>
        </w:r>
        <w:r>
          <w:t>42</w:t>
        </w:r>
        <w:r>
          <w:fldChar w:fldCharType="end"/>
        </w:r>
      </w:hyperlink>
    </w:p>
    <w:p>
      <w:pPr>
        <w:pStyle w:val="TOC1"/>
        <w:tabs>
          <w:tab w:val="right" w:leader="dot" w:pos="8306"/>
        </w:tabs>
      </w:pPr>
      <w:hyperlink w:anchor="_Toc1635" w:history="1">
        <w:r>
          <w:rPr>
            <w:rFonts w:ascii="仿宋" w:eastAsia="仿宋" w:hAnsi="仿宋" w:cs="仿宋" w:hint="eastAsia"/>
            <w:lang w:eastAsia="zh-CN"/>
          </w:rPr>
          <w:t>十二、非金属废料和碎屑项目社会影响</w:t>
        </w:r>
        <w:r>
          <w:tab/>
        </w:r>
        <w:r>
          <w:fldChar w:fldCharType="begin"/>
        </w:r>
        <w:r>
          <w:instrText xml:space="preserve"> PAGEREF _Toc1635 \h </w:instrText>
        </w:r>
        <w:r>
          <w:fldChar w:fldCharType="separate"/>
        </w:r>
        <w:r>
          <w:t>43</w:t>
        </w:r>
        <w:r>
          <w:fldChar w:fldCharType="end"/>
        </w:r>
      </w:hyperlink>
    </w:p>
    <w:p>
      <w:pPr>
        <w:pStyle w:val="TOC2"/>
        <w:tabs>
          <w:tab w:val="right" w:leader="dot" w:pos="8306"/>
        </w:tabs>
      </w:pPr>
      <w:hyperlink w:anchor="_Toc19581" w:history="1">
        <w:r>
          <w:rPr>
            <w:rFonts w:ascii="仿宋" w:eastAsia="仿宋" w:hAnsi="仿宋" w:cs="仿宋" w:hint="eastAsia"/>
            <w:lang w:eastAsia="zh-CN"/>
          </w:rPr>
          <w:t>(一)、社会责任与义务</w:t>
        </w:r>
        <w:r>
          <w:tab/>
        </w:r>
        <w:r>
          <w:fldChar w:fldCharType="begin"/>
        </w:r>
        <w:r>
          <w:instrText xml:space="preserve"> PAGEREF _Toc19581 \h </w:instrText>
        </w:r>
        <w:r>
          <w:fldChar w:fldCharType="separate"/>
        </w:r>
        <w:r>
          <w:t>43</w:t>
        </w:r>
        <w:r>
          <w:fldChar w:fldCharType="end"/>
        </w:r>
      </w:hyperlink>
    </w:p>
    <w:p>
      <w:pPr>
        <w:pStyle w:val="TOC2"/>
        <w:tabs>
          <w:tab w:val="right" w:leader="dot" w:pos="8306"/>
        </w:tabs>
      </w:pPr>
      <w:hyperlink w:anchor="_Toc6847" w:history="1">
        <w:r>
          <w:rPr>
            <w:rFonts w:ascii="仿宋" w:eastAsia="仿宋" w:hAnsi="仿宋" w:cs="仿宋" w:hint="eastAsia"/>
            <w:lang w:eastAsia="zh-CN"/>
          </w:rPr>
          <w:t>(二)、社会参与与沟通</w:t>
        </w:r>
        <w:r>
          <w:tab/>
        </w:r>
        <w:r>
          <w:fldChar w:fldCharType="begin"/>
        </w:r>
        <w:r>
          <w:instrText xml:space="preserve"> PAGEREF _Toc6847 \h </w:instrText>
        </w:r>
        <w:r>
          <w:fldChar w:fldCharType="separate"/>
        </w:r>
        <w:r>
          <w:t>44</w:t>
        </w:r>
        <w:r>
          <w:fldChar w:fldCharType="end"/>
        </w:r>
      </w:hyperlink>
    </w:p>
    <w:p>
      <w:pPr>
        <w:pStyle w:val="TOC1"/>
        <w:tabs>
          <w:tab w:val="right" w:leader="dot" w:pos="8306"/>
        </w:tabs>
      </w:pPr>
      <w:hyperlink w:anchor="_Toc14333" w:history="1">
        <w:r>
          <w:rPr>
            <w:rFonts w:ascii="仿宋" w:eastAsia="仿宋" w:hAnsi="仿宋" w:cs="仿宋" w:hint="eastAsia"/>
            <w:lang w:eastAsia="zh-CN"/>
          </w:rPr>
          <w:t>十三、非金属废料和碎屑项目工程方案分析</w:t>
        </w:r>
        <w:r>
          <w:tab/>
        </w:r>
        <w:r>
          <w:fldChar w:fldCharType="begin"/>
        </w:r>
        <w:r>
          <w:instrText xml:space="preserve"> PAGEREF _Toc14333 \h </w:instrText>
        </w:r>
        <w:r>
          <w:fldChar w:fldCharType="separate"/>
        </w:r>
        <w:r>
          <w:t>45</w:t>
        </w:r>
        <w:r>
          <w:fldChar w:fldCharType="end"/>
        </w:r>
      </w:hyperlink>
    </w:p>
    <w:p>
      <w:pPr>
        <w:pStyle w:val="TOC2"/>
        <w:tabs>
          <w:tab w:val="right" w:leader="dot" w:pos="8306"/>
        </w:tabs>
      </w:pPr>
      <w:hyperlink w:anchor="_Toc19238" w:history="1">
        <w:r>
          <w:rPr>
            <w:rFonts w:ascii="仿宋" w:eastAsia="仿宋" w:hAnsi="仿宋" w:cs="仿宋" w:hint="eastAsia"/>
            <w:lang w:eastAsia="zh-CN"/>
          </w:rPr>
          <w:t>(一)、建筑工程设计原则</w:t>
        </w:r>
        <w:r>
          <w:tab/>
        </w:r>
        <w:r>
          <w:fldChar w:fldCharType="begin"/>
        </w:r>
        <w:r>
          <w:instrText xml:space="preserve"> PAGEREF _Toc19238 \h </w:instrText>
        </w:r>
        <w:r>
          <w:fldChar w:fldCharType="separate"/>
        </w:r>
        <w:r>
          <w:t>45</w:t>
        </w:r>
        <w:r>
          <w:fldChar w:fldCharType="end"/>
        </w:r>
      </w:hyperlink>
    </w:p>
    <w:p>
      <w:pPr>
        <w:pStyle w:val="TOC2"/>
        <w:tabs>
          <w:tab w:val="right" w:leader="dot" w:pos="8306"/>
        </w:tabs>
      </w:pPr>
      <w:hyperlink w:anchor="_Toc2095" w:history="1">
        <w:r>
          <w:rPr>
            <w:rFonts w:ascii="仿宋" w:eastAsia="仿宋" w:hAnsi="仿宋" w:cs="仿宋" w:hint="eastAsia"/>
            <w:lang w:eastAsia="zh-CN"/>
          </w:rPr>
          <w:t>(二)、土建工程建设指标</w:t>
        </w:r>
        <w:r>
          <w:tab/>
        </w:r>
        <w:r>
          <w:fldChar w:fldCharType="begin"/>
        </w:r>
        <w:r>
          <w:instrText xml:space="preserve"> PAGEREF _Toc2095 \h </w:instrText>
        </w:r>
        <w:r>
          <w:fldChar w:fldCharType="separate"/>
        </w:r>
        <w:r>
          <w:t>48</w:t>
        </w:r>
        <w:r>
          <w:fldChar w:fldCharType="end"/>
        </w:r>
      </w:hyperlink>
    </w:p>
    <w:p>
      <w:pPr>
        <w:pStyle w:val="TOC1"/>
        <w:tabs>
          <w:tab w:val="right" w:leader="dot" w:pos="8306"/>
        </w:tabs>
      </w:pPr>
      <w:hyperlink w:anchor="_Toc2039" w:history="1">
        <w:r>
          <w:rPr>
            <w:rFonts w:ascii="仿宋" w:eastAsia="仿宋" w:hAnsi="仿宋" w:cs="仿宋" w:hint="eastAsia"/>
            <w:lang w:eastAsia="zh-CN"/>
          </w:rPr>
          <w:t>十四、非金属废料和碎屑项目治理与监督</w:t>
        </w:r>
        <w:r>
          <w:tab/>
        </w:r>
        <w:r>
          <w:fldChar w:fldCharType="begin"/>
        </w:r>
        <w:r>
          <w:instrText xml:space="preserve"> PAGEREF _Toc2039 \h </w:instrText>
        </w:r>
        <w:r>
          <w:fldChar w:fldCharType="separate"/>
        </w:r>
        <w:r>
          <w:t>50</w:t>
        </w:r>
        <w:r>
          <w:fldChar w:fldCharType="end"/>
        </w:r>
      </w:hyperlink>
    </w:p>
    <w:p>
      <w:pPr>
        <w:pStyle w:val="TOC2"/>
        <w:tabs>
          <w:tab w:val="right" w:leader="dot" w:pos="8306"/>
        </w:tabs>
      </w:pPr>
      <w:hyperlink w:anchor="_Toc21668" w:history="1">
        <w:r>
          <w:rPr>
            <w:rFonts w:ascii="仿宋" w:eastAsia="仿宋" w:hAnsi="仿宋" w:cs="仿宋" w:hint="eastAsia"/>
            <w:lang w:eastAsia="zh-CN"/>
          </w:rPr>
          <w:t>(一)、非金属废料和碎屑项目治理结构</w:t>
        </w:r>
        <w:r>
          <w:tab/>
        </w:r>
        <w:r>
          <w:fldChar w:fldCharType="begin"/>
        </w:r>
        <w:r>
          <w:instrText xml:space="preserve"> PAGEREF _Toc21668 \h </w:instrText>
        </w:r>
        <w:r>
          <w:fldChar w:fldCharType="separate"/>
        </w:r>
        <w:r>
          <w:t>50</w:t>
        </w:r>
        <w:r>
          <w:fldChar w:fldCharType="end"/>
        </w:r>
      </w:hyperlink>
    </w:p>
    <w:p>
      <w:pPr>
        <w:pStyle w:val="TOC2"/>
        <w:tabs>
          <w:tab w:val="right" w:leader="dot" w:pos="8306"/>
        </w:tabs>
      </w:pPr>
      <w:hyperlink w:anchor="_Toc30853" w:history="1">
        <w:r>
          <w:rPr>
            <w:rFonts w:ascii="仿宋" w:eastAsia="仿宋" w:hAnsi="仿宋" w:cs="仿宋" w:hint="eastAsia"/>
            <w:lang w:eastAsia="zh-CN"/>
          </w:rPr>
          <w:t>(二)、监督与审计</w:t>
        </w:r>
        <w:r>
          <w:tab/>
        </w:r>
        <w:r>
          <w:fldChar w:fldCharType="begin"/>
        </w:r>
        <w:r>
          <w:instrText xml:space="preserve"> PAGEREF _Toc30853 \h </w:instrText>
        </w:r>
        <w:r>
          <w:fldChar w:fldCharType="separate"/>
        </w:r>
        <w:r>
          <w:t>51</w:t>
        </w:r>
        <w:r>
          <w:fldChar w:fldCharType="end"/>
        </w:r>
      </w:hyperlink>
    </w:p>
    <w:p>
      <w:pPr>
        <w:pStyle w:val="TOC1"/>
        <w:tabs>
          <w:tab w:val="right" w:leader="dot" w:pos="8306"/>
        </w:tabs>
      </w:pPr>
      <w:hyperlink w:anchor="_Toc25946" w:history="1">
        <w:r>
          <w:rPr>
            <w:rFonts w:ascii="仿宋" w:eastAsia="仿宋" w:hAnsi="仿宋" w:cs="仿宋" w:hint="eastAsia"/>
            <w:lang w:eastAsia="zh-CN"/>
          </w:rPr>
          <w:t>十五、质量管理体系</w:t>
        </w:r>
        <w:r>
          <w:tab/>
        </w:r>
        <w:r>
          <w:fldChar w:fldCharType="begin"/>
        </w:r>
        <w:r>
          <w:instrText xml:space="preserve"> PAGEREF _Toc25946 \h </w:instrText>
        </w:r>
        <w:r>
          <w:fldChar w:fldCharType="separate"/>
        </w:r>
        <w:r>
          <w:t>53</w:t>
        </w:r>
        <w:r>
          <w:fldChar w:fldCharType="end"/>
        </w:r>
      </w:hyperlink>
    </w:p>
    <w:p>
      <w:pPr>
        <w:pStyle w:val="TOC2"/>
        <w:tabs>
          <w:tab w:val="right" w:leader="dot" w:pos="8306"/>
        </w:tabs>
      </w:pPr>
      <w:hyperlink w:anchor="_Toc29409" w:history="1">
        <w:r>
          <w:rPr>
            <w:rFonts w:ascii="仿宋" w:eastAsia="仿宋" w:hAnsi="仿宋" w:cs="仿宋" w:hint="eastAsia"/>
            <w:lang w:eastAsia="zh-CN"/>
          </w:rPr>
          <w:t>(一)、质量目标与方针</w:t>
        </w:r>
        <w:r>
          <w:tab/>
        </w:r>
        <w:r>
          <w:fldChar w:fldCharType="begin"/>
        </w:r>
        <w:r>
          <w:instrText xml:space="preserve"> PAGEREF _Toc29409 \h </w:instrText>
        </w:r>
        <w:r>
          <w:fldChar w:fldCharType="separate"/>
        </w:r>
        <w:r>
          <w:t>53</w:t>
        </w:r>
        <w:r>
          <w:fldChar w:fldCharType="end"/>
        </w:r>
      </w:hyperlink>
    </w:p>
    <w:p>
      <w:pPr>
        <w:pStyle w:val="TOC2"/>
        <w:tabs>
          <w:tab w:val="right" w:leader="dot" w:pos="8306"/>
        </w:tabs>
      </w:pPr>
      <w:hyperlink w:anchor="_Toc30185" w:history="1">
        <w:r>
          <w:rPr>
            <w:rFonts w:ascii="仿宋" w:eastAsia="仿宋" w:hAnsi="仿宋" w:cs="仿宋" w:hint="eastAsia"/>
            <w:lang w:eastAsia="zh-CN"/>
          </w:rPr>
          <w:t>(二)、质量管理责任</w:t>
        </w:r>
        <w:r>
          <w:tab/>
        </w:r>
        <w:r>
          <w:fldChar w:fldCharType="begin"/>
        </w:r>
        <w:r>
          <w:instrText xml:space="preserve"> PAGEREF _Toc30185 \h </w:instrText>
        </w:r>
        <w:r>
          <w:fldChar w:fldCharType="separate"/>
        </w:r>
        <w:r>
          <w:t>54</w:t>
        </w:r>
        <w:r>
          <w:fldChar w:fldCharType="end"/>
        </w:r>
      </w:hyperlink>
    </w:p>
    <w:p>
      <w:pPr>
        <w:pStyle w:val="TOC2"/>
        <w:tabs>
          <w:tab w:val="right" w:leader="dot" w:pos="8306"/>
        </w:tabs>
      </w:pPr>
      <w:hyperlink w:anchor="_Toc13031" w:history="1">
        <w:r>
          <w:rPr>
            <w:rFonts w:ascii="仿宋" w:eastAsia="仿宋" w:hAnsi="仿宋" w:cs="仿宋" w:hint="eastAsia"/>
            <w:lang w:eastAsia="zh-CN"/>
          </w:rPr>
          <w:t>(三)、质量管理体系文件</w:t>
        </w:r>
        <w:r>
          <w:tab/>
        </w:r>
        <w:r>
          <w:fldChar w:fldCharType="begin"/>
        </w:r>
        <w:r>
          <w:instrText xml:space="preserve"> PAGEREF _Toc13031 \h </w:instrText>
        </w:r>
        <w:r>
          <w:fldChar w:fldCharType="separate"/>
        </w:r>
        <w:r>
          <w:t>55</w:t>
        </w:r>
        <w:r>
          <w:fldChar w:fldCharType="end"/>
        </w:r>
      </w:hyperlink>
    </w:p>
    <w:p>
      <w:pPr>
        <w:pStyle w:val="TOC2"/>
        <w:tabs>
          <w:tab w:val="right" w:leader="dot" w:pos="8306"/>
        </w:tabs>
      </w:pPr>
      <w:hyperlink w:anchor="_Toc3800" w:history="1">
        <w:r>
          <w:rPr>
            <w:rFonts w:ascii="仿宋" w:eastAsia="仿宋" w:hAnsi="仿宋" w:cs="仿宋" w:hint="eastAsia"/>
            <w:lang w:eastAsia="zh-CN"/>
          </w:rPr>
          <w:t>(四)、质量培训与教育</w:t>
        </w:r>
        <w:r>
          <w:tab/>
        </w:r>
        <w:r>
          <w:fldChar w:fldCharType="begin"/>
        </w:r>
        <w:r>
          <w:instrText xml:space="preserve"> PAGEREF _Toc3800 \h </w:instrText>
        </w:r>
        <w:r>
          <w:fldChar w:fldCharType="separate"/>
        </w:r>
        <w:r>
          <w:t>57</w:t>
        </w:r>
        <w:r>
          <w:fldChar w:fldCharType="end"/>
        </w:r>
      </w:hyperlink>
    </w:p>
    <w:p>
      <w:pPr>
        <w:pStyle w:val="TOC2"/>
        <w:tabs>
          <w:tab w:val="right" w:leader="dot" w:pos="8306"/>
        </w:tabs>
      </w:pPr>
      <w:hyperlink w:anchor="_Toc21178" w:history="1">
        <w:r>
          <w:rPr>
            <w:rFonts w:ascii="仿宋" w:eastAsia="仿宋" w:hAnsi="仿宋" w:cs="仿宋" w:hint="eastAsia"/>
            <w:lang w:eastAsia="zh-CN"/>
          </w:rPr>
          <w:t>(五)、质量审核与评价</w:t>
        </w:r>
        <w:r>
          <w:tab/>
        </w:r>
        <w:r>
          <w:fldChar w:fldCharType="begin"/>
        </w:r>
        <w:r>
          <w:instrText xml:space="preserve"> PAGEREF _Toc21178 \h </w:instrText>
        </w:r>
        <w:r>
          <w:fldChar w:fldCharType="separate"/>
        </w:r>
        <w:r>
          <w:t>58</w:t>
        </w:r>
        <w:r>
          <w:fldChar w:fldCharType="end"/>
        </w:r>
      </w:hyperlink>
    </w:p>
    <w:p>
      <w:pPr>
        <w:pStyle w:val="TOC2"/>
        <w:tabs>
          <w:tab w:val="right" w:leader="dot" w:pos="8306"/>
        </w:tabs>
      </w:pPr>
      <w:hyperlink w:anchor="_Toc3752" w:history="1">
        <w:r>
          <w:rPr>
            <w:rFonts w:ascii="仿宋" w:eastAsia="仿宋" w:hAnsi="仿宋" w:cs="仿宋" w:hint="eastAsia"/>
            <w:lang w:eastAsia="zh-CN"/>
          </w:rPr>
          <w:t>(六)、不符合与纠正措施</w:t>
        </w:r>
        <w:r>
          <w:tab/>
        </w:r>
        <w:r>
          <w:fldChar w:fldCharType="begin"/>
        </w:r>
        <w:r>
          <w:instrText xml:space="preserve"> PAGEREF _Toc3752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54"/>
      <w:r>
        <w:rPr>
          <w:rFonts w:ascii="仿宋" w:eastAsia="仿宋" w:hAnsi="仿宋" w:cs="仿宋" w:hint="eastAsia"/>
          <w:sz w:val="28"/>
          <w:lang w:eastAsia="zh-CN"/>
        </w:rPr>
        <w:t>一、非金属废料和碎屑项目绩效评估</w:t>
      </w:r>
      <w:bookmarkEnd w:id="2"/>
    </w:p>
    <w:p>
      <w:pPr>
        <w:pStyle w:val="Heading2"/>
        <w:rPr>
          <w:rFonts w:ascii="仿宋" w:eastAsia="仿宋" w:hAnsi="仿宋" w:cs="仿宋" w:hint="eastAsia"/>
          <w:lang w:eastAsia="zh-CN"/>
        </w:rPr>
      </w:pPr>
      <w:bookmarkStart w:id="3" w:name="_Toc84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废料和碎屑项目中，我们设计了一套全面的绩效评估指标，以确保非金属废料和碎屑项目的可控和成功交付。这些指标跨足非金属废料和碎屑项目目标、成本、进度和质量等多个维度，为我们提供了全面洞察非金属废料和碎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目标达成率是我们关注的首要指标。我们设定了明确的目标，并通过定期监测和评估，迅速发现并应对潜在的目标偏差。这为非金属废料和碎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成本绩效是另一个核心关注点。通过实际成本与预算成本的对比分析，我们深入了解成本差异的原因，及时调整资源分配，保持非金属废料和碎屑项目在经济效益方面的合理水平。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进度作为关键的绩效指标之一，得到了精心的关注。我们制定了详细的非金属废料和碎屑项目进度计划，并设立了进度符合度指标，确保实际进度与计划进度保持一致。这使我们能够快速发现和解决潜在的进度问题，保持非金属废料和碎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金属废料和碎屑项目绩效的不可或缺的一环。我们引入了一系列的质量标准和客户满意度指标，以确保非金属废料和碎屑项目交付的成果在质量上达到或超越预期水平。通过持续监测这些指标，我们努力提升非金属废料和碎屑项目整体质量水平，为非金属废料和碎屑项目的成功交付提供有力保障。通过这些科学且全面的绩效评估，我们能够更好地引导非金属废料和碎屑项目的持续改进，确保非金属废料和碎屑项目目标的顺利达成。</w:t>
      </w:r>
    </w:p>
    <w:p>
      <w:pPr>
        <w:pStyle w:val="Heading2"/>
        <w:ind w:firstLine="560" w:firstLineChars="200"/>
        <w:rPr>
          <w:rFonts w:ascii="仿宋" w:eastAsia="仿宋" w:hAnsi="仿宋" w:cs="仿宋" w:hint="eastAsia"/>
          <w:sz w:val="28"/>
          <w:lang w:eastAsia="zh-CN"/>
        </w:rPr>
      </w:pPr>
      <w:bookmarkStart w:id="4" w:name="_Toc1388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绩效评估是非金属废料和碎屑项目中的关键环节，为确保非金属废料和碎屑项目达到预期目标，我们采用了多层次、多维度的绩效评估方法。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金属废料和碎屑项目的战略目标对齐，确保每个决策和行动都与非金属废料和碎屑项目整体目标保持一致。团队会定期召开战略对齐会议，审视当前工作与非金属废料和碎屑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金属废料和碎屑项目进度、质量、成本和风险等方面。这些指标通过数据收集和分析，为非金属废料和碎屑项目管理团队提供了客观的评估依据。例如，我们通过非金属废料和碎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金属废料和碎屑项目内部，还考虑了非金属废料和碎屑项目对外部环境的影响。我们定期进行干系人满意度调查，以了解各利益相关方对非金属废料和碎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这种多层次、多角度的绩效评估方法，使得我们能够全面了解非金属废料和碎屑项目的运行状态，及时做出调整，确保非金属废料和碎屑项目在不断变化的环境中保持稳健前行。</w:t>
      </w:r>
    </w:p>
    <w:p>
      <w:pPr>
        <w:pStyle w:val="Heading2"/>
        <w:ind w:firstLine="560" w:firstLineChars="200"/>
        <w:rPr>
          <w:rFonts w:ascii="仿宋" w:eastAsia="仿宋" w:hAnsi="仿宋" w:cs="仿宋" w:hint="eastAsia"/>
          <w:sz w:val="28"/>
          <w:lang w:eastAsia="zh-CN"/>
        </w:rPr>
      </w:pPr>
      <w:bookmarkStart w:id="5" w:name="_Toc81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为了确保非金属废料和碎屑项目的有效管理和不断优化，我们采用了精心设计的绩效评估周期。这个周期旨在实现灵活、实时和全面的评估，以适应非金属废料和碎屑项目执行中的各种挑战。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金属废料和碎屑项目的不同需求，分为短期、中期和长期。短期评估关注每个迭代或工作周期，以及时发现和解决当前任务中的问题。中期评估涵盖几个迭代，深入了解整体非金属废料和碎屑项目的趋势和性能。长期评估则着眼于整个非金属废料和碎屑项目阶段，确保非金属废料和碎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金属废料和碎屑项目管理工具和协作平台，团队成员能够随时更新和分享非金属废料和碎屑项目数据。这种实时性的反馈机制使我们能够及时察觉潜在问题，快速调整，保持非金属废料和碎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非金属废料和碎屑项目的决策制定密不可分。每个周期的非金属废料和碎屑项目回顾会议成为集体总结经验、识别问题深层次原因并找到创新解决方案的平台。这种定期的反思与调整机制使非金属废料和碎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930"/>
      <w:r>
        <w:rPr>
          <w:rFonts w:ascii="仿宋" w:eastAsia="仿宋" w:hAnsi="仿宋" w:cs="仿宋" w:hint="eastAsia"/>
          <w:sz w:val="28"/>
          <w:lang w:eastAsia="zh-CN"/>
        </w:rPr>
        <w:t>二、非金属废料和碎屑项目危机管理</w:t>
      </w:r>
      <w:bookmarkEnd w:id="6"/>
    </w:p>
    <w:p>
      <w:pPr>
        <w:pStyle w:val="Heading2"/>
        <w:rPr>
          <w:rFonts w:ascii="仿宋" w:eastAsia="仿宋" w:hAnsi="仿宋" w:cs="仿宋" w:hint="eastAsia"/>
          <w:lang w:eastAsia="zh-CN"/>
        </w:rPr>
      </w:pPr>
      <w:bookmarkStart w:id="7" w:name="_Toc1319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废料和碎屑项目危机管理中，危机预警与识别是确保非金属废料和碎屑项目稳健运行的核心步骤。通过建立全面的监测机制，非金属废料和碎屑项目团队旨在及时发现和理解潜在的风险和危机因素，以便采取及时的预防和应对措施，确保非金属废料和碎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金属废料和碎屑项目团队全面分析了整个非金属废料和碎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金属废料和碎屑项目团队着重于明确定义非金属废料和碎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金属废料和碎屑项目进展的持续监控，团队能够及时发现潜在问题并作出迅速反应。非金属废料和碎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在这一阶段，团队的专业素养和反应速度将发挥至关重要的作用，以确保潜在危机能够在初期得到有效的处理，最大程度地减轻负面影响。通过危机预警与识别，非金属废料和碎屑项目得以更有序、可控地推进。</w:t>
      </w:r>
    </w:p>
    <w:p>
      <w:pPr>
        <w:pStyle w:val="Heading2"/>
        <w:ind w:firstLine="560" w:firstLineChars="200"/>
        <w:rPr>
          <w:rFonts w:ascii="仿宋" w:eastAsia="仿宋" w:hAnsi="仿宋" w:cs="仿宋" w:hint="eastAsia"/>
          <w:sz w:val="28"/>
          <w:lang w:eastAsia="zh-CN"/>
        </w:rPr>
      </w:pPr>
      <w:bookmarkStart w:id="8" w:name="_Toc918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在危机发生时，非金属废料和碎屑项目团队立即行动，成立了应急小组。该小组的任务是迅速制定并实施紧急应对措施，以最小化潜在损失。以下是采取的主要措施：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暂停非金属废料和碎屑项目进度：为遏制危机蔓延，非金属废料和碎屑项目暂时停止进行，以便全面评估当前状况。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资源重新分配：重新评估非金属废料和碎屑项目资源的分配，确保最大限度地减小损失。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实时沟通：与关键利益相关者建立实时沟通机制，向他们传递非金属废料和碎屑项目危机的实际状况，保障非金属废料和碎屑项目核心利益。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在紧急应对的同时，非金属废料和碎屑项目团队强调了团队协作和有效沟通的重要性。以下是团队协作的关键举措：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信息共享机制：建立了信息共享平台，确保团队成员能够及时获取非金属废料和碎屑项目危机的实时信息。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领导者沟通：非金属废料和碎屑项目领导者通过定期会议和即时沟通工具，指导团队应对危机，保持团队稳定运行。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随着危机得到初步控制，非金属废料和碎屑项目团队转向制定恢复计划，以确保非金属废料和碎屑项目能够从中迅速恢复。主要恢复计划包括：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修复受损的进度计划：重新评估非金属废料和碎屑项目进度，制定修复计划，确保非金属废料和碎屑项目尽快回归正常进程。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重新调整资源分配：优化资源分配，确保非金属废料和碎屑项目在有限资源下高效运转。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风险管理机制加强：对非金属废料和碎屑项目风险进行全面评估，制定更强化的风险管理策略，以预防未来可能的危机。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442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981"/>
      <w:r>
        <w:rPr>
          <w:rFonts w:ascii="仿宋" w:eastAsia="仿宋" w:hAnsi="仿宋" w:cs="仿宋" w:hint="eastAsia"/>
          <w:lang w:eastAsia="zh-CN"/>
        </w:rPr>
        <w:t>(一)、非金属废料和碎屑行业分析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行业一直以来都是市场的关注焦点。行业内的发展趋势、竞争态势以及潜在机会都对非金属废料和碎屑项目的推进产生深远的影响。通过深入研究行业的整体概貌，我们将更好地理解行业的核心特征，为非金属废料和碎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废料和碎屑行业，技术一直是推动创新和发展的关键因素。我们将对当前技术趋势进行详尽分析，包括但不限于人工智能、大数据应用、先进制造技术等。这有助于非金属废料和碎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金属废料和碎屑项目成功的基础。我们将对主要竞争对手进行深入研究，包括其市场份额、产品特点、市场定位等。通过全面了解竞争对手的优势和劣势，非金属废料和碎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4083"/>
      <w:r>
        <w:rPr>
          <w:rFonts w:ascii="仿宋" w:eastAsia="仿宋" w:hAnsi="仿宋" w:cs="仿宋" w:hint="eastAsia"/>
          <w:sz w:val="28"/>
          <w:lang w:eastAsia="zh-CN"/>
        </w:rPr>
        <w:t>(二)、非金属废料和碎屑市场分析预测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金属废料和碎屑市场未来的增长趋势。这包括市场的整体规模、各细分领域的发展趋势等。非金属废料和碎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金属废料和碎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非金属废料和碎屑项目实施过程中需要充分考虑的因素。我们将对市场风险进行全面评估，包括但不限于政策法规风险、市场竞争风险、技术变革风险等。通过对潜在风险的深入分析，非金属废料和碎屑项目可以制定相应的风险缓解策略，降低不确定性对非金属废料和碎屑项目的影响。</w:t>
      </w:r>
    </w:p>
    <w:p>
      <w:pPr>
        <w:pStyle w:val="Heading1"/>
        <w:ind w:firstLine="560" w:firstLineChars="200"/>
        <w:rPr>
          <w:rFonts w:ascii="仿宋" w:eastAsia="仿宋" w:hAnsi="仿宋" w:cs="仿宋" w:hint="eastAsia"/>
          <w:sz w:val="28"/>
          <w:lang w:eastAsia="zh-CN"/>
        </w:rPr>
      </w:pPr>
      <w:bookmarkStart w:id="12" w:name="_Toc1483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541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非金属废料和碎屑项目的主要产品是XXXX，预计年产值为XXX万元。这一产品在市场中占据着重要的地位，其广泛的应用范围使得该非金属废料和碎屑项目的市场前景非常广阔。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金属废料和碎屑项目的xxx产品作为重要的原材料之一，将在多个领域发挥关键作用。其在建筑、交通、能源等方面的广泛应用将为整个产业链提供强大的支持，形成产业协同效应。非金属废料和碎屑项目的年产值XXX万XXX万XXX万万元不仅反映了其在市场上的巨大潜力，更预示着它对国民经济的积极贡献。这种关联度高、涉及面广的产业关系，使得该非金属废料和碎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17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总征地面积为XXXX平方米，相当于约XX.XX亩，其中净用地面积为XXXX平方米，红线范围内相当于约XX.XX亩。这一用地规模充分考虑了非金属废料和碎屑项目的建设需求，保障了非金属废料和碎屑项目在合适的空间内得以充分发展。非金属废料和碎屑项目规划的总建筑面积为XXXX平方米，其中主体工程建设占XXXX平方米，计容建筑面积达XXXX平方米。预计建筑工程的投资将达到XXXX万元，为非金属废料和碎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计划购置的设备共计XXXX台（套），设备购置费用为XXXX万元。这一设备购置计划充分考虑到非金属废料和碎屑项目的生产需求和技术要求，确保了非金属废料和碎屑项目在生产运营中具备先进的技术装备和高效的生产能力。设备的合理配置将为非金属废料和碎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非金属废料和碎屑项目计划总投资为XXXX万元，预计年实现营业收入为XXXX万元。这一产能规模的设定旨在确保非金属废料和碎屑项目能够在投资与回报之间取得平衡，实现长期可持续的发展。非金属废料和碎屑项目的总投资充分考虑到各个方面的需求，包括用地建设、设备购置等多个环节，以确保非金属废料和碎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277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83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的技术管理特点体现在其创新导向。通过引入最先进的技术趋势和解决方案，非金属废料和碎屑项目致力于提升科技含量、提高质量和效率水平。这意味着我们将采用最新的工具和方法，确保非金属废料和碎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金属废料和碎屑项目技术管理的显著特征。通过整合不同领域的技术资源，我们实现了跨学科的协同工作。这有助于优化技术架构，提高整体效能。此外，整合性策略还促进了不同技术团队之间的紧密沟通和高效合作，确保非金属废料和碎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金属废料和碎屑项目所采用的技术。通过不断优化技术方案，非金属废料和碎屑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非金属废料和碎屑项目团队将在非金属废料和碎屑项目初期识别可能的技术风险，并采取相应的预防和应对措施。通过建立健全的风险评估机制，非金属废料和碎屑项目能够在实施过程中及时发现并解决潜在的技术问题，保障非金属废料和碎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金属废料和碎屑项目中，技术将成为非金属废料和碎屑项目成功的有力支持。这一深度剖析揭示了技术管理在非金属废料和碎屑项目实施中的关键作用，为非金属废料和碎屑项目的技术基础奠定了坚实的基础。</w:t>
      </w:r>
    </w:p>
    <w:p>
      <w:pPr>
        <w:pStyle w:val="Heading2"/>
        <w:ind w:firstLine="560" w:firstLineChars="200"/>
        <w:rPr>
          <w:rFonts w:ascii="仿宋" w:eastAsia="仿宋" w:hAnsi="仿宋" w:cs="仿宋" w:hint="eastAsia"/>
          <w:sz w:val="28"/>
          <w:lang w:eastAsia="zh-CN"/>
        </w:rPr>
      </w:pPr>
      <w:bookmarkStart w:id="17" w:name="_Toc15879"/>
      <w:r>
        <w:rPr>
          <w:rFonts w:ascii="仿宋" w:eastAsia="仿宋" w:hAnsi="仿宋" w:cs="仿宋" w:hint="eastAsia"/>
          <w:sz w:val="28"/>
          <w:lang w:eastAsia="zh-CN"/>
        </w:rPr>
        <w:t>(二)、非金属废料和碎屑项目工艺技术设计方案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金属废料和碎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金属废料和碎屑项目将严格按照相关行业规范要求进行组织。通过有效控制产品质量，非金属废料和碎屑项目将致力于为顾客提供优质的非金属废料和碎屑项目产品和良好的服务。这体现了非金属废料和碎屑项目对于生产活动合规性和质量标准的高度重视，为非金属废料和碎屑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金属废料和碎屑项目注重生态效益和清洁生产原则。非金属废料和碎屑项目建设将紧密结合地方特色经济发展，与社会经济发展规划和区域环境保护规划方案相协调一致。通过与当地区域自然生态系统的结合，非金属废料和碎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金属废料和碎屑项目产品具有多样化的客户需求和个性化的特点。因此，非金属废料和碎屑项目产品规格品种多样，且单批生产数量较小。为满足这一特点，非金属废料和碎屑项目承办单位将建设先进的柔性制造生产线。通过广泛应用柔性制造技术，非金属废料和碎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金属废料和碎屑项目采用的技术具有较高的技术含量和自动化水平，处于国内先进水平。这一技术选用不仅体现了对生产效率、质量和环境友好性的高标准要求，同时为非金属废料和碎屑项目的可持续发展奠定了坚实的基础。</w:t>
      </w:r>
    </w:p>
    <w:p>
      <w:pPr>
        <w:pStyle w:val="Heading2"/>
        <w:ind w:firstLine="560" w:firstLineChars="200"/>
        <w:rPr>
          <w:rFonts w:ascii="仿宋" w:eastAsia="仿宋" w:hAnsi="仿宋" w:cs="仿宋" w:hint="eastAsia"/>
          <w:sz w:val="28"/>
          <w:lang w:eastAsia="zh-CN"/>
        </w:rPr>
      </w:pPr>
      <w:bookmarkStart w:id="18" w:name="_Toc829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为确保非金属废料和碎屑项目的高效生产和技术实施，我们制定了一套精心设计的设备选型方案，以满足非金属废料和碎屑项目生产、质量和环保的要求。该方案的主要特点如下：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金属废料和碎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针对非金属废料和碎屑项目产品的多样性和小批量生产的特点，我们将建设柔性制造生产线。通过在设备选型中考虑柔性制造技术，可以灵活应对不同产品规格和生产需求，实现生产线的高度灵活性和适应性。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https://d.book118.com/238021067110006044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83F07"/>
    <w:rsid w:val="5F283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2106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2024-02-29T00:55:00Z</dcterms:created>
  <dcterms:modified xsi:type="dcterms:W3CDTF">2024-02-29T00:55:31Z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86468D55E5434518A5DC40988B9502D5_11</vt:lpwstr>
  </property>
  <property fmtid="{D5CDD505-2E9C-101B-9397-08002B2CF9AE}" pid="3" name="KSOProductBuildVer">
    <vt:lpwstr>2052-12.1.0.16388</vt:lpwstr>
  </property>
</Properties>
</file>