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2018-2023年浙江农业商贸职业学院高职单招（数学／语文／英语）历年常考试题库含答案解析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侯方域是明末清初著名的（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A.诗文作家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B.政治家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C.思想家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D.教育家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中唐古文运动的倡导者是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A.刘禹锡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D.孟郊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王安石《答司马谏议书》所采取的主要驳论角度是（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A.驳斥论点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B.驳斥论据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C.驳斥论证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D.驳斥态度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《张中丞传后叙》歌颂的三个人物是（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A.张巡、张籍、南霁云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B.张巡、许远、于嵩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C.许远、张巡、南霁云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D.张巡、许远、雷万春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在《答司马谏议书》一文中，司马光强加给王安石变法的罪名是（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A.在位久，未能助上大有为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B.不恤国事，同俗自媚于众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C.侵官、生事、征利、拒谏、以致天下怨谤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D.一切不事事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《选择与安排》一文提出做文章最重要的是（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A.搜寻材料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B.要有创作的灵感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C.要有丰富的情感和思想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D.选择与安排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下列关于作品、作者、体裁搭配完全正确的是（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A.《报刘一丈书》——侯方域——书信体议论文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B.《论毅力》——梁实秋——议论文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C.《答司马谏议书》——王安石——书信体驳论文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D.《陈情表》——李斯——奏章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沈从文是以什么样的独特视角和叙述主体来观照人生的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A.都市人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B.湘西人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C.关东人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D.岭南人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“多行不义必自毙”“贻笑大方”“夙兴夜寐”三个成语依次出自（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A.《寡人之于国也》、《庄子·秋水》、《季氏将伐颛臾》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B.《郑伯克段于鄢》、《庄子·秋水》、《诗经·氓》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C.《陈情表》、《诗经·氓》、《郑伯克段于鄢》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D.《礼记·大同》、《寡人之于国也》、《庄子·秋水》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下列句子中，含有判断句式的是（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A.左右曰：“乃歌夫‘长铗归来’者也。”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B.梁惠王曰：“寡人之于国也，尽心焉耳矣！……”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C.问者嘻曰：“不亦善夫！吾问养树，得养人术。”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D.每大言曰：“人生有命，吾惟守分尔！”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“明月松间照，清泉石上流”使用的修辞方法是（）。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《报刘一丈书》中“权者”暗指（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A.顾秉谦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B.刘一丈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D.严嵩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关于艾青《我爱这土地》一诗，下列表述错误的是（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A.此诗写作于抗日战争临近胜利之时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B.此诗抒发了诗人深沉炽烈的爱国主义情感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C.“被暴风雨所打击着的土地”，象征着敌人对祖国的侵略和践踏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D.“激怒的风”象征着中国人民的愤怒与反抗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柳永《八声甘州（对潇潇暮雨洒江天）》中贯穿全词的句子是（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A.是处红衰翠减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B.惟有长江水，无语东流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https://d.book118.com/238042043135006040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238042043135006040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