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C34E0" w14:paraId="069454B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C34E0" w14:paraId="30B1335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C34E0" w14:paraId="5122995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C34E0" w:rsidRPr="00AC34E0" w14:paraId="443C5097" w14:textId="465EF82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C34E0">
        <w:rPr>
          <w:rFonts w:ascii="宋体" w:eastAsia="宋体" w:hAnsi="宋体" w:hint="eastAsia"/>
          <w:b/>
          <w:sz w:val="60"/>
        </w:rPr>
        <w:t>水乳型涂料企业风险管理与内控</w:t>
      </w:r>
    </w:p>
    <w:p w:rsidR="00AC34E0" w:rsidP="00AC34E0" w14:paraId="7A96CB4C" w14:textId="584AAF8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C34E0">
        <w:rPr>
          <w:rFonts w:ascii="仿宋" w:eastAsia="仿宋" w:hAnsi="仿宋" w:hint="eastAsia"/>
          <w:b/>
          <w:sz w:val="40"/>
        </w:rPr>
        <w:t>目录</w:t>
      </w:r>
    </w:p>
    <w:p w:rsidR="00AC34E0" w14:paraId="124788F6" w14:textId="06B0117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C34E0" w14:paraId="5D5DFEFC" w14:textId="24EA6A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C34E0" w14:paraId="7A0BFD88" w14:textId="0A7AC5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C34E0" w14:paraId="390A5181" w14:textId="317E4D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(二)、水乳型涂料行业企业战略风险的分类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_Toc155799999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C34E0" w14:paraId="5BE58885" w14:textId="68E5D6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_Toc155800000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C34E0" w14:paraId="0FB33B2C" w14:textId="726A7B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_Toc155800001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C34E0" w14:paraId="69F1CD31" w14:textId="65DE029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_Toc155800002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C34E0" w14:paraId="7C59B234" w14:textId="02596B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_Toc155800003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C34E0" w14:paraId="18167A31" w14:textId="008F21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_Toc155800004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C34E0" w14:paraId="315A62AC" w14:textId="511BD1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(一)、水乳型涂料行业企业在确定愿景及使命时的风险识别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_Toc155800005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C34E0" w14:paraId="73883527" w14:textId="08CAA6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(二)、制定水乳型涂料行业企业战略目标的风险识别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_Toc155800006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C34E0" w14:paraId="4B6BFCBF" w14:textId="70EE5C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(三)、水乳型涂料行业企业战略分析的风险识别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_Toc155800007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C34E0" w14:paraId="08CC14AA" w14:textId="25EF6C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(四)、水乳型涂料行业企业战略选择的风险识别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_Toc155800008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C34E0" w14:paraId="1841791B" w14:textId="749C96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(五)、水乳型涂料行业企业战略实施的风险识别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_Toc155800009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C34E0" w14:paraId="22CFAEE4" w14:textId="2DED1F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_Toc155800010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C34E0" w14:paraId="14752F81" w14:textId="40D969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_Toc155800011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C34E0" w14:paraId="6EAC370F" w14:textId="45B12E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_Toc155800012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C34E0" w14:paraId="5FC93A6D" w14:textId="2CC57D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_Toc155800013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C34E0" w14:paraId="45D34ABA" w14:textId="546FCE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_Toc155800014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C34E0" w14:paraId="55E6A752" w14:textId="06365D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_Toc155800015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AC34E0" w14:paraId="0CADE842" w14:textId="37DDB351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_Toc155800016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C34E0" w14:paraId="06B3DBEF" w14:textId="4541D0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_Toc155800017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C34E0" w14:paraId="3D091CE4" w14:textId="05ACDB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_Toc155800018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C34E0" w14:paraId="21A63218" w14:textId="221A7C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_Toc155800019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AC34E0" w14:paraId="7FDC7F55" w14:textId="200D63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_Toc155800020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AC34E0" w14:paraId="490DDE0F" w14:textId="6E6ED9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_Toc155800021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AC34E0" w14:paraId="340CBACB" w14:textId="028558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_Toc155800022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AC34E0" w14:paraId="6766D350" w14:textId="44573A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_Toc155800023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AC34E0" w14:paraId="6EC58E88" w14:textId="722A84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_Toc155800024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AC34E0" w14:paraId="2BF9FBE2" w14:textId="3F3D3E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十、水乳型涂料项目基本情况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_Toc155800025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AC34E0" w14:paraId="3040C5F9" w14:textId="14A661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(一)、水乳型涂料项目投资人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_Toc155800026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AC34E0" w14:paraId="3FF7B620" w14:textId="18CE41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(二)、水乳型涂料项目选址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_Toc155800027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AC34E0" w14:paraId="1D12CD35" w14:textId="0185D2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(三)、水乳型涂料项目实施进度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_Toc155800028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AC34E0" w14:paraId="75572D16" w14:textId="7CA954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_Toc155800029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AC34E0" w14:paraId="2C69A618" w14:textId="07CF64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_Toc155800030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AC34E0" w14:paraId="6C15BF5B" w14:textId="432DA4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_Toc155800031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AC34E0" w14:paraId="195B01B1" w14:textId="2A56F7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_Toc155800032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AC34E0" w14:paraId="535CB20D" w14:textId="328B5F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_Toc155800033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AC34E0" w14:paraId="262772E4" w14:textId="0686EE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_Toc155800034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AC34E0" w14:paraId="526F6A52" w14:textId="188AE6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_Toc155800035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AC34E0" w14:paraId="174EAF4C" w14:textId="42C021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_Toc155800036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AC34E0" w14:paraId="40A7B27A" w14:textId="299905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_Toc155800037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AC34E0" w14:paraId="7C76D12D" w14:textId="5CC788DF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_Toc155800038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AC34E0" w14:paraId="7543A9E6" w14:textId="516CCD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_Toc155800039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AC34E0" w14:paraId="3FD9D4D1" w14:textId="0C4C3C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_Toc155800040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AC34E0" w14:paraId="22C61DEF" w14:textId="71981A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_Toc155800041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AC34E0" w14:paraId="257722A8" w14:textId="5CB86A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_Toc155800042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AC34E0" w14:paraId="66794FC9" w14:textId="4A81FF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_Toc155800043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AC34E0" w14:paraId="56F6BA2B" w14:textId="58801C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_Toc155800044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AC34E0" w14:paraId="5250EFE4" w14:textId="49579F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_Toc155800045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AC34E0" w14:paraId="060FE9BB" w14:textId="704D32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_Toc155800046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AC34E0" w14:paraId="2B864DA1" w14:textId="00B280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_Toc155800047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AC34E0" w14:paraId="5A5CD0C9" w14:textId="095DCF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_Toc155800048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AC34E0" w14:paraId="35C28ACF" w14:textId="51FC59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_Toc155800049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AC34E0" w14:paraId="0353EE3C" w14:textId="4DBEC4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_Toc155800050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AC34E0" w14:paraId="45E72EC4" w14:textId="6F0F2E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_Toc155800051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AC34E0" w14:paraId="50F9ED2C" w14:textId="398243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_Toc155800052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AC34E0" w14:paraId="1F0C84E8" w14:textId="35123E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_Toc155800053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AC34E0" w14:paraId="3E537C8B" w14:textId="4CCDA8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_Toc155800054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AC34E0" w14:paraId="23DDA62E" w14:textId="2550EB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_Toc155800055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AC34E0" w14:paraId="093D09B5" w14:textId="01ADC1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_Toc155800056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AC34E0" w14:paraId="05AA13D0" w14:textId="367269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_Toc155800057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AC34E0" w14:paraId="68C6C8BC" w14:textId="1AC467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(一)、水乳型涂料行业企业在确定愿景及使命时的风险识别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_Toc155800058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AC34E0" w14:paraId="2D0FBAA7" w14:textId="4585CB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(二)、制定水乳型涂料行业企业战略目标的风险识别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_Toc155800059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AC34E0" w14:paraId="4F7850CA" w14:textId="1377DD4B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(三)、水乳型涂料行业企业战略分析的风险识别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_Toc155800060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AC34E0" w14:paraId="55C03118" w14:textId="455743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(四)、水乳型涂料行业企业战略选择的风险识别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_Toc155800061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AC34E0" w14:paraId="49284C25" w14:textId="505497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(五)、水乳型涂料行业企业战略实施的风险识别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_Toc155800062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AC34E0" w:rsidP="00AC34E0" w14:paraId="696559E8" w14:textId="29FE0CE5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https://d.book118.com/238044044001006026</w:t>
        </w:r>
      </w:hyperlink>
    </w:p>
    <w:p w:rsidR="00AC34E0" w:rsidP="00AC34E0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:rsidP="00AC6DCE" w14:paraId="708A14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C34E0" w14:paraId="2C810D3D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:rsidP="00AC6DC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C34E0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:rsidP="00AC6DCE" w14:textId="086A07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AC34E0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:rsidP="00AC6DC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C34E0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:rsidP="00AC6DCE" w14:textId="086A07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AC34E0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:rsidP="00AC6DCE" w14:paraId="7C49727D" w14:textId="086A07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C34E0" w14:paraId="1CCA994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14:paraId="20E6857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:rsidP="00AC6DC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C34E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:rsidP="00AC6DCE" w14:textId="086A07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C34E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:rsidP="00AC6DC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C34E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:rsidP="00AC6DCE" w14:textId="086A07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C34E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14:paraId="764AD745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:rsidRPr="00AC34E0" w:rsidP="00AC34E0" w14:textId="469BC954">
    <w:pPr>
      <w:pStyle w:val="Header"/>
      <w:rPr>
        <w:rFonts w:ascii="仿宋" w:eastAsia="仿宋" w:hAnsi="仿宋"/>
      </w:rPr>
    </w:pPr>
    <w:r w:rsidRPr="00AC34E0">
      <w:rPr>
        <w:rFonts w:ascii="仿宋" w:eastAsia="仿宋" w:hAnsi="仿宋" w:hint="eastAsia"/>
      </w:rPr>
      <w:t>水乳型涂料企业风险管理与内控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:rsidRPr="00AC34E0" w:rsidP="00AC34E0" w14:textId="469BC954">
    <w:pPr>
      <w:pStyle w:val="Header"/>
      <w:rPr>
        <w:rFonts w:ascii="仿宋" w:eastAsia="仿宋" w:hAnsi="仿宋"/>
      </w:rPr>
    </w:pPr>
    <w:r w:rsidRPr="00AC34E0">
      <w:rPr>
        <w:rFonts w:ascii="仿宋" w:eastAsia="仿宋" w:hAnsi="仿宋" w:hint="eastAsia"/>
      </w:rPr>
      <w:t>水乳型涂料企业风险管理与内控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:rsidRPr="00AC34E0" w:rsidP="00AC34E0" w14:paraId="72198855" w14:textId="469BC954">
    <w:pPr>
      <w:pStyle w:val="Header"/>
      <w:rPr>
        <w:rFonts w:ascii="仿宋" w:eastAsia="仿宋" w:hAnsi="仿宋"/>
      </w:rPr>
    </w:pPr>
    <w:r w:rsidRPr="00AC34E0">
      <w:rPr>
        <w:rFonts w:ascii="仿宋" w:eastAsia="仿宋" w:hAnsi="仿宋" w:hint="eastAsia"/>
      </w:rPr>
      <w:t>水乳型涂料企业风险管理与内控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14:paraId="55CC988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:rsidRPr="00AC34E0" w:rsidP="00AC34E0" w14:textId="469BC954">
    <w:pPr>
      <w:pStyle w:val="Header"/>
      <w:rPr>
        <w:rFonts w:ascii="仿宋" w:eastAsia="仿宋" w:hAnsi="仿宋"/>
      </w:rPr>
    </w:pPr>
    <w:r w:rsidRPr="00AC34E0">
      <w:rPr>
        <w:rFonts w:ascii="仿宋" w:eastAsia="仿宋" w:hAnsi="仿宋" w:hint="eastAsia"/>
      </w:rPr>
      <w:t>水乳型涂料企业风险管理与内控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:rsidRPr="00AC34E0" w:rsidP="00AC34E0" w14:textId="469BC954">
    <w:pPr>
      <w:pStyle w:val="Header"/>
      <w:rPr>
        <w:rFonts w:ascii="仿宋" w:eastAsia="仿宋" w:hAnsi="仿宋"/>
      </w:rPr>
    </w:pPr>
    <w:r w:rsidRPr="00AC34E0">
      <w:rPr>
        <w:rFonts w:ascii="仿宋" w:eastAsia="仿宋" w:hAnsi="仿宋" w:hint="eastAsia"/>
      </w:rPr>
      <w:t>水乳型涂料企业风险管理与内控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4E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4E0"/>
    <w:rsid w:val="00AC34E0"/>
    <w:rsid w:val="00AC6DC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F4B235"/>
  <w15:chartTrackingRefBased/>
  <w15:docId w15:val="{595171BE-2078-4D21-A16E-01800B7C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C34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C34E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C34E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C34E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C34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C34E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C3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C34E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C34E0"/>
  </w:style>
  <w:style w:type="paragraph" w:styleId="TOC1">
    <w:name w:val="toc 1"/>
    <w:basedOn w:val="Normal"/>
    <w:next w:val="Normal"/>
    <w:autoRedefine/>
    <w:uiPriority w:val="39"/>
    <w:unhideWhenUsed/>
    <w:rsid w:val="00AC34E0"/>
  </w:style>
  <w:style w:type="paragraph" w:styleId="TOC2">
    <w:name w:val="toc 2"/>
    <w:basedOn w:val="Normal"/>
    <w:next w:val="Normal"/>
    <w:autoRedefine/>
    <w:uiPriority w:val="39"/>
    <w:unhideWhenUsed/>
    <w:rsid w:val="00AC34E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23804404400100602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5338</Words>
  <Characters>30427</Characters>
  <Application>Microsoft Office Word</Application>
  <DocSecurity>0</DocSecurity>
  <Lines>253</Lines>
  <Paragraphs>71</Paragraphs>
  <ScaleCrop>false</ScaleCrop>
  <Company/>
  <LinksUpToDate>false</LinksUpToDate>
  <CharactersWithSpaces>35694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2024-01-10T09:25:00Z</dcterms:created>
  <dcterms:modified xsi:type="dcterms:W3CDTF">2024-01-10T09:26:00Z</dcterms:modified>
</cp:coreProperties>
</file>