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3" w:lineRule="auto"/>
        <w:rPr>
          <w:rFonts w:ascii="Arial"/>
          <w:sz w:val="21"/>
        </w:rPr>
      </w:pPr>
    </w:p>
    <w:p>
      <w:pPr>
        <w:spacing w:before="101" w:line="224" w:lineRule="auto"/>
        <w:ind w:left="2286"/>
        <w:outlineLvl w:val="0"/>
        <w:rPr>
          <w:rFonts w:ascii="SimHei" w:eastAsia="SimHei" w:hAnsi="SimHei" w:cs="SimHei"/>
          <w:sz w:val="31"/>
          <w:szCs w:val="31"/>
        </w:rPr>
      </w:pPr>
      <w:r>
        <w:rPr>
          <w:rFonts w:ascii="SimHei" w:eastAsia="SimHei" w:hAnsi="SimHei" w:cs="SimHei"/>
          <w:spacing w:val="9"/>
          <w:sz w:val="31"/>
          <w:szCs w:val="31"/>
        </w:rPr>
        <w:t>水热型地热资源开发利用技术要求</w:t>
      </w:r>
    </w:p>
    <w:p>
      <w:pPr>
        <w:spacing w:line="465" w:lineRule="auto"/>
        <w:rPr>
          <w:rFonts w:ascii="Arial"/>
          <w:sz w:val="21"/>
        </w:rPr>
      </w:pPr>
    </w:p>
    <w:p>
      <w:pPr>
        <w:spacing w:before="68" w:line="221" w:lineRule="auto"/>
        <w:ind w:left="17"/>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pStyle w:val="BodyText"/>
        <w:spacing w:before="261" w:line="229" w:lineRule="auto"/>
        <w:ind w:left="7" w:right="58" w:firstLine="420"/>
      </w:pPr>
      <w:r>
        <w:rPr>
          <w:spacing w:val="-2"/>
        </w:rPr>
        <w:t>本文件规定了水热型地热资源开发利用术语和定义、总则、地热</w:t>
      </w:r>
      <w:r>
        <w:rPr>
          <w:spacing w:val="-3"/>
        </w:rPr>
        <w:t>资源利用方式、开发利用设计技术</w:t>
      </w:r>
      <w:r>
        <w:t xml:space="preserve"> </w:t>
      </w:r>
      <w:r>
        <w:t>要求、运行技术要求、安全生产、开发利用评价和报告编制及资</w:t>
      </w:r>
      <w:r>
        <w:rPr>
          <w:spacing w:val="-1"/>
        </w:rPr>
        <w:t>料归档。</w:t>
      </w:r>
    </w:p>
    <w:p>
      <w:pPr>
        <w:pStyle w:val="BodyText"/>
        <w:spacing w:before="24" w:line="511" w:lineRule="exact"/>
        <w:ind w:left="427"/>
      </w:pPr>
      <w:r>
        <w:rPr>
          <w:position w:val="23"/>
        </w:rPr>
        <w:t>本文件适用于水热型地热资源开发利用的方案编制和审查、设施建设、运行等工</w:t>
      </w:r>
      <w:r>
        <w:rPr>
          <w:spacing w:val="-1"/>
          <w:position w:val="23"/>
        </w:rPr>
        <w:t>作。</w:t>
      </w:r>
    </w:p>
    <w:p>
      <w:pPr>
        <w:spacing w:line="219" w:lineRule="auto"/>
        <w:ind w:left="4"/>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pStyle w:val="BodyText"/>
        <w:spacing w:before="264" w:line="233" w:lineRule="auto"/>
        <w:ind w:left="4" w:firstLine="428"/>
        <w:jc w:val="both"/>
      </w:pPr>
      <w:r>
        <w:rPr>
          <w:spacing w:val="-6"/>
        </w:rPr>
        <w:t>下列文件中的内容通过文中的规范性引用而构成本文件必不可少的条款。其中，注日期的引用文件，</w:t>
      </w:r>
      <w:r>
        <w:rPr>
          <w:spacing w:val="5"/>
        </w:rPr>
        <w:t xml:space="preserve"> </w:t>
      </w:r>
      <w:r>
        <w:rPr>
          <w:spacing w:val="-4"/>
        </w:rPr>
        <w:t>仅该日期对应的版本适用于本文件；</w:t>
      </w:r>
      <w:r>
        <w:rPr>
          <w:spacing w:val="-26"/>
        </w:rPr>
        <w:t xml:space="preserve"> </w:t>
      </w:r>
      <w:r>
        <w:rPr>
          <w:spacing w:val="-4"/>
        </w:rPr>
        <w:t>不注日期的引用文件，其最新版本（包括所有的修改单）适用于本</w:t>
      </w:r>
      <w:r>
        <w:t xml:space="preserve"> </w:t>
      </w:r>
      <w:r>
        <w:rPr>
          <w:spacing w:val="-8"/>
        </w:rPr>
        <w:t>文件。</w:t>
      </w:r>
    </w:p>
    <w:p>
      <w:pPr>
        <w:pStyle w:val="BodyText"/>
        <w:spacing w:before="20" w:line="241" w:lineRule="auto"/>
        <w:ind w:left="425"/>
      </w:pPr>
      <w:r>
        <w:rPr>
          <w:rFonts w:ascii="Times New Roman" w:eastAsia="Times New Roman" w:hAnsi="Times New Roman" w:cs="Times New Roman"/>
          <w:spacing w:val="-1"/>
        </w:rPr>
        <w:t xml:space="preserve">GB 5084  </w:t>
      </w:r>
      <w:r>
        <w:rPr>
          <w:spacing w:val="-1"/>
        </w:rPr>
        <w:t>农田灌溉水质标准</w:t>
      </w:r>
    </w:p>
    <w:p>
      <w:pPr>
        <w:pStyle w:val="BodyText"/>
        <w:spacing w:before="1" w:line="220" w:lineRule="auto"/>
        <w:ind w:left="425"/>
      </w:pPr>
      <w:r>
        <w:rPr>
          <w:rFonts w:ascii="Times New Roman" w:eastAsia="Times New Roman" w:hAnsi="Times New Roman" w:cs="Times New Roman"/>
          <w:spacing w:val="-1"/>
        </w:rPr>
        <w:t>GB 8537</w:t>
      </w:r>
      <w:r>
        <w:rPr>
          <w:rFonts w:ascii="Times New Roman" w:eastAsia="Times New Roman" w:hAnsi="Times New Roman" w:cs="Times New Roman"/>
          <w:spacing w:val="4"/>
        </w:rPr>
        <w:t xml:space="preserve">  </w:t>
      </w:r>
      <w:r>
        <w:rPr>
          <w:spacing w:val="-1"/>
        </w:rPr>
        <w:t>饮用天然矿泉水</w:t>
      </w:r>
    </w:p>
    <w:p>
      <w:pPr>
        <w:pStyle w:val="BodyText"/>
        <w:spacing w:before="20" w:line="241" w:lineRule="auto"/>
        <w:ind w:left="425"/>
      </w:pPr>
      <w:r>
        <w:rPr>
          <w:rFonts w:ascii="Times New Roman" w:eastAsia="Times New Roman" w:hAnsi="Times New Roman" w:cs="Times New Roman"/>
          <w:spacing w:val="-1"/>
        </w:rPr>
        <w:t>GB 8978</w:t>
      </w:r>
      <w:r>
        <w:rPr>
          <w:rFonts w:ascii="Times New Roman" w:eastAsia="Times New Roman" w:hAnsi="Times New Roman" w:cs="Times New Roman"/>
          <w:spacing w:val="5"/>
        </w:rPr>
        <w:t xml:space="preserve">  </w:t>
      </w:r>
      <w:r>
        <w:rPr>
          <w:spacing w:val="-1"/>
        </w:rPr>
        <w:t>污水综合排放标准</w:t>
      </w:r>
    </w:p>
    <w:p>
      <w:pPr>
        <w:pStyle w:val="BodyText"/>
        <w:spacing w:line="220" w:lineRule="auto"/>
        <w:ind w:left="425"/>
      </w:pPr>
      <w:r>
        <w:rPr>
          <w:rFonts w:ascii="Times New Roman" w:eastAsia="Times New Roman" w:hAnsi="Times New Roman" w:cs="Times New Roman"/>
          <w:spacing w:val="-2"/>
        </w:rPr>
        <w:t>GB</w:t>
      </w:r>
      <w:r>
        <w:rPr>
          <w:rFonts w:ascii="Times New Roman" w:eastAsia="Times New Roman" w:hAnsi="Times New Roman" w:cs="Times New Roman"/>
          <w:spacing w:val="24"/>
        </w:rPr>
        <w:t xml:space="preserve"> </w:t>
      </w:r>
      <w:r>
        <w:rPr>
          <w:rFonts w:ascii="Times New Roman" w:eastAsia="Times New Roman" w:hAnsi="Times New Roman" w:cs="Times New Roman"/>
          <w:spacing w:val="-2"/>
        </w:rPr>
        <w:t xml:space="preserve">11607  </w:t>
      </w:r>
      <w:r>
        <w:rPr>
          <w:spacing w:val="-2"/>
        </w:rPr>
        <w:t>渔业水质标准</w:t>
      </w:r>
    </w:p>
    <w:p>
      <w:pPr>
        <w:pStyle w:val="BodyText"/>
        <w:spacing w:before="20" w:line="221" w:lineRule="auto"/>
        <w:ind w:left="425"/>
      </w:pPr>
      <w:r>
        <w:rPr>
          <w:rFonts w:ascii="Times New Roman" w:eastAsia="Times New Roman" w:hAnsi="Times New Roman" w:cs="Times New Roman"/>
          <w:spacing w:val="-2"/>
        </w:rPr>
        <w:t>GB/T</w:t>
      </w:r>
      <w:r>
        <w:rPr>
          <w:rFonts w:ascii="Times New Roman" w:eastAsia="Times New Roman" w:hAnsi="Times New Roman" w:cs="Times New Roman"/>
          <w:spacing w:val="38"/>
        </w:rPr>
        <w:t xml:space="preserve"> </w:t>
      </w:r>
      <w:r>
        <w:rPr>
          <w:rFonts w:ascii="Times New Roman" w:eastAsia="Times New Roman" w:hAnsi="Times New Roman" w:cs="Times New Roman"/>
          <w:spacing w:val="-2"/>
        </w:rPr>
        <w:t xml:space="preserve">11615  </w:t>
      </w:r>
      <w:r>
        <w:rPr>
          <w:spacing w:val="-2"/>
        </w:rPr>
        <w:t>地热资源地质勘查规范</w:t>
      </w:r>
    </w:p>
    <w:p>
      <w:pPr>
        <w:pStyle w:val="BodyText"/>
        <w:spacing w:before="23" w:line="238" w:lineRule="auto"/>
        <w:ind w:left="425"/>
      </w:pPr>
      <w:r>
        <w:rPr>
          <w:rFonts w:ascii="Times New Roman" w:eastAsia="Times New Roman" w:hAnsi="Times New Roman" w:cs="Times New Roman"/>
        </w:rPr>
        <w:t xml:space="preserve">GB 50194  </w:t>
      </w:r>
      <w:r>
        <w:t>建设工程施工现场供用电</w:t>
      </w:r>
      <w:r>
        <w:rPr>
          <w:spacing w:val="-1"/>
        </w:rPr>
        <w:t>安全规范</w:t>
      </w:r>
    </w:p>
    <w:p>
      <w:pPr>
        <w:pStyle w:val="BodyText"/>
        <w:spacing w:before="1" w:line="220" w:lineRule="auto"/>
        <w:ind w:left="421"/>
      </w:pPr>
      <w:r>
        <w:rPr>
          <w:rFonts w:ascii="Times New Roman" w:eastAsia="Times New Roman" w:hAnsi="Times New Roman" w:cs="Times New Roman"/>
          <w:spacing w:val="-1"/>
        </w:rPr>
        <w:t xml:space="preserve">DZ/T 0260  </w:t>
      </w:r>
      <w:r>
        <w:rPr>
          <w:spacing w:val="-1"/>
        </w:rPr>
        <w:t>地热钻探技术规程</w:t>
      </w:r>
    </w:p>
    <w:p>
      <w:pPr>
        <w:pStyle w:val="BodyText"/>
        <w:spacing w:before="23" w:line="511" w:lineRule="exact"/>
        <w:ind w:left="421"/>
      </w:pPr>
      <w:r>
        <w:rPr>
          <w:rFonts w:ascii="Times New Roman" w:eastAsia="Times New Roman" w:hAnsi="Times New Roman" w:cs="Times New Roman"/>
          <w:position w:val="23"/>
        </w:rPr>
        <w:t xml:space="preserve">DZ/T    </w:t>
      </w:r>
      <w:r>
        <w:rPr>
          <w:position w:val="23"/>
        </w:rPr>
        <w:t>水热型地热资源回灌技术要求</w:t>
      </w:r>
    </w:p>
    <w:p>
      <w:pPr>
        <w:spacing w:line="220" w:lineRule="auto"/>
        <w:ind w:left="6"/>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pStyle w:val="BodyText"/>
        <w:spacing w:before="263" w:line="220" w:lineRule="auto"/>
        <w:ind w:left="432"/>
      </w:pPr>
      <w:r>
        <w:rPr>
          <w:spacing w:val="-3"/>
        </w:rPr>
        <w:t>下列术语和定义适用于本文件。</w:t>
      </w:r>
    </w:p>
    <w:p>
      <w:pPr>
        <w:spacing w:before="48" w:line="156" w:lineRule="exact"/>
      </w:pPr>
      <w:r>
        <w:rPr>
          <w:position w:val="-3"/>
        </w:rPr>
        <w:drawing>
          <wp:inline distT="0" distB="0" distL="0" distR="0">
            <wp:extent cx="176783" cy="9905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76783" cy="99059"/>
                    </a:xfrm>
                    <a:prstGeom prst="rect">
                      <a:avLst/>
                    </a:prstGeom>
                  </pic:spPr>
                </pic:pic>
              </a:graphicData>
            </a:graphic>
          </wp:inline>
        </w:drawing>
      </w:r>
    </w:p>
    <w:p>
      <w:pPr>
        <w:spacing w:before="92" w:line="213" w:lineRule="auto"/>
        <w:ind w:left="425"/>
        <w:rPr>
          <w:rFonts w:ascii="Times New Roman" w:eastAsia="Times New Roman" w:hAnsi="Times New Roman" w:cs="Times New Roman"/>
          <w:sz w:val="21"/>
          <w:szCs w:val="21"/>
        </w:rPr>
      </w:pPr>
      <w:r>
        <w:rPr>
          <w:rFonts w:ascii="SimHei" w:eastAsia="SimHei" w:hAnsi="SimHei" w:cs="SimHei"/>
          <w:sz w:val="21"/>
          <w:szCs w:val="21"/>
        </w:rPr>
        <w:t>水热型地热资源</w:t>
      </w:r>
      <w:r>
        <w:rPr>
          <w:rFonts w:ascii="SimHei" w:eastAsia="SimHei" w:hAnsi="SimHei" w:cs="SimHei"/>
          <w:sz w:val="21"/>
          <w:szCs w:val="21"/>
        </w:rPr>
        <w:t xml:space="preserve"> </w:t>
      </w:r>
      <w:r>
        <w:rPr>
          <w:rFonts w:ascii="Times New Roman" w:eastAsia="Times New Roman" w:hAnsi="Times New Roman" w:cs="Times New Roman"/>
          <w:sz w:val="21"/>
          <w:szCs w:val="21"/>
        </w:rPr>
        <w:t>hydrothermal re</w:t>
      </w:r>
      <w:r>
        <w:rPr>
          <w:rFonts w:ascii="Times New Roman" w:eastAsia="Times New Roman" w:hAnsi="Times New Roman" w:cs="Times New Roman"/>
          <w:spacing w:val="-1"/>
          <w:sz w:val="21"/>
          <w:szCs w:val="21"/>
        </w:rPr>
        <w:t>sources</w:t>
      </w:r>
    </w:p>
    <w:p>
      <w:pPr>
        <w:pStyle w:val="BodyText"/>
        <w:spacing w:before="28" w:line="221" w:lineRule="auto"/>
        <w:ind w:left="428"/>
      </w:pPr>
      <w:r>
        <w:rPr>
          <w:spacing w:val="-1"/>
        </w:rPr>
        <w:t>赋存于天然地下水及其蒸汽中的地热资源。</w:t>
      </w:r>
    </w:p>
    <w:p>
      <w:pPr>
        <w:spacing w:before="49" w:line="156" w:lineRule="exact"/>
      </w:pPr>
      <w:r>
        <w:rPr>
          <w:position w:val="-3"/>
        </w:rPr>
        <w:drawing>
          <wp:inline distT="0" distB="0" distL="0" distR="0">
            <wp:extent cx="195072" cy="9905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95072" cy="99059"/>
                    </a:xfrm>
                    <a:prstGeom prst="rect">
                      <a:avLst/>
                    </a:prstGeom>
                  </pic:spPr>
                </pic:pic>
              </a:graphicData>
            </a:graphic>
          </wp:inline>
        </w:drawing>
      </w:r>
    </w:p>
    <w:p>
      <w:pPr>
        <w:spacing w:before="89" w:line="238" w:lineRule="auto"/>
        <w:ind w:left="427"/>
        <w:rPr>
          <w:rFonts w:ascii="Times New Roman" w:eastAsia="Times New Roman" w:hAnsi="Times New Roman" w:cs="Times New Roman"/>
          <w:sz w:val="21"/>
          <w:szCs w:val="21"/>
        </w:rPr>
      </w:pPr>
      <w:r>
        <w:rPr>
          <w:rFonts w:ascii="SimHei" w:eastAsia="SimHei" w:hAnsi="SimHei" w:cs="SimHei"/>
          <w:spacing w:val="1"/>
          <w:sz w:val="21"/>
          <w:szCs w:val="21"/>
        </w:rPr>
        <w:t>地热资源开发</w:t>
      </w:r>
      <w:r>
        <w:rPr>
          <w:rFonts w:ascii="SimHei" w:eastAsia="SimHei" w:hAnsi="SimHei" w:cs="SimHei"/>
          <w:spacing w:val="1"/>
          <w:sz w:val="21"/>
          <w:szCs w:val="21"/>
        </w:rPr>
        <w:t xml:space="preserve"> </w:t>
      </w:r>
      <w:r>
        <w:rPr>
          <w:rFonts w:ascii="Times New Roman" w:eastAsia="Times New Roman" w:hAnsi="Times New Roman" w:cs="Times New Roman"/>
          <w:sz w:val="21"/>
          <w:szCs w:val="21"/>
        </w:rPr>
        <w:t>development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geothermal</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resources</w:t>
      </w:r>
    </w:p>
    <w:p>
      <w:pPr>
        <w:pStyle w:val="BodyText"/>
        <w:spacing w:before="1" w:line="219" w:lineRule="auto"/>
        <w:ind w:left="429"/>
      </w:pPr>
      <w:r>
        <w:rPr>
          <w:spacing w:val="-1"/>
        </w:rPr>
        <w:t>获取天然出露或隐伏地热资源的过程。</w:t>
      </w:r>
    </w:p>
    <w:p>
      <w:pPr>
        <w:spacing w:before="50" w:line="156" w:lineRule="exact"/>
      </w:pPr>
      <w:r>
        <w:rPr>
          <w:position w:val="-3"/>
        </w:rPr>
        <w:drawing>
          <wp:inline distT="0" distB="0" distL="0" distR="0">
            <wp:extent cx="195072" cy="9905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95072" cy="99059"/>
                    </a:xfrm>
                    <a:prstGeom prst="rect">
                      <a:avLst/>
                    </a:prstGeom>
                  </pic:spPr>
                </pic:pic>
              </a:graphicData>
            </a:graphic>
          </wp:inline>
        </w:drawing>
      </w:r>
    </w:p>
    <w:p>
      <w:pPr>
        <w:spacing w:before="89" w:line="213" w:lineRule="auto"/>
        <w:ind w:left="427"/>
        <w:rPr>
          <w:rFonts w:ascii="Times New Roman" w:eastAsia="Times New Roman" w:hAnsi="Times New Roman" w:cs="Times New Roman"/>
          <w:sz w:val="21"/>
          <w:szCs w:val="21"/>
        </w:rPr>
      </w:pPr>
      <w:r>
        <w:rPr>
          <w:rFonts w:ascii="SimHei" w:eastAsia="SimHei" w:hAnsi="SimHei" w:cs="SimHei"/>
          <w:spacing w:val="1"/>
          <w:sz w:val="21"/>
          <w:szCs w:val="21"/>
        </w:rPr>
        <w:t>地热资源利用</w:t>
      </w:r>
      <w:r>
        <w:rPr>
          <w:rFonts w:ascii="SimHei" w:eastAsia="SimHei" w:hAnsi="SimHei" w:cs="SimHei"/>
          <w:spacing w:val="1"/>
          <w:sz w:val="21"/>
          <w:szCs w:val="21"/>
        </w:rPr>
        <w:t xml:space="preserve"> </w:t>
      </w:r>
      <w:r>
        <w:rPr>
          <w:rFonts w:ascii="Times New Roman" w:eastAsia="Times New Roman" w:hAnsi="Times New Roman" w:cs="Times New Roman"/>
          <w:sz w:val="21"/>
          <w:szCs w:val="21"/>
        </w:rPr>
        <w:t>utilization</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geothermal</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resources</w:t>
      </w:r>
    </w:p>
    <w:p>
      <w:pPr>
        <w:pStyle w:val="BodyText"/>
        <w:spacing w:before="30" w:line="221" w:lineRule="auto"/>
        <w:ind w:left="427"/>
      </w:pPr>
      <w:r>
        <w:rPr>
          <w:spacing w:val="-4"/>
        </w:rPr>
        <w:t>利用地热资源中赋存的热能、流体、</w:t>
      </w:r>
      <w:r>
        <w:rPr>
          <w:spacing w:val="-30"/>
        </w:rPr>
        <w:t xml:space="preserve"> </w:t>
      </w:r>
      <w:r>
        <w:rPr>
          <w:spacing w:val="-4"/>
        </w:rPr>
        <w:t>化学组分的过程。</w:t>
      </w:r>
    </w:p>
    <w:p>
      <w:pPr>
        <w:spacing w:before="47" w:line="156" w:lineRule="exact"/>
      </w:pPr>
      <w:r>
        <w:rPr>
          <w:position w:val="-3"/>
        </w:rPr>
        <w:drawing>
          <wp:inline distT="0" distB="0" distL="0" distR="0">
            <wp:extent cx="201168" cy="9905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201168" cy="99059"/>
                    </a:xfrm>
                    <a:prstGeom prst="rect">
                      <a:avLst/>
                    </a:prstGeom>
                  </pic:spPr>
                </pic:pic>
              </a:graphicData>
            </a:graphic>
          </wp:inline>
        </w:drawing>
      </w:r>
    </w:p>
    <w:p>
      <w:pPr>
        <w:spacing w:before="92" w:line="213" w:lineRule="auto"/>
        <w:ind w:left="427"/>
        <w:rPr>
          <w:rFonts w:ascii="Times New Roman" w:eastAsia="Times New Roman" w:hAnsi="Times New Roman" w:cs="Times New Roman"/>
          <w:sz w:val="21"/>
          <w:szCs w:val="21"/>
        </w:rPr>
        <w:sectPr>
          <w:headerReference w:type="default" r:id="rId8"/>
          <w:footerReference w:type="default" r:id="rId9"/>
          <w:pgSz w:w="11907" w:h="16839"/>
          <w:pgMar w:top="1659" w:right="1070" w:bottom="1311" w:left="1420" w:header="1448" w:footer="1133" w:gutter="0"/>
          <w:cols w:space="708"/>
        </w:sectPr>
      </w:pPr>
      <w:r>
        <w:rPr>
          <w:rFonts w:ascii="SimHei" w:eastAsia="SimHei" w:hAnsi="SimHei" w:cs="SimHei"/>
          <w:spacing w:val="-1"/>
          <w:sz w:val="21"/>
          <w:szCs w:val="21"/>
        </w:rPr>
        <w:t>地热流体</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geothermal fluid</w:t>
      </w:r>
    </w:p>
    <w:p>
      <w:pPr>
        <w:pStyle w:val="BodyText"/>
        <w:spacing w:before="28" w:line="221" w:lineRule="auto"/>
        <w:ind w:left="426"/>
      </w:pPr>
      <w:r>
        <w:t>地热资源中地热水和地热蒸气及少量的非凝性气体的</w:t>
      </w:r>
      <w:r>
        <w:rPr>
          <w:spacing w:val="-1"/>
        </w:rPr>
        <w:t>总称。</w:t>
      </w:r>
    </w:p>
    <w:p>
      <w:pPr>
        <w:spacing w:before="49" w:line="158" w:lineRule="exact"/>
      </w:pPr>
      <w:r>
        <w:rPr>
          <w:position w:val="-3"/>
        </w:rPr>
        <w:drawing>
          <wp:inline distT="0" distB="0" distL="0" distR="0">
            <wp:extent cx="196596" cy="10058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196596" cy="100583"/>
                    </a:xfrm>
                    <a:prstGeom prst="rect">
                      <a:avLst/>
                    </a:prstGeom>
                  </pic:spPr>
                </pic:pic>
              </a:graphicData>
            </a:graphic>
          </wp:inline>
        </w:drawing>
      </w:r>
    </w:p>
    <w:p>
      <w:pPr>
        <w:spacing w:before="87" w:line="213" w:lineRule="auto"/>
        <w:ind w:left="427"/>
        <w:rPr>
          <w:rFonts w:ascii="Times New Roman" w:eastAsia="Times New Roman" w:hAnsi="Times New Roman" w:cs="Times New Roman"/>
          <w:sz w:val="21"/>
          <w:szCs w:val="21"/>
        </w:rPr>
      </w:pPr>
      <w:r>
        <w:rPr>
          <w:rFonts w:ascii="SimHei" w:eastAsia="SimHei" w:hAnsi="SimHei" w:cs="SimHei"/>
          <w:sz w:val="21"/>
          <w:szCs w:val="21"/>
        </w:rPr>
        <w:t>地热流体质量</w:t>
      </w:r>
      <w:r>
        <w:rPr>
          <w:rFonts w:ascii="SimHei" w:eastAsia="SimHei" w:hAnsi="SimHei" w:cs="SimHei"/>
          <w:sz w:val="21"/>
          <w:szCs w:val="21"/>
        </w:rPr>
        <w:t xml:space="preserve"> </w:t>
      </w:r>
      <w:r>
        <w:rPr>
          <w:rFonts w:ascii="Times New Roman" w:eastAsia="Times New Roman" w:hAnsi="Times New Roman" w:cs="Times New Roman"/>
          <w:sz w:val="21"/>
          <w:szCs w:val="21"/>
        </w:rPr>
        <w:t>quality of</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geothermal fluid</w:t>
      </w:r>
    </w:p>
    <w:p>
      <w:pPr>
        <w:pStyle w:val="BodyText"/>
        <w:spacing w:before="31" w:line="219" w:lineRule="auto"/>
        <w:ind w:left="427"/>
      </w:pPr>
      <w:r>
        <w:rPr>
          <w:rFonts w:ascii="SimHei" w:eastAsia="SimHei" w:hAnsi="SimHei" w:cs="SimHei"/>
        </w:rPr>
        <w:t>地热流体（3.4）</w:t>
      </w:r>
      <w:r>
        <w:t>的物理性质、化学成分、微生物指标及</w:t>
      </w:r>
      <w:r>
        <w:rPr>
          <w:spacing w:val="-1"/>
        </w:rPr>
        <w:t>其能量品位。</w:t>
      </w:r>
    </w:p>
    <w:p>
      <w:pPr>
        <w:spacing w:before="48" w:line="159" w:lineRule="exact"/>
      </w:pPr>
      <w:r>
        <w:rPr>
          <w:position w:val="-3"/>
        </w:rPr>
        <w:drawing>
          <wp:inline distT="0" distB="0" distL="0" distR="0">
            <wp:extent cx="199644" cy="10058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199644" cy="100583"/>
                    </a:xfrm>
                    <a:prstGeom prst="rect">
                      <a:avLst/>
                    </a:prstGeom>
                  </pic:spPr>
                </pic:pic>
              </a:graphicData>
            </a:graphic>
          </wp:inline>
        </w:drawing>
      </w:r>
    </w:p>
    <w:p>
      <w:pPr>
        <w:spacing w:before="90" w:line="213" w:lineRule="auto"/>
        <w:ind w:left="427"/>
        <w:rPr>
          <w:rFonts w:ascii="Times New Roman" w:eastAsia="Times New Roman" w:hAnsi="Times New Roman" w:cs="Times New Roman"/>
          <w:sz w:val="21"/>
          <w:szCs w:val="21"/>
        </w:rPr>
      </w:pPr>
      <w:r>
        <w:rPr>
          <w:rFonts w:ascii="SimHei" w:eastAsia="SimHei" w:hAnsi="SimHei" w:cs="SimHei"/>
          <w:spacing w:val="-1"/>
          <w:sz w:val="21"/>
          <w:szCs w:val="21"/>
        </w:rPr>
        <w:t>地热尾水</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geothermal tailwater</w:t>
      </w:r>
    </w:p>
    <w:p>
      <w:pPr>
        <w:pStyle w:val="BodyText"/>
        <w:spacing w:before="28" w:line="219" w:lineRule="auto"/>
        <w:ind w:left="428"/>
      </w:pPr>
      <w:r>
        <w:rPr>
          <w:spacing w:val="-1"/>
        </w:rPr>
        <w:t>从热储抽取的经热能利用后温度下降的</w:t>
      </w:r>
      <w:r>
        <w:rPr>
          <w:rFonts w:ascii="SimHei" w:eastAsia="SimHei" w:hAnsi="SimHei" w:cs="SimHei"/>
          <w:spacing w:val="-1"/>
        </w:rPr>
        <w:t>地热流体（3.4）</w:t>
      </w:r>
      <w:r>
        <w:rPr>
          <w:spacing w:val="-1"/>
        </w:rPr>
        <w:t>。</w:t>
      </w:r>
    </w:p>
    <w:p>
      <w:pPr>
        <w:spacing w:before="50" w:line="156" w:lineRule="exact"/>
      </w:pPr>
      <w:r>
        <w:rPr>
          <w:position w:val="-3"/>
        </w:rPr>
        <w:drawing>
          <wp:inline distT="0" distB="0" distL="0" distR="0">
            <wp:extent cx="198119" cy="9906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2"/>
                    <a:stretch>
                      <a:fillRect/>
                    </a:stretch>
                  </pic:blipFill>
                  <pic:spPr>
                    <a:xfrm>
                      <a:off x="0" y="0"/>
                      <a:ext cx="198119" cy="99060"/>
                    </a:xfrm>
                    <a:prstGeom prst="rect">
                      <a:avLst/>
                    </a:prstGeom>
                  </pic:spPr>
                </pic:pic>
              </a:graphicData>
            </a:graphic>
          </wp:inline>
        </w:drawing>
      </w:r>
    </w:p>
    <w:p>
      <w:pPr>
        <w:spacing w:before="90" w:line="213" w:lineRule="auto"/>
        <w:ind w:left="427"/>
        <w:rPr>
          <w:rFonts w:ascii="Times New Roman" w:eastAsia="Times New Roman" w:hAnsi="Times New Roman" w:cs="Times New Roman"/>
          <w:sz w:val="21"/>
          <w:szCs w:val="21"/>
        </w:rPr>
      </w:pPr>
      <w:r>
        <w:rPr>
          <w:rFonts w:ascii="SimHei" w:eastAsia="SimHei" w:hAnsi="SimHei" w:cs="SimHei"/>
          <w:sz w:val="21"/>
          <w:szCs w:val="21"/>
        </w:rPr>
        <w:t>地热允许开采量</w:t>
      </w:r>
      <w:r>
        <w:rPr>
          <w:rFonts w:ascii="SimHei" w:eastAsia="SimHei" w:hAnsi="SimHei" w:cs="SimHei"/>
          <w:sz w:val="21"/>
          <w:szCs w:val="21"/>
        </w:rPr>
        <w:t xml:space="preserve"> </w:t>
      </w:r>
      <w:r>
        <w:rPr>
          <w:rFonts w:ascii="Times New Roman" w:eastAsia="Times New Roman" w:hAnsi="Times New Roman" w:cs="Times New Roman"/>
          <w:sz w:val="21"/>
          <w:szCs w:val="21"/>
        </w:rPr>
        <w:t>geothermal allowable w</w:t>
      </w:r>
      <w:r>
        <w:rPr>
          <w:rFonts w:ascii="Times New Roman" w:eastAsia="Times New Roman" w:hAnsi="Times New Roman" w:cs="Times New Roman"/>
          <w:spacing w:val="-1"/>
          <w:sz w:val="21"/>
          <w:szCs w:val="21"/>
        </w:rPr>
        <w:t>ithdrawal</w:t>
      </w:r>
    </w:p>
    <w:p>
      <w:pPr>
        <w:pStyle w:val="BodyText"/>
        <w:spacing w:before="31" w:line="236" w:lineRule="auto"/>
        <w:ind w:left="8" w:right="58" w:firstLine="417"/>
      </w:pPr>
      <w:r>
        <w:rPr>
          <w:spacing w:val="-2"/>
        </w:rPr>
        <w:t>在当前经济、技术、环境等许可条件下可被开发利用的地热资源可</w:t>
      </w:r>
      <w:r>
        <w:rPr>
          <w:spacing w:val="-3"/>
        </w:rPr>
        <w:t>开采量，是矿产资源管理部门批</w:t>
      </w:r>
      <w:r>
        <w:t xml:space="preserve"> </w:t>
      </w:r>
      <w:r>
        <w:rPr>
          <w:spacing w:val="-5"/>
        </w:rPr>
        <w:t>准的地热资源开采量，单位：</w:t>
      </w:r>
      <w:r>
        <w:rPr>
          <w:spacing w:val="-20"/>
        </w:rPr>
        <w:t xml:space="preserve"> </w:t>
      </w:r>
      <w:r>
        <w:rPr>
          <w:rFonts w:ascii="Times New Roman" w:eastAsia="Times New Roman" w:hAnsi="Times New Roman" w:cs="Times New Roman"/>
          <w:spacing w:val="-5"/>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rPr>
        <w:t>/d</w:t>
      </w:r>
      <w:r>
        <w:rPr>
          <w:spacing w:val="-5"/>
        </w:rPr>
        <w:t>。</w:t>
      </w:r>
    </w:p>
    <w:p>
      <w:pPr>
        <w:spacing w:line="236" w:lineRule="auto"/>
        <w:sectPr>
          <w:headerReference w:type="default" r:id="rId13"/>
          <w:footerReference w:type="default" r:id="rId14"/>
          <w:type w:val="nextPage"/>
          <w:pgSz w:w="11907" w:h="16839"/>
          <w:pgMar w:top="1659" w:right="1070" w:bottom="1311" w:left="1420" w:header="1448" w:footer="1133" w:gutter="0"/>
          <w:pgNumType w:start="2"/>
          <w:cols w:space="708"/>
          <w:titlePg w:val="0"/>
        </w:sect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41" w:line="188" w:lineRule="auto"/>
        <w:rPr>
          <w:rFonts w:ascii="Times New Roman" w:eastAsia="Times New Roman" w:hAnsi="Times New Roman" w:cs="Times New Roman"/>
          <w:sz w:val="14"/>
          <w:szCs w:val="14"/>
        </w:rPr>
      </w:pPr>
      <w:r>
        <w:rPr>
          <w:rFonts w:ascii="Times New Roman" w:eastAsia="Times New Roman" w:hAnsi="Times New Roman" w:cs="Times New Roman"/>
          <w:b/>
          <w:bCs/>
          <w:spacing w:val="-1"/>
          <w:sz w:val="14"/>
          <w:szCs w:val="14"/>
        </w:rPr>
        <w:t>DZ/T</w:t>
      </w:r>
      <w:r>
        <w:rPr>
          <w:rFonts w:ascii="Times New Roman" w:eastAsia="Times New Roman" w:hAnsi="Times New Roman" w:cs="Times New Roman"/>
          <w:b/>
          <w:bCs/>
          <w:spacing w:val="3"/>
          <w:sz w:val="14"/>
          <w:szCs w:val="14"/>
        </w:rPr>
        <w:t xml:space="preserve">        </w:t>
      </w:r>
      <w:r>
        <w:rPr>
          <w:rFonts w:ascii="Times New Roman" w:eastAsia="Times New Roman" w:hAnsi="Times New Roman" w:cs="Times New Roman"/>
          <w:b/>
          <w:bCs/>
          <w:spacing w:val="-1"/>
          <w:sz w:val="14"/>
          <w:szCs w:val="14"/>
        </w:rPr>
        <w:t>XXXXX—XXXX</w:t>
      </w:r>
    </w:p>
    <w:p>
      <w:pPr>
        <w:spacing w:line="252" w:lineRule="auto"/>
        <w:rPr>
          <w:rFonts w:ascii="Arial"/>
          <w:sz w:val="21"/>
        </w:rPr>
      </w:pPr>
    </w:p>
    <w:p>
      <w:pPr>
        <w:pStyle w:val="BodyText"/>
        <w:spacing w:before="68" w:line="183" w:lineRule="auto"/>
        <w:ind w:left="3"/>
      </w:pPr>
      <w:r>
        <w:rPr>
          <w:b/>
          <w:bCs/>
          <w:spacing w:val="-5"/>
        </w:rPr>
        <w:t>3.8</w:t>
      </w:r>
    </w:p>
    <w:p>
      <w:pPr>
        <w:pStyle w:val="BodyText"/>
        <w:spacing w:before="22" w:line="217" w:lineRule="auto"/>
        <w:ind w:left="442"/>
      </w:pPr>
      <w:r>
        <w:rPr>
          <w:rFonts w:ascii="SimHei" w:eastAsia="SimHei" w:hAnsi="SimHei" w:cs="SimHei"/>
          <w:b/>
          <w:bCs/>
          <w:spacing w:val="-18"/>
        </w:rPr>
        <w:t>地热可回灌量</w:t>
      </w:r>
      <w:r>
        <w:rPr>
          <w:rFonts w:ascii="SimHei" w:eastAsia="SimHei" w:hAnsi="SimHei" w:cs="SimHei"/>
          <w:spacing w:val="-39"/>
        </w:rPr>
        <w:t xml:space="preserve"> </w:t>
      </w:r>
      <w:r>
        <w:rPr>
          <w:spacing w:val="-18"/>
        </w:rPr>
        <w:t>permissible geothermal reinjection quantity</w:t>
      </w:r>
    </w:p>
    <w:p>
      <w:pPr>
        <w:pStyle w:val="BodyText"/>
        <w:spacing w:before="28" w:line="218" w:lineRule="auto"/>
        <w:ind w:left="439"/>
      </w:pPr>
      <w:r>
        <w:rPr>
          <w:spacing w:val="-4"/>
        </w:rPr>
        <w:t>保持地热资源评价要素相对稳定时地热田或开采区可接受的日最大回灌量，单位： m³/d。</w:t>
      </w:r>
    </w:p>
    <w:p>
      <w:pPr>
        <w:pStyle w:val="BodyText"/>
        <w:spacing w:before="46" w:line="183" w:lineRule="auto"/>
        <w:ind w:left="3"/>
      </w:pPr>
      <w:r>
        <w:rPr>
          <w:b/>
          <w:bCs/>
          <w:spacing w:val="-5"/>
        </w:rPr>
        <w:t>3.9</w:t>
      </w:r>
    </w:p>
    <w:p>
      <w:pPr>
        <w:spacing w:before="15" w:line="284" w:lineRule="exact"/>
        <w:ind w:left="442"/>
        <w:rPr>
          <w:rFonts w:ascii="Times New Roman" w:eastAsia="Times New Roman" w:hAnsi="Times New Roman" w:cs="Times New Roman"/>
          <w:sz w:val="21"/>
          <w:szCs w:val="21"/>
        </w:rPr>
      </w:pPr>
      <w:r>
        <w:rPr>
          <w:rFonts w:ascii="SimHei" w:eastAsia="SimHei" w:hAnsi="SimHei" w:cs="SimHei"/>
          <w:b/>
          <w:bCs/>
          <w:spacing w:val="-2"/>
          <w:position w:val="5"/>
          <w:sz w:val="21"/>
          <w:szCs w:val="21"/>
        </w:rPr>
        <w:t>地热生产井</w:t>
      </w:r>
      <w:r>
        <w:rPr>
          <w:rFonts w:ascii="SimHei" w:eastAsia="SimHei" w:hAnsi="SimHei" w:cs="SimHei"/>
          <w:spacing w:val="-2"/>
          <w:position w:val="5"/>
          <w:sz w:val="21"/>
          <w:szCs w:val="21"/>
        </w:rPr>
        <w:t xml:space="preserve"> </w:t>
      </w:r>
      <w:r>
        <w:rPr>
          <w:rFonts w:ascii="Times New Roman" w:eastAsia="Times New Roman" w:hAnsi="Times New Roman" w:cs="Times New Roman"/>
          <w:spacing w:val="-2"/>
          <w:position w:val="5"/>
          <w:sz w:val="21"/>
          <w:szCs w:val="21"/>
        </w:rPr>
        <w:t>geothermal production well</w:t>
      </w:r>
    </w:p>
    <w:p>
      <w:pPr>
        <w:pStyle w:val="BodyText"/>
        <w:spacing w:line="218" w:lineRule="auto"/>
        <w:ind w:left="439"/>
      </w:pPr>
      <w:r>
        <w:rPr>
          <w:spacing w:val="10"/>
        </w:rPr>
        <w:t>用于开采或回灌地热资源的井(孔)。</w:t>
      </w:r>
    </w:p>
    <w:p>
      <w:pPr>
        <w:pStyle w:val="BodyText"/>
        <w:spacing w:before="63" w:line="184" w:lineRule="auto"/>
        <w:ind w:left="3"/>
      </w:pPr>
      <w:r>
        <w:rPr>
          <w:b/>
          <w:bCs/>
          <w:spacing w:val="-5"/>
        </w:rPr>
        <w:t>3.10</w:t>
      </w:r>
    </w:p>
    <w:p>
      <w:pPr>
        <w:spacing w:before="36" w:line="212" w:lineRule="auto"/>
        <w:ind w:left="442"/>
        <w:rPr>
          <w:rFonts w:ascii="Times New Roman" w:eastAsia="Times New Roman" w:hAnsi="Times New Roman" w:cs="Times New Roman"/>
          <w:sz w:val="21"/>
          <w:szCs w:val="21"/>
        </w:rPr>
      </w:pPr>
      <w:r>
        <w:rPr>
          <w:rFonts w:ascii="SimHei" w:eastAsia="SimHei" w:hAnsi="SimHei" w:cs="SimHei"/>
          <w:b/>
          <w:bCs/>
          <w:spacing w:val="-1"/>
          <w:sz w:val="21"/>
          <w:szCs w:val="21"/>
        </w:rPr>
        <w:t>地热井井室</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geothermal well pump room</w:t>
      </w:r>
    </w:p>
    <w:p>
      <w:pPr>
        <w:pStyle w:val="BodyText"/>
        <w:spacing w:before="52" w:line="219" w:lineRule="auto"/>
        <w:ind w:left="439"/>
      </w:pPr>
      <w:r>
        <w:rPr>
          <w:spacing w:val="8"/>
        </w:rPr>
        <w:t>保护地热生产井及其附属装置的建(构)筑物。</w:t>
      </w:r>
    </w:p>
    <w:p>
      <w:pPr>
        <w:pStyle w:val="BodyText"/>
        <w:spacing w:before="72" w:line="184" w:lineRule="auto"/>
        <w:ind w:left="2"/>
        <w:rPr>
          <w:sz w:val="17"/>
          <w:szCs w:val="17"/>
        </w:rPr>
      </w:pPr>
      <w:r>
        <w:rPr>
          <w:b/>
          <w:bCs/>
          <w:spacing w:val="-4"/>
          <w:sz w:val="17"/>
          <w:szCs w:val="17"/>
        </w:rPr>
        <w:t>3.11</w:t>
      </w:r>
    </w:p>
    <w:p>
      <w:pPr>
        <w:spacing w:before="16" w:line="212" w:lineRule="auto"/>
        <w:ind w:left="442"/>
        <w:rPr>
          <w:rFonts w:ascii="Times New Roman" w:eastAsia="Times New Roman" w:hAnsi="Times New Roman" w:cs="Times New Roman"/>
          <w:sz w:val="21"/>
          <w:szCs w:val="21"/>
        </w:rPr>
      </w:pPr>
      <w:r>
        <w:rPr>
          <w:rFonts w:ascii="SimHei" w:eastAsia="SimHei" w:hAnsi="SimHei" w:cs="SimHei"/>
          <w:b/>
          <w:bCs/>
          <w:spacing w:val="-1"/>
          <w:sz w:val="21"/>
          <w:szCs w:val="21"/>
        </w:rPr>
        <w:t>地热井井口装置</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geothermal wellhead device</w:t>
      </w:r>
    </w:p>
    <w:p>
      <w:pPr>
        <w:pStyle w:val="BodyText"/>
        <w:spacing w:before="74" w:line="219" w:lineRule="auto"/>
        <w:ind w:left="439"/>
      </w:pPr>
      <w:r>
        <w:rPr>
          <w:spacing w:val="-2"/>
        </w:rPr>
        <w:t>安装在地热生产井井口的监测设备和保护装置。</w:t>
      </w:r>
    </w:p>
    <w:p>
      <w:pPr>
        <w:pStyle w:val="BodyText"/>
        <w:spacing w:before="41" w:line="180" w:lineRule="auto"/>
        <w:ind w:left="3"/>
      </w:pPr>
      <w:r>
        <w:rPr>
          <w:b/>
          <w:bCs/>
          <w:spacing w:val="-5"/>
        </w:rPr>
        <w:t>3.12</w:t>
      </w:r>
    </w:p>
    <w:p>
      <w:pPr>
        <w:spacing w:line="212" w:lineRule="auto"/>
        <w:ind w:left="442"/>
        <w:rPr>
          <w:rFonts w:ascii="Times New Roman" w:eastAsia="Times New Roman" w:hAnsi="Times New Roman" w:cs="Times New Roman"/>
          <w:sz w:val="21"/>
          <w:szCs w:val="21"/>
        </w:rPr>
      </w:pPr>
      <w:r>
        <w:rPr>
          <w:rFonts w:ascii="SimHei" w:eastAsia="SimHei" w:hAnsi="SimHei" w:cs="SimHei"/>
          <w:b/>
          <w:bCs/>
          <w:spacing w:val="-1"/>
          <w:sz w:val="21"/>
          <w:szCs w:val="21"/>
        </w:rPr>
        <w:t>监测设备</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monitoring facilities</w:t>
      </w:r>
    </w:p>
    <w:p>
      <w:pPr>
        <w:pStyle w:val="BodyText"/>
        <w:spacing w:before="43" w:line="219" w:lineRule="auto"/>
        <w:ind w:left="439"/>
      </w:pPr>
      <w:r>
        <w:rPr>
          <w:spacing w:val="-2"/>
        </w:rPr>
        <w:t>安装在地热生产井内或者管道上的用于监测相关参数的设备。</w:t>
      </w:r>
    </w:p>
    <w:p>
      <w:pPr>
        <w:pStyle w:val="BodyText"/>
        <w:spacing w:before="1" w:line="218" w:lineRule="auto"/>
        <w:ind w:left="389"/>
      </w:pPr>
      <w:r>
        <w:rPr>
          <w:spacing w:val="-22"/>
          <w:w w:val="97"/>
        </w:rPr>
        <w:t>注：包括但不限于水位仪、温度计、流量计、压</w:t>
      </w:r>
      <w:r>
        <w:rPr>
          <w:spacing w:val="-23"/>
          <w:w w:val="97"/>
        </w:rPr>
        <w:t>力表和流体采集口等。</w:t>
      </w:r>
    </w:p>
    <w:p>
      <w:pPr>
        <w:pStyle w:val="BodyText"/>
        <w:spacing w:before="63" w:line="184" w:lineRule="auto"/>
        <w:ind w:left="3"/>
      </w:pPr>
      <w:r>
        <w:rPr>
          <w:b/>
          <w:bCs/>
          <w:spacing w:val="-5"/>
        </w:rPr>
        <w:t>3.13</w:t>
      </w:r>
    </w:p>
    <w:p>
      <w:pPr>
        <w:spacing w:before="6" w:line="212" w:lineRule="auto"/>
        <w:ind w:left="439"/>
        <w:rPr>
          <w:rFonts w:ascii="Times New Roman" w:eastAsia="Times New Roman" w:hAnsi="Times New Roman" w:cs="Times New Roman"/>
          <w:sz w:val="21"/>
          <w:szCs w:val="21"/>
        </w:rPr>
      </w:pPr>
      <w:r>
        <w:rPr>
          <w:rFonts w:ascii="SimHei" w:eastAsia="SimHei" w:hAnsi="SimHei" w:cs="SimHei"/>
          <w:sz w:val="21"/>
          <w:szCs w:val="21"/>
        </w:rPr>
        <w:t>地热资源梯级利用</w:t>
      </w:r>
      <w:r>
        <w:rPr>
          <w:rFonts w:ascii="SimHei" w:eastAsia="SimHei" w:hAnsi="SimHei" w:cs="SimHei"/>
          <w:sz w:val="21"/>
          <w:szCs w:val="21"/>
        </w:rPr>
        <w:t xml:space="preserve"> </w:t>
      </w:r>
      <w:r>
        <w:rPr>
          <w:rFonts w:ascii="Times New Roman" w:eastAsia="Times New Roman" w:hAnsi="Times New Roman" w:cs="Times New Roman"/>
          <w:sz w:val="21"/>
          <w:szCs w:val="21"/>
        </w:rPr>
        <w:t>cascade utilization of</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geothermal resources</w:t>
      </w:r>
    </w:p>
    <w:p>
      <w:pPr>
        <w:pStyle w:val="BodyText"/>
        <w:spacing w:before="32" w:line="246" w:lineRule="auto"/>
        <w:ind w:right="19" w:firstLine="439"/>
      </w:pPr>
      <w:r>
        <w:rPr>
          <w:spacing w:val="-3"/>
        </w:rPr>
        <w:t>根据地热资源的流体数量、质量和能量特征，采取系统合理的经济技术措施和方案，按照</w:t>
      </w:r>
      <w:r>
        <w:rPr>
          <w:spacing w:val="-4"/>
        </w:rPr>
        <w:t>温度由高</w:t>
      </w:r>
      <w:r>
        <w:t xml:space="preserve"> </w:t>
      </w:r>
      <w:r>
        <w:rPr>
          <w:spacing w:val="-1"/>
        </w:rPr>
        <w:t>到低对地热流体量及其赋含的热能、特有化学</w:t>
      </w:r>
      <w:r>
        <w:rPr>
          <w:spacing w:val="-2"/>
        </w:rPr>
        <w:t>组分进行分级利用的方式。</w:t>
      </w:r>
    </w:p>
    <w:p>
      <w:pPr>
        <w:spacing w:before="247" w:line="222" w:lineRule="auto"/>
        <w:ind w:left="3"/>
        <w:rPr>
          <w:rFonts w:ascii="SimHei" w:eastAsia="SimHei" w:hAnsi="SimHei" w:cs="SimHei"/>
          <w:sz w:val="21"/>
          <w:szCs w:val="21"/>
        </w:rPr>
      </w:pPr>
      <w:r>
        <w:rPr>
          <w:rFonts w:ascii="SimHei" w:eastAsia="SimHei" w:hAnsi="SimHei" w:cs="SimHei"/>
          <w:b/>
          <w:bCs/>
          <w:spacing w:val="1"/>
          <w:sz w:val="21"/>
          <w:szCs w:val="21"/>
        </w:rPr>
        <w:t>4</w:t>
      </w:r>
      <w:r>
        <w:rPr>
          <w:rFonts w:ascii="SimHei" w:eastAsia="SimHei" w:hAnsi="SimHei" w:cs="SimHei"/>
          <w:spacing w:val="83"/>
          <w:sz w:val="21"/>
          <w:szCs w:val="21"/>
        </w:rPr>
        <w:t xml:space="preserve"> </w:t>
      </w:r>
      <w:r>
        <w:rPr>
          <w:rFonts w:ascii="SimHei" w:eastAsia="SimHei" w:hAnsi="SimHei" w:cs="SimHei"/>
          <w:b/>
          <w:bCs/>
          <w:spacing w:val="1"/>
          <w:sz w:val="21"/>
          <w:szCs w:val="21"/>
        </w:rPr>
        <w:t>总则</w:t>
      </w:r>
    </w:p>
    <w:p>
      <w:pPr>
        <w:spacing w:before="239" w:line="223" w:lineRule="auto"/>
        <w:ind w:left="3"/>
        <w:rPr>
          <w:rFonts w:ascii="SimHei" w:eastAsia="SimHei" w:hAnsi="SimHei" w:cs="SimHei"/>
          <w:sz w:val="21"/>
          <w:szCs w:val="21"/>
        </w:rPr>
      </w:pPr>
      <w:r>
        <w:rPr>
          <w:rFonts w:ascii="SimHei" w:eastAsia="SimHei" w:hAnsi="SimHei" w:cs="SimHei"/>
          <w:b/>
          <w:bCs/>
          <w:spacing w:val="-4"/>
          <w:sz w:val="21"/>
          <w:szCs w:val="21"/>
        </w:rPr>
        <w:t>4.1</w:t>
      </w:r>
      <w:r>
        <w:rPr>
          <w:rFonts w:ascii="SimHei" w:eastAsia="SimHei" w:hAnsi="SimHei" w:cs="SimHei"/>
          <w:spacing w:val="104"/>
          <w:sz w:val="21"/>
          <w:szCs w:val="21"/>
        </w:rPr>
        <w:t xml:space="preserve"> </w:t>
      </w:r>
      <w:r>
        <w:rPr>
          <w:rFonts w:ascii="SimHei" w:eastAsia="SimHei" w:hAnsi="SimHei" w:cs="SimHei"/>
          <w:b/>
          <w:bCs/>
          <w:spacing w:val="-4"/>
          <w:sz w:val="21"/>
          <w:szCs w:val="21"/>
        </w:rPr>
        <w:t>目的</w:t>
      </w:r>
    </w:p>
    <w:p>
      <w:pPr>
        <w:pStyle w:val="BodyText"/>
        <w:spacing w:before="157" w:line="224" w:lineRule="auto"/>
        <w:ind w:firstLine="439"/>
      </w:pPr>
      <w:r>
        <w:rPr>
          <w:spacing w:val="-3"/>
        </w:rPr>
        <w:t>根据地热资源条件进行科学合理开发利用，避免或减小地热资源开发对地质环境的不良影响，实现</w:t>
      </w:r>
      <w:r>
        <w:rPr>
          <w:spacing w:val="16"/>
        </w:rPr>
        <w:t xml:space="preserve"> </w:t>
      </w:r>
      <w:r>
        <w:rPr>
          <w:spacing w:val="-3"/>
        </w:rPr>
        <w:t>地热资源可持续开发和最佳综合效益。</w:t>
      </w:r>
    </w:p>
    <w:p>
      <w:pPr>
        <w:spacing w:before="158" w:line="222" w:lineRule="auto"/>
        <w:ind w:left="3"/>
        <w:outlineLvl w:val="0"/>
        <w:rPr>
          <w:rFonts w:ascii="SimHei" w:eastAsia="SimHei" w:hAnsi="SimHei" w:cs="SimHei"/>
          <w:sz w:val="21"/>
          <w:szCs w:val="21"/>
        </w:rPr>
      </w:pPr>
      <w:r>
        <w:rPr>
          <w:rFonts w:ascii="SimHei" w:eastAsia="SimHei" w:hAnsi="SimHei" w:cs="SimHei"/>
          <w:b/>
          <w:bCs/>
          <w:spacing w:val="-1"/>
          <w:sz w:val="21"/>
          <w:szCs w:val="21"/>
        </w:rPr>
        <w:t>4.2</w:t>
      </w:r>
      <w:r>
        <w:rPr>
          <w:rFonts w:ascii="SimHei" w:eastAsia="SimHei" w:hAnsi="SimHei" w:cs="SimHei"/>
          <w:spacing w:val="85"/>
          <w:sz w:val="21"/>
          <w:szCs w:val="21"/>
        </w:rPr>
        <w:t xml:space="preserve"> </w:t>
      </w:r>
      <w:r>
        <w:rPr>
          <w:rFonts w:ascii="SimHei" w:eastAsia="SimHei" w:hAnsi="SimHei" w:cs="SimHei"/>
          <w:b/>
          <w:bCs/>
          <w:spacing w:val="-1"/>
          <w:sz w:val="21"/>
          <w:szCs w:val="21"/>
        </w:rPr>
        <w:t>基本原则</w:t>
      </w:r>
    </w:p>
    <w:p>
      <w:pPr>
        <w:pStyle w:val="BodyText"/>
        <w:spacing w:before="122" w:line="219" w:lineRule="auto"/>
        <w:ind w:left="2"/>
      </w:pPr>
      <w:r>
        <w:rPr>
          <w:b/>
          <w:bCs/>
          <w:spacing w:val="-3"/>
        </w:rPr>
        <w:t>4.2.1</w:t>
      </w:r>
      <w:r>
        <w:rPr>
          <w:spacing w:val="-3"/>
        </w:rPr>
        <w:t xml:space="preserve">  坚持可持续开发的原则。</w:t>
      </w:r>
    </w:p>
    <w:p>
      <w:pPr>
        <w:pStyle w:val="BodyText"/>
        <w:spacing w:before="41" w:line="219" w:lineRule="auto"/>
      </w:pPr>
      <w:r>
        <w:rPr>
          <w:rFonts w:ascii="Times New Roman" w:eastAsia="Times New Roman" w:hAnsi="Times New Roman" w:cs="Times New Roman"/>
          <w:b/>
          <w:bCs/>
          <w:spacing w:val="1"/>
        </w:rPr>
        <w:t xml:space="preserve">4.2.2     </w:t>
      </w:r>
      <w:r>
        <w:rPr>
          <w:spacing w:val="1"/>
        </w:rPr>
        <w:t>坚持资源节约、高效利用</w:t>
      </w:r>
      <w:r>
        <w:t>的原则。</w:t>
      </w:r>
    </w:p>
    <w:p>
      <w:pPr>
        <w:pStyle w:val="BodyText"/>
        <w:spacing w:before="40" w:line="211" w:lineRule="auto"/>
      </w:pPr>
      <w:r>
        <w:rPr>
          <w:rFonts w:ascii="Times New Roman" w:eastAsia="Times New Roman" w:hAnsi="Times New Roman" w:cs="Times New Roman"/>
          <w:b/>
          <w:bCs/>
          <w:spacing w:val="1"/>
        </w:rPr>
        <w:t xml:space="preserve">4.2.3     </w:t>
      </w:r>
      <w:r>
        <w:rPr>
          <w:spacing w:val="1"/>
        </w:rPr>
        <w:t>坚持资源开发利用与环境友好协调统一的原则。</w:t>
      </w:r>
    </w:p>
    <w:p>
      <w:pPr>
        <w:pStyle w:val="BodyText"/>
        <w:spacing w:before="1" w:line="219" w:lineRule="auto"/>
        <w:ind w:left="3"/>
      </w:pPr>
      <w:r>
        <w:rPr>
          <w:b/>
          <w:bCs/>
          <w:spacing w:val="-3"/>
        </w:rPr>
        <w:t>4.2.4</w:t>
      </w:r>
      <w:r>
        <w:rPr>
          <w:spacing w:val="-3"/>
        </w:rPr>
        <w:t xml:space="preserve">  坚持因地制宜、针对性开发的原则。</w:t>
      </w:r>
    </w:p>
    <w:p>
      <w:pPr>
        <w:spacing w:before="158" w:line="222" w:lineRule="auto"/>
        <w:ind w:left="3"/>
        <w:outlineLvl w:val="0"/>
        <w:rPr>
          <w:rFonts w:ascii="SimHei" w:eastAsia="SimHei" w:hAnsi="SimHei" w:cs="SimHei"/>
          <w:sz w:val="21"/>
          <w:szCs w:val="21"/>
        </w:rPr>
      </w:pPr>
      <w:r>
        <w:rPr>
          <w:rFonts w:ascii="SimHei" w:eastAsia="SimHei" w:hAnsi="SimHei" w:cs="SimHei"/>
          <w:b/>
          <w:bCs/>
          <w:spacing w:val="-4"/>
          <w:sz w:val="21"/>
          <w:szCs w:val="21"/>
        </w:rPr>
        <w:t>4.3</w:t>
      </w:r>
      <w:r>
        <w:rPr>
          <w:rFonts w:ascii="SimHei" w:eastAsia="SimHei" w:hAnsi="SimHei" w:cs="SimHei"/>
          <w:spacing w:val="82"/>
          <w:sz w:val="21"/>
          <w:szCs w:val="21"/>
        </w:rPr>
        <w:t xml:space="preserve"> </w:t>
      </w:r>
      <w:r>
        <w:rPr>
          <w:rFonts w:ascii="SimHei" w:eastAsia="SimHei" w:hAnsi="SimHei" w:cs="SimHei"/>
          <w:b/>
          <w:bCs/>
          <w:spacing w:val="-4"/>
          <w:sz w:val="21"/>
          <w:szCs w:val="21"/>
        </w:rPr>
        <w:t>总体要求</w:t>
      </w:r>
    </w:p>
    <w:p>
      <w:pPr>
        <w:pStyle w:val="BodyText"/>
        <w:spacing w:before="119" w:line="219" w:lineRule="auto"/>
        <w:ind w:left="2"/>
      </w:pPr>
      <w:r>
        <w:rPr>
          <w:b/>
          <w:bCs/>
          <w:spacing w:val="-2"/>
        </w:rPr>
        <w:t>4.3.1</w:t>
      </w:r>
      <w:r>
        <w:rPr>
          <w:spacing w:val="-2"/>
        </w:rPr>
        <w:t xml:space="preserve">  开发利用应以地质勘查成果为基础，勘查精度应满足设计要求。</w:t>
      </w:r>
    </w:p>
    <w:p>
      <w:pPr>
        <w:pStyle w:val="BodyText"/>
        <w:spacing w:before="51" w:line="219" w:lineRule="auto"/>
        <w:sectPr>
          <w:headerReference w:type="default" r:id="rId15"/>
          <w:footerReference w:type="default" r:id="rId16"/>
          <w:pgSz w:w="11910" w:h="16840"/>
          <w:pgMar w:top="400" w:right="1451" w:bottom="1288" w:left="1100" w:header="0" w:footer="1149" w:gutter="0"/>
          <w:pgNumType w:start="3"/>
          <w:cols w:space="708"/>
        </w:sectPr>
      </w:pPr>
      <w:r>
        <w:rPr>
          <w:rFonts w:ascii="Arial" w:eastAsia="Arial" w:hAnsi="Arial" w:cs="Arial"/>
          <w:b/>
          <w:bCs/>
        </w:rPr>
        <w:t xml:space="preserve">4.3.2    </w:t>
      </w:r>
      <w:r>
        <w:t>科学合理利用热能、地热流体及化学组分。</w:t>
      </w:r>
    </w:p>
    <w:p>
      <w:pPr>
        <w:pStyle w:val="BodyText"/>
        <w:spacing w:before="32" w:line="219" w:lineRule="auto"/>
      </w:pPr>
      <w:r>
        <w:rPr>
          <w:rFonts w:ascii="Times New Roman" w:eastAsia="Times New Roman" w:hAnsi="Times New Roman" w:cs="Times New Roman"/>
          <w:b/>
          <w:bCs/>
          <w:spacing w:val="1"/>
        </w:rPr>
        <w:t xml:space="preserve">4.3.3     </w:t>
      </w:r>
      <w:r>
        <w:rPr>
          <w:spacing w:val="1"/>
        </w:rPr>
        <w:t>宜根据地热流体质量进行针对性开发利用，具备条件的应进行梯级利用。</w:t>
      </w:r>
    </w:p>
    <w:p>
      <w:pPr>
        <w:pStyle w:val="BodyText"/>
        <w:spacing w:before="1" w:line="219" w:lineRule="auto"/>
      </w:pPr>
      <w:r>
        <w:rPr>
          <w:rFonts w:ascii="Times New Roman" w:eastAsia="Times New Roman" w:hAnsi="Times New Roman" w:cs="Times New Roman"/>
          <w:b/>
          <w:bCs/>
          <w:spacing w:val="-2"/>
        </w:rPr>
        <w:t>4.3.4</w:t>
      </w:r>
      <w:r>
        <w:rPr>
          <w:rFonts w:ascii="Times New Roman" w:eastAsia="Times New Roman" w:hAnsi="Times New Roman" w:cs="Times New Roman"/>
          <w:b/>
          <w:bCs/>
          <w:spacing w:val="8"/>
        </w:rPr>
        <w:t xml:space="preserve">     </w:t>
      </w:r>
      <w:r>
        <w:rPr>
          <w:spacing w:val="-2"/>
        </w:rPr>
        <w:t>地热尾水应进行回灌。</w:t>
      </w:r>
    </w:p>
    <w:p>
      <w:pPr>
        <w:spacing w:before="266" w:line="221" w:lineRule="auto"/>
        <w:ind w:left="3"/>
        <w:rPr>
          <w:rFonts w:ascii="SimHei" w:eastAsia="SimHei" w:hAnsi="SimHei" w:cs="SimHei"/>
          <w:sz w:val="21"/>
          <w:szCs w:val="21"/>
        </w:rPr>
      </w:pPr>
      <w:r>
        <w:rPr>
          <w:rFonts w:ascii="SimHei" w:eastAsia="SimHei" w:hAnsi="SimHei" w:cs="SimHei"/>
          <w:b/>
          <w:bCs/>
          <w:spacing w:val="-4"/>
          <w:sz w:val="21"/>
          <w:szCs w:val="21"/>
        </w:rPr>
        <w:t>5</w:t>
      </w:r>
      <w:r>
        <w:rPr>
          <w:rFonts w:ascii="SimHei" w:eastAsia="SimHei" w:hAnsi="SimHei" w:cs="SimHei"/>
          <w:spacing w:val="77"/>
          <w:sz w:val="21"/>
          <w:szCs w:val="21"/>
        </w:rPr>
        <w:t xml:space="preserve"> </w:t>
      </w:r>
      <w:r>
        <w:rPr>
          <w:rFonts w:ascii="SimHei" w:eastAsia="SimHei" w:hAnsi="SimHei" w:cs="SimHei"/>
          <w:b/>
          <w:bCs/>
          <w:spacing w:val="-4"/>
          <w:sz w:val="21"/>
          <w:szCs w:val="21"/>
        </w:rPr>
        <w:t>地热资源利用方式</w:t>
      </w:r>
    </w:p>
    <w:p>
      <w:pPr>
        <w:spacing w:before="269" w:line="222" w:lineRule="auto"/>
        <w:ind w:left="3"/>
        <w:outlineLvl w:val="0"/>
        <w:rPr>
          <w:rFonts w:ascii="SimHei" w:eastAsia="SimHei" w:hAnsi="SimHei" w:cs="SimHei"/>
          <w:sz w:val="21"/>
          <w:szCs w:val="21"/>
        </w:rPr>
      </w:pPr>
      <w:r>
        <w:rPr>
          <w:rFonts w:ascii="SimHei" w:eastAsia="SimHei" w:hAnsi="SimHei" w:cs="SimHei"/>
          <w:b/>
          <w:bCs/>
          <w:sz w:val="21"/>
          <w:szCs w:val="21"/>
        </w:rPr>
        <w:t>5.1</w:t>
      </w:r>
      <w:r>
        <w:rPr>
          <w:rFonts w:ascii="SimHei" w:eastAsia="SimHei" w:hAnsi="SimHei" w:cs="SimHei"/>
          <w:spacing w:val="87"/>
          <w:sz w:val="21"/>
          <w:szCs w:val="21"/>
        </w:rPr>
        <w:t xml:space="preserve"> </w:t>
      </w:r>
      <w:r>
        <w:rPr>
          <w:rFonts w:ascii="SimHei" w:eastAsia="SimHei" w:hAnsi="SimHei" w:cs="SimHei"/>
          <w:b/>
          <w:bCs/>
          <w:sz w:val="21"/>
          <w:szCs w:val="21"/>
        </w:rPr>
        <w:t>热能利用</w:t>
      </w:r>
    </w:p>
    <w:p>
      <w:pPr>
        <w:pStyle w:val="BodyText"/>
        <w:spacing w:before="120" w:line="219" w:lineRule="auto"/>
        <w:ind w:left="439"/>
      </w:pPr>
      <w:r>
        <w:rPr>
          <w:spacing w:val="-5"/>
        </w:rPr>
        <w:t>包括但不限于发电、烘干、采暖、温室等，其运行效率与流体的温度关系密切，各利用方式见表1:</w:t>
      </w:r>
    </w:p>
    <w:p>
      <w:pPr>
        <w:spacing w:before="158" w:line="221" w:lineRule="auto"/>
        <w:ind w:left="3613"/>
        <w:rPr>
          <w:rFonts w:ascii="SimHei" w:eastAsia="SimHei" w:hAnsi="SimHei" w:cs="SimHei"/>
          <w:sz w:val="21"/>
          <w:szCs w:val="21"/>
        </w:rPr>
      </w:pPr>
      <w:r>
        <w:rPr>
          <w:rFonts w:ascii="SimHei" w:eastAsia="SimHei" w:hAnsi="SimHei" w:cs="SimHei"/>
          <w:b/>
          <w:bCs/>
          <w:spacing w:val="-5"/>
          <w:sz w:val="21"/>
          <w:szCs w:val="21"/>
        </w:rPr>
        <w:t>表1</w:t>
      </w:r>
      <w:r>
        <w:rPr>
          <w:rFonts w:ascii="SimHei" w:eastAsia="SimHei" w:hAnsi="SimHei" w:cs="SimHei"/>
          <w:spacing w:val="98"/>
          <w:sz w:val="21"/>
          <w:szCs w:val="21"/>
        </w:rPr>
        <w:t xml:space="preserve"> </w:t>
      </w:r>
      <w:r>
        <w:rPr>
          <w:rFonts w:ascii="SimHei" w:eastAsia="SimHei" w:hAnsi="SimHei" w:cs="SimHei"/>
          <w:b/>
          <w:bCs/>
          <w:spacing w:val="-5"/>
          <w:sz w:val="21"/>
          <w:szCs w:val="21"/>
        </w:rPr>
        <w:t>热能主要利用方式</w:t>
      </w:r>
    </w:p>
    <w:p>
      <w:pPr>
        <w:spacing w:line="110" w:lineRule="exact"/>
      </w:pPr>
    </w:p>
    <w:tbl>
      <w:tblPr>
        <w:tblStyle w:val="TableNormal0"/>
        <w:tblW w:w="7649" w:type="dxa"/>
        <w:tblInd w:w="8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13"/>
        <w:gridCol w:w="3126"/>
        <w:gridCol w:w="3110"/>
      </w:tblGrid>
      <w:tr>
        <w:tblPrEx>
          <w:tblW w:w="7649" w:type="dxa"/>
          <w:tblInd w:w="8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33"/>
        </w:trPr>
        <w:tc>
          <w:tcPr>
            <w:tcW w:w="1413" w:type="dxa"/>
            <w:vAlign w:val="top"/>
          </w:tcPr>
          <w:p>
            <w:pPr>
              <w:spacing w:before="24" w:line="193" w:lineRule="auto"/>
              <w:ind w:left="504"/>
              <w:rPr>
                <w:rFonts w:ascii="SimSun" w:eastAsia="SimSun" w:hAnsi="SimSun" w:cs="SimSun"/>
                <w:sz w:val="19"/>
                <w:szCs w:val="19"/>
              </w:rPr>
            </w:pPr>
            <w:r>
              <w:rPr>
                <w:rFonts w:ascii="SimSun" w:eastAsia="SimSun" w:hAnsi="SimSun" w:cs="SimSun"/>
                <w:spacing w:val="-2"/>
                <w:sz w:val="19"/>
                <w:szCs w:val="19"/>
              </w:rPr>
              <w:t>序号</w:t>
            </w:r>
          </w:p>
        </w:tc>
        <w:tc>
          <w:tcPr>
            <w:tcW w:w="3126" w:type="dxa"/>
            <w:vAlign w:val="top"/>
          </w:tcPr>
          <w:p>
            <w:pPr>
              <w:spacing w:before="24" w:line="193" w:lineRule="auto"/>
              <w:ind w:left="1171"/>
              <w:rPr>
                <w:rFonts w:ascii="SimSun" w:eastAsia="SimSun" w:hAnsi="SimSun" w:cs="SimSun"/>
                <w:sz w:val="19"/>
                <w:szCs w:val="19"/>
              </w:rPr>
            </w:pPr>
            <w:r>
              <w:rPr>
                <w:rFonts w:ascii="SimSun" w:eastAsia="SimSun" w:hAnsi="SimSun" w:cs="SimSun"/>
                <w:spacing w:val="-2"/>
                <w:sz w:val="19"/>
                <w:szCs w:val="19"/>
              </w:rPr>
              <w:t>主要用途</w:t>
            </w:r>
          </w:p>
        </w:tc>
        <w:tc>
          <w:tcPr>
            <w:tcW w:w="3110" w:type="dxa"/>
            <w:vAlign w:val="top"/>
          </w:tcPr>
          <w:p>
            <w:pPr>
              <w:spacing w:before="23" w:line="194" w:lineRule="auto"/>
              <w:ind w:left="646"/>
              <w:rPr>
                <w:rFonts w:ascii="SimSun" w:eastAsia="SimSun" w:hAnsi="SimSun" w:cs="SimSun"/>
                <w:sz w:val="19"/>
                <w:szCs w:val="19"/>
              </w:rPr>
            </w:pPr>
            <w:r>
              <w:rPr>
                <w:rFonts w:ascii="SimSun" w:eastAsia="SimSun" w:hAnsi="SimSun" w:cs="SimSun"/>
                <w:spacing w:val="3"/>
                <w:sz w:val="19"/>
                <w:szCs w:val="19"/>
              </w:rPr>
              <w:t>温度(t)界限(单位℃)</w:t>
            </w:r>
          </w:p>
        </w:tc>
      </w:tr>
      <w:tr>
        <w:tblPrEx>
          <w:tblW w:w="7649" w:type="dxa"/>
          <w:tblInd w:w="880" w:type="dxa"/>
          <w:tblLayout w:type="fixed"/>
        </w:tblPrEx>
        <w:trPr>
          <w:trHeight w:val="238"/>
        </w:trPr>
        <w:tc>
          <w:tcPr>
            <w:tcW w:w="1413" w:type="dxa"/>
            <w:vAlign w:val="top"/>
          </w:tcPr>
          <w:p>
            <w:pPr>
              <w:spacing w:line="228" w:lineRule="exact"/>
              <w:rPr>
                <w:rFonts w:ascii="Arial"/>
                <w:sz w:val="19"/>
              </w:rPr>
            </w:pPr>
          </w:p>
        </w:tc>
        <w:tc>
          <w:tcPr>
            <w:tcW w:w="3126" w:type="dxa"/>
            <w:vAlign w:val="top"/>
          </w:tcPr>
          <w:p>
            <w:pPr>
              <w:spacing w:before="30" w:line="192" w:lineRule="auto"/>
              <w:ind w:left="1361"/>
              <w:rPr>
                <w:rFonts w:ascii="SimSun" w:eastAsia="SimSun" w:hAnsi="SimSun" w:cs="SimSun"/>
                <w:sz w:val="19"/>
                <w:szCs w:val="19"/>
              </w:rPr>
            </w:pPr>
            <w:r>
              <w:rPr>
                <w:rFonts w:ascii="SimSun" w:eastAsia="SimSun" w:hAnsi="SimSun" w:cs="SimSun"/>
                <w:spacing w:val="5"/>
                <w:sz w:val="19"/>
                <w:szCs w:val="19"/>
              </w:rPr>
              <w:t>发电</w:t>
            </w:r>
          </w:p>
        </w:tc>
        <w:tc>
          <w:tcPr>
            <w:tcW w:w="3110" w:type="dxa"/>
            <w:vAlign w:val="top"/>
          </w:tcPr>
          <w:p>
            <w:pPr>
              <w:spacing w:before="47" w:line="175" w:lineRule="auto"/>
              <w:ind w:left="1305"/>
              <w:rPr>
                <w:rFonts w:ascii="SimSun" w:eastAsia="SimSun" w:hAnsi="SimSun" w:cs="SimSun"/>
                <w:sz w:val="19"/>
                <w:szCs w:val="19"/>
              </w:rPr>
            </w:pPr>
            <w:r>
              <w:rPr>
                <w:rFonts w:ascii="SimSun" w:eastAsia="SimSun" w:hAnsi="SimSun" w:cs="SimSun"/>
                <w:spacing w:val="-3"/>
                <w:sz w:val="19"/>
                <w:szCs w:val="19"/>
              </w:rPr>
              <w:t>t≥90</w:t>
            </w:r>
          </w:p>
        </w:tc>
      </w:tr>
      <w:tr>
        <w:tblPrEx>
          <w:tblW w:w="7649" w:type="dxa"/>
          <w:tblInd w:w="880" w:type="dxa"/>
          <w:tblLayout w:type="fixed"/>
        </w:tblPrEx>
        <w:trPr>
          <w:trHeight w:val="237"/>
        </w:trPr>
        <w:tc>
          <w:tcPr>
            <w:tcW w:w="1413" w:type="dxa"/>
            <w:vAlign w:val="top"/>
          </w:tcPr>
          <w:p>
            <w:pPr>
              <w:spacing w:before="80" w:line="146" w:lineRule="exact"/>
              <w:ind w:left="644"/>
              <w:rPr>
                <w:rFonts w:ascii="SimSun" w:eastAsia="SimSun" w:hAnsi="SimSun" w:cs="SimSun"/>
                <w:sz w:val="19"/>
                <w:szCs w:val="19"/>
              </w:rPr>
            </w:pPr>
            <w:r>
              <w:rPr>
                <w:rFonts w:ascii="SimSun" w:eastAsia="SimSun" w:hAnsi="SimSun" w:cs="SimSun"/>
                <w:position w:val="-2"/>
                <w:sz w:val="19"/>
                <w:szCs w:val="19"/>
              </w:rPr>
              <w:t>2</w:t>
            </w:r>
          </w:p>
        </w:tc>
        <w:tc>
          <w:tcPr>
            <w:tcW w:w="3126" w:type="dxa"/>
            <w:vAlign w:val="top"/>
          </w:tcPr>
          <w:p>
            <w:pPr>
              <w:spacing w:before="31" w:line="190" w:lineRule="auto"/>
              <w:ind w:left="1361"/>
              <w:rPr>
                <w:rFonts w:ascii="SimSun" w:eastAsia="SimSun" w:hAnsi="SimSun" w:cs="SimSun"/>
                <w:sz w:val="19"/>
                <w:szCs w:val="19"/>
              </w:rPr>
            </w:pPr>
            <w:r>
              <w:rPr>
                <w:rFonts w:ascii="SimSun" w:eastAsia="SimSun" w:hAnsi="SimSun" w:cs="SimSun"/>
                <w:spacing w:val="-2"/>
                <w:sz w:val="19"/>
                <w:szCs w:val="19"/>
              </w:rPr>
              <w:t>烘干</w:t>
            </w:r>
          </w:p>
        </w:tc>
        <w:tc>
          <w:tcPr>
            <w:tcW w:w="3110" w:type="dxa"/>
            <w:vAlign w:val="top"/>
          </w:tcPr>
          <w:p>
            <w:pPr>
              <w:spacing w:before="49" w:line="172" w:lineRule="auto"/>
              <w:ind w:left="1305"/>
              <w:rPr>
                <w:rFonts w:ascii="SimSun" w:eastAsia="SimSun" w:hAnsi="SimSun" w:cs="SimSun"/>
                <w:sz w:val="19"/>
                <w:szCs w:val="19"/>
              </w:rPr>
            </w:pPr>
            <w:r>
              <w:rPr>
                <w:rFonts w:ascii="SimSun" w:eastAsia="SimSun" w:hAnsi="SimSun" w:cs="SimSun"/>
                <w:spacing w:val="-3"/>
                <w:sz w:val="19"/>
                <w:szCs w:val="19"/>
              </w:rPr>
              <w:t>t≥90</w:t>
            </w:r>
          </w:p>
        </w:tc>
      </w:tr>
      <w:tr>
        <w:tblPrEx>
          <w:tblW w:w="7649" w:type="dxa"/>
          <w:tblInd w:w="880" w:type="dxa"/>
          <w:tblLayout w:type="fixed"/>
        </w:tblPrEx>
        <w:trPr>
          <w:trHeight w:val="228"/>
        </w:trPr>
        <w:tc>
          <w:tcPr>
            <w:tcW w:w="1413" w:type="dxa"/>
            <w:vAlign w:val="top"/>
          </w:tcPr>
          <w:p>
            <w:pPr>
              <w:spacing w:before="73" w:line="145" w:lineRule="exact"/>
              <w:ind w:left="644"/>
              <w:rPr>
                <w:rFonts w:ascii="SimSun" w:eastAsia="SimSun" w:hAnsi="SimSun" w:cs="SimSun"/>
                <w:sz w:val="19"/>
                <w:szCs w:val="19"/>
              </w:rPr>
            </w:pPr>
            <w:r>
              <w:rPr>
                <w:rFonts w:ascii="SimSun" w:eastAsia="SimSun" w:hAnsi="SimSun" w:cs="SimSun"/>
                <w:color w:val="00007D"/>
                <w:position w:val="-2"/>
                <w:sz w:val="19"/>
                <w:szCs w:val="19"/>
              </w:rPr>
              <w:t>3</w:t>
            </w:r>
          </w:p>
        </w:tc>
        <w:tc>
          <w:tcPr>
            <w:tcW w:w="3126" w:type="dxa"/>
            <w:vAlign w:val="top"/>
          </w:tcPr>
          <w:p>
            <w:pPr>
              <w:spacing w:before="23" w:line="189" w:lineRule="auto"/>
              <w:ind w:left="1361"/>
              <w:rPr>
                <w:rFonts w:ascii="SimSun" w:eastAsia="SimSun" w:hAnsi="SimSun" w:cs="SimSun"/>
                <w:sz w:val="19"/>
                <w:szCs w:val="19"/>
              </w:rPr>
            </w:pPr>
            <w:r>
              <w:rPr>
                <w:rFonts w:ascii="SimSun" w:eastAsia="SimSun" w:hAnsi="SimSun" w:cs="SimSun"/>
                <w:spacing w:val="-2"/>
                <w:sz w:val="19"/>
                <w:szCs w:val="19"/>
              </w:rPr>
              <w:t>采暖</w:t>
            </w:r>
          </w:p>
        </w:tc>
        <w:tc>
          <w:tcPr>
            <w:tcW w:w="3110" w:type="dxa"/>
            <w:vAlign w:val="top"/>
          </w:tcPr>
          <w:p>
            <w:pPr>
              <w:spacing w:before="43" w:line="170" w:lineRule="auto"/>
              <w:ind w:left="1305"/>
              <w:rPr>
                <w:rFonts w:ascii="SimSun" w:eastAsia="SimSun" w:hAnsi="SimSun" w:cs="SimSun"/>
                <w:sz w:val="19"/>
                <w:szCs w:val="19"/>
              </w:rPr>
            </w:pPr>
            <w:r>
              <w:rPr>
                <w:rFonts w:ascii="SimSun" w:eastAsia="SimSun" w:hAnsi="SimSun" w:cs="SimSun"/>
                <w:spacing w:val="-3"/>
                <w:sz w:val="19"/>
                <w:szCs w:val="19"/>
              </w:rPr>
              <w:t>t≥40</w:t>
            </w:r>
          </w:p>
        </w:tc>
      </w:tr>
      <w:tr>
        <w:tblPrEx>
          <w:tblW w:w="7649" w:type="dxa"/>
          <w:tblInd w:w="880" w:type="dxa"/>
          <w:tblLayout w:type="fixed"/>
        </w:tblPrEx>
        <w:trPr>
          <w:trHeight w:val="243"/>
        </w:trPr>
        <w:tc>
          <w:tcPr>
            <w:tcW w:w="1413" w:type="dxa"/>
            <w:vAlign w:val="top"/>
          </w:tcPr>
          <w:p>
            <w:pPr>
              <w:spacing w:before="85" w:line="148" w:lineRule="exact"/>
              <w:ind w:left="644"/>
              <w:rPr>
                <w:rFonts w:ascii="SimSun" w:eastAsia="SimSun" w:hAnsi="SimSun" w:cs="SimSun"/>
                <w:sz w:val="19"/>
                <w:szCs w:val="19"/>
              </w:rPr>
            </w:pPr>
            <w:r>
              <w:rPr>
                <w:rFonts w:ascii="SimSun" w:eastAsia="SimSun" w:hAnsi="SimSun" w:cs="SimSun"/>
                <w:position w:val="-2"/>
                <w:sz w:val="19"/>
                <w:szCs w:val="19"/>
              </w:rPr>
              <w:t>4</w:t>
            </w:r>
          </w:p>
        </w:tc>
        <w:tc>
          <w:tcPr>
            <w:tcW w:w="3126" w:type="dxa"/>
            <w:vAlign w:val="top"/>
          </w:tcPr>
          <w:p>
            <w:pPr>
              <w:spacing w:before="43" w:line="184" w:lineRule="auto"/>
              <w:ind w:left="1361"/>
              <w:rPr>
                <w:rFonts w:ascii="SimSun" w:eastAsia="SimSun" w:hAnsi="SimSun" w:cs="SimSun"/>
                <w:sz w:val="19"/>
                <w:szCs w:val="19"/>
              </w:rPr>
            </w:pPr>
            <w:r>
              <w:rPr>
                <w:rFonts w:ascii="SimSun" w:eastAsia="SimSun" w:hAnsi="SimSun" w:cs="SimSun"/>
                <w:spacing w:val="-3"/>
                <w:sz w:val="19"/>
                <w:szCs w:val="19"/>
              </w:rPr>
              <w:t>温室</w:t>
            </w:r>
          </w:p>
        </w:tc>
        <w:tc>
          <w:tcPr>
            <w:tcW w:w="3110" w:type="dxa"/>
            <w:vAlign w:val="top"/>
          </w:tcPr>
          <w:p>
            <w:pPr>
              <w:spacing w:before="53" w:line="174" w:lineRule="auto"/>
              <w:ind w:left="1166"/>
              <w:rPr>
                <w:rFonts w:ascii="SimSun" w:eastAsia="SimSun" w:hAnsi="SimSun" w:cs="SimSun"/>
                <w:sz w:val="19"/>
                <w:szCs w:val="19"/>
              </w:rPr>
            </w:pPr>
            <w:r>
              <w:rPr>
                <w:rFonts w:ascii="SimSun" w:eastAsia="SimSun" w:hAnsi="SimSun" w:cs="SimSun"/>
                <w:spacing w:val="-2"/>
                <w:sz w:val="19"/>
                <w:szCs w:val="19"/>
              </w:rPr>
              <w:t>25≤t&lt;90</w:t>
            </w:r>
          </w:p>
        </w:tc>
      </w:tr>
    </w:tbl>
    <w:p>
      <w:pPr>
        <w:spacing w:line="136" w:lineRule="exact"/>
        <w:rPr>
          <w:rFonts w:ascii="Arial"/>
          <w:sz w:val="11"/>
        </w:rPr>
      </w:pPr>
    </w:p>
    <w:p>
      <w:pPr>
        <w:spacing w:line="136" w:lineRule="exact"/>
        <w:rPr>
          <w:rFonts w:ascii="Arial" w:eastAsia="Arial" w:hAnsi="Arial" w:cs="Arial"/>
          <w:sz w:val="11"/>
          <w:szCs w:val="11"/>
        </w:rPr>
        <w:sectPr>
          <w:headerReference w:type="default" r:id="rId17"/>
          <w:footerReference w:type="default" r:id="rId18"/>
          <w:type w:val="nextPage"/>
          <w:pgSz w:w="11910" w:h="16840"/>
          <w:pgMar w:top="400" w:right="1451" w:bottom="1288" w:left="1100" w:header="0" w:footer="1149" w:gutter="0"/>
          <w:pgNumType w:start="4"/>
          <w:cols w:space="708"/>
          <w:titlePg w:val="0"/>
        </w:sectPr>
      </w:pPr>
    </w:p>
    <w:p>
      <w:pPr>
        <w:spacing w:line="325" w:lineRule="auto"/>
        <w:rPr>
          <w:rFonts w:ascii="Arial"/>
          <w:sz w:val="21"/>
        </w:rPr>
      </w:pPr>
    </w:p>
    <w:p>
      <w:pPr>
        <w:spacing w:line="326" w:lineRule="auto"/>
        <w:rPr>
          <w:rFonts w:ascii="Arial"/>
          <w:sz w:val="21"/>
        </w:rPr>
      </w:pPr>
    </w:p>
    <w:p>
      <w:pPr>
        <w:spacing w:before="68" w:line="221" w:lineRule="auto"/>
        <w:ind w:left="3"/>
        <w:outlineLvl w:val="0"/>
        <w:rPr>
          <w:rFonts w:ascii="SimHei" w:eastAsia="SimHei" w:hAnsi="SimHei" w:cs="SimHei"/>
          <w:sz w:val="21"/>
          <w:szCs w:val="21"/>
        </w:rPr>
      </w:pPr>
      <w:r>
        <w:rPr>
          <w:rFonts w:ascii="SimHei" w:eastAsia="SimHei" w:hAnsi="SimHei" w:cs="SimHei"/>
          <w:b/>
          <w:bCs/>
          <w:spacing w:val="-3"/>
          <w:sz w:val="21"/>
          <w:szCs w:val="21"/>
        </w:rPr>
        <w:t>5.2</w:t>
      </w:r>
      <w:r>
        <w:rPr>
          <w:rFonts w:ascii="SimHei" w:eastAsia="SimHei" w:hAnsi="SimHei" w:cs="SimHei"/>
          <w:spacing w:val="-3"/>
          <w:sz w:val="21"/>
          <w:szCs w:val="21"/>
        </w:rPr>
        <w:t xml:space="preserve">  </w:t>
      </w:r>
      <w:r>
        <w:rPr>
          <w:rFonts w:ascii="SimHei" w:eastAsia="SimHei" w:hAnsi="SimHei" w:cs="SimHei"/>
          <w:b/>
          <w:bCs/>
          <w:spacing w:val="-3"/>
          <w:sz w:val="21"/>
          <w:szCs w:val="21"/>
        </w:rPr>
        <w:t>流体利用</w:t>
      </w:r>
    </w:p>
    <w:p>
      <w:pPr>
        <w:pStyle w:val="BodyText"/>
        <w:spacing w:before="143" w:line="219" w:lineRule="auto"/>
        <w:ind w:left="439"/>
      </w:pPr>
      <w:r>
        <w:rPr>
          <w:spacing w:val="-1"/>
        </w:rPr>
        <w:t>包括但不限于温泉理疗、水产养殖、农田灌溉、饮用矿泉水及</w:t>
      </w:r>
      <w:r>
        <w:rPr>
          <w:spacing w:val="-2"/>
        </w:rPr>
        <w:t>工业提炼等。</w:t>
      </w:r>
    </w:p>
    <w:p>
      <w:pPr>
        <w:spacing w:before="145" w:line="221" w:lineRule="auto"/>
        <w:ind w:left="3"/>
        <w:outlineLvl w:val="0"/>
        <w:rPr>
          <w:rFonts w:ascii="SimHei" w:eastAsia="SimHei" w:hAnsi="SimHei" w:cs="SimHei"/>
          <w:sz w:val="21"/>
          <w:szCs w:val="21"/>
        </w:rPr>
      </w:pPr>
      <w:r>
        <w:rPr>
          <w:rFonts w:ascii="SimHei" w:eastAsia="SimHei" w:hAnsi="SimHei" w:cs="SimHei"/>
          <w:b/>
          <w:bCs/>
          <w:spacing w:val="-2"/>
          <w:sz w:val="21"/>
          <w:szCs w:val="21"/>
        </w:rPr>
        <w:t>5.3</w:t>
      </w:r>
      <w:r>
        <w:rPr>
          <w:rFonts w:ascii="SimHei" w:eastAsia="SimHei" w:hAnsi="SimHei" w:cs="SimHei"/>
          <w:spacing w:val="-2"/>
          <w:sz w:val="21"/>
          <w:szCs w:val="21"/>
        </w:rPr>
        <w:t xml:space="preserve">  </w:t>
      </w:r>
      <w:r>
        <w:rPr>
          <w:rFonts w:ascii="SimHei" w:eastAsia="SimHei" w:hAnsi="SimHei" w:cs="SimHei"/>
          <w:b/>
          <w:bCs/>
          <w:spacing w:val="-2"/>
          <w:sz w:val="21"/>
          <w:szCs w:val="21"/>
        </w:rPr>
        <w:t>地热资源梯级利用</w:t>
      </w:r>
    </w:p>
    <w:p>
      <w:pPr>
        <w:pStyle w:val="BodyText"/>
        <w:spacing w:before="133" w:line="232" w:lineRule="auto"/>
        <w:ind w:right="78" w:firstLine="439"/>
      </w:pPr>
      <w:r>
        <w:rPr>
          <w:spacing w:val="-3"/>
        </w:rPr>
        <w:t>地热资源在资源储量、流体质量能够同时满足多种用途需要时，应按照温度由高到低、先热能利用</w:t>
      </w:r>
      <w:r>
        <w:rPr>
          <w:spacing w:val="3"/>
        </w:rPr>
        <w:t xml:space="preserve"> </w:t>
      </w:r>
      <w:r>
        <w:rPr>
          <w:spacing w:val="-1"/>
        </w:rPr>
        <w:t>后流体利用的原则进行梯级利用。地热资源梯级利用模式见附录A。</w:t>
      </w:r>
    </w:p>
    <w:p>
      <w:pPr>
        <w:spacing w:before="257" w:line="221" w:lineRule="auto"/>
        <w:ind w:left="3"/>
        <w:rPr>
          <w:rFonts w:ascii="SimHei" w:eastAsia="SimHei" w:hAnsi="SimHei" w:cs="SimHei"/>
          <w:sz w:val="21"/>
          <w:szCs w:val="21"/>
        </w:rPr>
      </w:pPr>
      <w:r>
        <w:rPr>
          <w:rFonts w:ascii="SimHei" w:eastAsia="SimHei" w:hAnsi="SimHei" w:cs="SimHei"/>
          <w:b/>
          <w:bCs/>
          <w:spacing w:val="-4"/>
          <w:sz w:val="21"/>
          <w:szCs w:val="21"/>
        </w:rPr>
        <w:t>6</w:t>
      </w:r>
      <w:r>
        <w:rPr>
          <w:rFonts w:ascii="SimHei" w:eastAsia="SimHei" w:hAnsi="SimHei" w:cs="SimHei"/>
          <w:spacing w:val="11"/>
          <w:sz w:val="21"/>
          <w:szCs w:val="21"/>
        </w:rPr>
        <w:t xml:space="preserve">  </w:t>
      </w:r>
      <w:r>
        <w:rPr>
          <w:rFonts w:ascii="SimHei" w:eastAsia="SimHei" w:hAnsi="SimHei" w:cs="SimHei"/>
          <w:b/>
          <w:bCs/>
          <w:spacing w:val="-4"/>
          <w:sz w:val="21"/>
          <w:szCs w:val="21"/>
        </w:rPr>
        <w:t>开发利用设计技术要求</w:t>
      </w:r>
    </w:p>
    <w:p>
      <w:pPr>
        <w:spacing w:before="269" w:line="221" w:lineRule="auto"/>
        <w:ind w:left="3"/>
        <w:outlineLvl w:val="0"/>
        <w:rPr>
          <w:rFonts w:ascii="SimHei" w:eastAsia="SimHei" w:hAnsi="SimHei" w:cs="SimHei"/>
          <w:sz w:val="21"/>
          <w:szCs w:val="21"/>
        </w:rPr>
      </w:pPr>
      <w:r>
        <w:rPr>
          <w:rFonts w:ascii="SimHei" w:eastAsia="SimHei" w:hAnsi="SimHei" w:cs="SimHei"/>
          <w:b/>
          <w:bCs/>
          <w:spacing w:val="-2"/>
          <w:sz w:val="21"/>
          <w:szCs w:val="21"/>
        </w:rPr>
        <w:t>6.1</w:t>
      </w:r>
      <w:r>
        <w:rPr>
          <w:rFonts w:ascii="SimHei" w:eastAsia="SimHei" w:hAnsi="SimHei" w:cs="SimHei"/>
          <w:spacing w:val="83"/>
          <w:sz w:val="21"/>
          <w:szCs w:val="21"/>
        </w:rPr>
        <w:t xml:space="preserve"> </w:t>
      </w:r>
      <w:r>
        <w:rPr>
          <w:rFonts w:ascii="SimHei" w:eastAsia="SimHei" w:hAnsi="SimHei" w:cs="SimHei"/>
          <w:b/>
          <w:bCs/>
          <w:spacing w:val="-2"/>
          <w:sz w:val="21"/>
          <w:szCs w:val="21"/>
        </w:rPr>
        <w:t>开发利用设计基础</w:t>
      </w:r>
    </w:p>
    <w:p>
      <w:pPr>
        <w:spacing w:before="139" w:line="222" w:lineRule="auto"/>
        <w:ind w:left="3"/>
        <w:outlineLvl w:val="0"/>
        <w:rPr>
          <w:rFonts w:ascii="SimHei" w:eastAsia="SimHei" w:hAnsi="SimHei" w:cs="SimHei"/>
          <w:sz w:val="21"/>
          <w:szCs w:val="21"/>
        </w:rPr>
      </w:pPr>
      <w:r>
        <w:rPr>
          <w:rFonts w:ascii="SimHei" w:eastAsia="SimHei" w:hAnsi="SimHei" w:cs="SimHei"/>
          <w:b/>
          <w:bCs/>
          <w:spacing w:val="-4"/>
          <w:sz w:val="21"/>
          <w:szCs w:val="21"/>
        </w:rPr>
        <w:t>6.1.1</w:t>
      </w:r>
      <w:r>
        <w:rPr>
          <w:rFonts w:ascii="SimHei" w:eastAsia="SimHei" w:hAnsi="SimHei" w:cs="SimHei"/>
          <w:spacing w:val="89"/>
          <w:sz w:val="21"/>
          <w:szCs w:val="21"/>
        </w:rPr>
        <w:t xml:space="preserve"> </w:t>
      </w:r>
      <w:r>
        <w:rPr>
          <w:rFonts w:ascii="SimHei" w:eastAsia="SimHei" w:hAnsi="SimHei" w:cs="SimHei"/>
          <w:b/>
          <w:bCs/>
          <w:spacing w:val="-4"/>
          <w:sz w:val="21"/>
          <w:szCs w:val="21"/>
        </w:rPr>
        <w:t>收集资料</w:t>
      </w:r>
    </w:p>
    <w:p>
      <w:pPr>
        <w:pStyle w:val="BodyText"/>
        <w:spacing w:before="129"/>
        <w:ind w:firstLine="439"/>
      </w:pPr>
      <w:r>
        <w:rPr>
          <w:spacing w:val="-1"/>
        </w:rPr>
        <w:t>收集勘查成果资料包括：地形地貌与环境条件、动态监测数据和地热开发利用现状、热储</w:t>
      </w:r>
      <w:r>
        <w:rPr>
          <w:spacing w:val="-2"/>
        </w:rPr>
        <w:t>的类型、</w:t>
      </w:r>
      <w:r>
        <w:t xml:space="preserve"> </w:t>
      </w:r>
      <w:r>
        <w:rPr>
          <w:spacing w:val="-3"/>
        </w:rPr>
        <w:t>岩性与厚度、分布与埋藏条件、孔隙与裂隙发育程度、储层温度场分布与梯度、流体压力场、温度场分</w:t>
      </w:r>
      <w:r>
        <w:rPr>
          <w:spacing w:val="6"/>
        </w:rPr>
        <w:t xml:space="preserve">  </w:t>
      </w:r>
      <w:r>
        <w:rPr>
          <w:spacing w:val="-7"/>
        </w:rPr>
        <w:t>布与变化、流体化学组分分布与特征、地热允许开</w:t>
      </w:r>
      <w:r>
        <w:rPr>
          <w:spacing w:val="-8"/>
        </w:rPr>
        <w:t>采量、地热可回灌量、单井开采能力、单井回灌能力、</w:t>
      </w:r>
      <w:r>
        <w:t xml:space="preserve">  </w:t>
      </w:r>
      <w:r>
        <w:rPr>
          <w:spacing w:val="-2"/>
        </w:rPr>
        <w:t>利用需求参数和地热生产井周边易发地质灾害特征等。</w:t>
      </w:r>
    </w:p>
    <w:p>
      <w:pPr>
        <w:spacing w:before="127" w:line="222" w:lineRule="auto"/>
        <w:ind w:left="3"/>
        <w:outlineLvl w:val="0"/>
        <w:rPr>
          <w:rFonts w:ascii="SimHei" w:eastAsia="SimHei" w:hAnsi="SimHei" w:cs="SimHei"/>
          <w:sz w:val="21"/>
          <w:szCs w:val="21"/>
        </w:rPr>
      </w:pPr>
      <w:r>
        <w:rPr>
          <w:rFonts w:ascii="SimHei" w:eastAsia="SimHei" w:hAnsi="SimHei" w:cs="SimHei"/>
          <w:b/>
          <w:bCs/>
          <w:spacing w:val="-4"/>
          <w:sz w:val="21"/>
          <w:szCs w:val="21"/>
        </w:rPr>
        <w:t>6.1.2</w:t>
      </w:r>
      <w:r>
        <w:rPr>
          <w:rFonts w:ascii="SimHei" w:eastAsia="SimHei" w:hAnsi="SimHei" w:cs="SimHei"/>
          <w:spacing w:val="93"/>
          <w:sz w:val="21"/>
          <w:szCs w:val="21"/>
        </w:rPr>
        <w:t xml:space="preserve"> </w:t>
      </w:r>
      <w:r>
        <w:rPr>
          <w:rFonts w:ascii="SimHei" w:eastAsia="SimHei" w:hAnsi="SimHei" w:cs="SimHei"/>
          <w:b/>
          <w:bCs/>
          <w:spacing w:val="-4"/>
          <w:sz w:val="21"/>
          <w:szCs w:val="21"/>
        </w:rPr>
        <w:t>热能利用条件评估</w:t>
      </w:r>
    </w:p>
    <w:p>
      <w:pPr>
        <w:pStyle w:val="BodyText"/>
        <w:spacing w:before="150" w:line="218" w:lineRule="auto"/>
        <w:ind w:left="3"/>
      </w:pPr>
      <w:hyperlink r:id="rId19" w:history="1">
        <w:r>
          <w:rPr>
            <w:b/>
            <w:bCs/>
            <w:spacing w:val="-1"/>
          </w:rPr>
          <w:t>6.1.2.1</w:t>
        </w:r>
      </w:hyperlink>
      <w:r>
        <w:rPr>
          <w:spacing w:val="97"/>
        </w:rPr>
        <w:t xml:space="preserve"> </w:t>
      </w:r>
      <w:r>
        <w:rPr>
          <w:spacing w:val="-1"/>
        </w:rPr>
        <w:t>评估项目开采规模与地热允许开采</w:t>
      </w:r>
      <w:r>
        <w:rPr>
          <w:spacing w:val="-2"/>
        </w:rPr>
        <w:t>量的关系。</w:t>
      </w:r>
    </w:p>
    <w:p>
      <w:pPr>
        <w:pStyle w:val="BodyText"/>
        <w:spacing w:before="3" w:line="236" w:lineRule="auto"/>
        <w:ind w:left="3" w:right="81" w:hanging="3"/>
      </w:pPr>
      <w:hyperlink r:id="rId20" w:history="1">
        <w:r>
          <w:rPr>
            <w:rFonts w:ascii="Arial" w:eastAsia="Arial" w:hAnsi="Arial" w:cs="Arial"/>
            <w:b/>
            <w:bCs/>
          </w:rPr>
          <w:t>6.1.2.2</w:t>
        </w:r>
      </w:hyperlink>
      <w:r>
        <w:rPr>
          <w:rFonts w:ascii="Arial" w:eastAsia="Arial" w:hAnsi="Arial" w:cs="Arial"/>
          <w:b/>
          <w:bCs/>
        </w:rPr>
        <w:t xml:space="preserve">     </w:t>
      </w:r>
      <w:r>
        <w:t>评估项目回灌规模与地热可回灌量的关系。地热可回灌量的计算按《水热型地热资源回灌技</w:t>
      </w:r>
      <w:r>
        <w:rPr>
          <w:spacing w:val="7"/>
        </w:rPr>
        <w:t xml:space="preserve"> </w:t>
      </w:r>
      <w:r>
        <w:rPr>
          <w:b/>
          <w:bCs/>
          <w:spacing w:val="-6"/>
        </w:rPr>
        <w:t>术要求》</w:t>
      </w:r>
      <w:r>
        <w:rPr>
          <w:spacing w:val="-6"/>
        </w:rPr>
        <w:t>执行。</w:t>
      </w:r>
    </w:p>
    <w:p>
      <w:pPr>
        <w:pStyle w:val="BodyText"/>
        <w:spacing w:before="32" w:line="218" w:lineRule="auto"/>
      </w:pPr>
      <w:hyperlink r:id="rId21" w:history="1">
        <w:r>
          <w:rPr>
            <w:rFonts w:ascii="Arial" w:eastAsia="Arial" w:hAnsi="Arial" w:cs="Arial"/>
            <w:b/>
            <w:bCs/>
            <w:spacing w:val="1"/>
          </w:rPr>
          <w:t>6.1.2.3</w:t>
        </w:r>
      </w:hyperlink>
      <w:r>
        <w:rPr>
          <w:rFonts w:ascii="Arial" w:eastAsia="Arial" w:hAnsi="Arial" w:cs="Arial"/>
          <w:b/>
          <w:bCs/>
          <w:spacing w:val="1"/>
        </w:rPr>
        <w:t xml:space="preserve">    </w:t>
      </w:r>
      <w:r>
        <w:rPr>
          <w:spacing w:val="1"/>
        </w:rPr>
        <w:t>评估储层特征与单井开采能力、单井回灌能力，确定开采、回灌层位。</w:t>
      </w:r>
    </w:p>
    <w:p>
      <w:pPr>
        <w:pStyle w:val="BodyText"/>
        <w:spacing w:before="22" w:line="218" w:lineRule="auto"/>
      </w:pPr>
      <w:hyperlink r:id="rId22" w:history="1">
        <w:r>
          <w:rPr>
            <w:rFonts w:ascii="Times New Roman" w:eastAsia="Times New Roman" w:hAnsi="Times New Roman" w:cs="Times New Roman"/>
            <w:b/>
            <w:bCs/>
            <w:spacing w:val="1"/>
          </w:rPr>
          <w:t>6.1.2.4</w:t>
        </w:r>
      </w:hyperlink>
      <w:r>
        <w:rPr>
          <w:rFonts w:ascii="Times New Roman" w:eastAsia="Times New Roman" w:hAnsi="Times New Roman" w:cs="Times New Roman"/>
          <w:b/>
          <w:bCs/>
          <w:spacing w:val="1"/>
        </w:rPr>
        <w:t xml:space="preserve">      </w:t>
      </w:r>
      <w:r>
        <w:rPr>
          <w:spacing w:val="1"/>
        </w:rPr>
        <w:t>评估流体物理化学特征，研究回灌腐蚀、结垢性，提出开发利用设备、管材等防腐、防垢要</w:t>
      </w:r>
    </w:p>
    <w:p>
      <w:pPr>
        <w:pStyle w:val="BodyText"/>
        <w:spacing w:before="15" w:line="221" w:lineRule="auto"/>
      </w:pPr>
      <w:r>
        <w:rPr>
          <w:spacing w:val="-11"/>
        </w:rPr>
        <w:t>求。</w:t>
      </w:r>
    </w:p>
    <w:p>
      <w:pPr>
        <w:pStyle w:val="BodyText"/>
        <w:spacing w:before="15" w:line="238" w:lineRule="auto"/>
        <w:ind w:right="40"/>
      </w:pPr>
      <w:hyperlink r:id="rId23" w:history="1">
        <w:r>
          <w:rPr>
            <w:rFonts w:ascii="Arial" w:eastAsia="Arial" w:hAnsi="Arial" w:cs="Arial"/>
            <w:b/>
            <w:bCs/>
            <w:spacing w:val="1"/>
          </w:rPr>
          <w:t>6.1.2.5</w:t>
        </w:r>
      </w:hyperlink>
      <w:r>
        <w:rPr>
          <w:rFonts w:ascii="Arial" w:eastAsia="Arial" w:hAnsi="Arial" w:cs="Arial"/>
          <w:b/>
          <w:bCs/>
          <w:spacing w:val="1"/>
        </w:rPr>
        <w:t xml:space="preserve">     </w:t>
      </w:r>
      <w:r>
        <w:rPr>
          <w:spacing w:val="1"/>
        </w:rPr>
        <w:t>地热发电项目应评估地热流体的相态、温度、地热井排放时的汽水热焓、蒸汽干度</w:t>
      </w:r>
      <w:r>
        <w:t xml:space="preserve">、不凝气 </w:t>
      </w:r>
      <w:r>
        <w:rPr>
          <w:spacing w:val="-2"/>
        </w:rPr>
        <w:t>体成分及含量、流体化学成分和同位素组成。</w:t>
      </w:r>
    </w:p>
    <w:p>
      <w:pPr>
        <w:spacing w:before="136" w:line="221" w:lineRule="auto"/>
        <w:ind w:left="3"/>
        <w:outlineLvl w:val="0"/>
        <w:rPr>
          <w:rFonts w:ascii="SimHei" w:eastAsia="SimHei" w:hAnsi="SimHei" w:cs="SimHei"/>
          <w:sz w:val="21"/>
          <w:szCs w:val="21"/>
        </w:rPr>
      </w:pPr>
      <w:r>
        <w:rPr>
          <w:rFonts w:ascii="SimHei" w:eastAsia="SimHei" w:hAnsi="SimHei" w:cs="SimHei"/>
          <w:b/>
          <w:bCs/>
          <w:spacing w:val="-4"/>
          <w:sz w:val="21"/>
          <w:szCs w:val="21"/>
        </w:rPr>
        <w:t>6.1.3</w:t>
      </w:r>
      <w:r>
        <w:rPr>
          <w:rFonts w:ascii="SimHei" w:eastAsia="SimHei" w:hAnsi="SimHei" w:cs="SimHei"/>
          <w:spacing w:val="92"/>
          <w:sz w:val="21"/>
          <w:szCs w:val="21"/>
        </w:rPr>
        <w:t xml:space="preserve"> </w:t>
      </w:r>
      <w:r>
        <w:rPr>
          <w:rFonts w:ascii="SimHei" w:eastAsia="SimHei" w:hAnsi="SimHei" w:cs="SimHei"/>
          <w:b/>
          <w:bCs/>
          <w:spacing w:val="-4"/>
          <w:sz w:val="21"/>
          <w:szCs w:val="21"/>
        </w:rPr>
        <w:t>流体利用条件评估</w:t>
      </w:r>
    </w:p>
    <w:p>
      <w:pPr>
        <w:pStyle w:val="BodyText"/>
        <w:spacing w:before="142" w:line="218" w:lineRule="auto"/>
        <w:ind w:left="3"/>
      </w:pPr>
      <w:hyperlink r:id="rId24" w:history="1">
        <w:r>
          <w:rPr>
            <w:b/>
            <w:bCs/>
            <w:spacing w:val="-1"/>
          </w:rPr>
          <w:t>6.1.3.1</w:t>
        </w:r>
      </w:hyperlink>
      <w:r>
        <w:rPr>
          <w:spacing w:val="97"/>
        </w:rPr>
        <w:t xml:space="preserve"> </w:t>
      </w:r>
      <w:r>
        <w:rPr>
          <w:spacing w:val="-1"/>
        </w:rPr>
        <w:t>评估项目开采规模与地热允许开采</w:t>
      </w:r>
      <w:r>
        <w:rPr>
          <w:spacing w:val="-2"/>
        </w:rPr>
        <w:t>量的关系。</w:t>
      </w:r>
    </w:p>
    <w:p>
      <w:pPr>
        <w:pStyle w:val="BodyText"/>
        <w:spacing w:before="12" w:line="218" w:lineRule="auto"/>
      </w:pPr>
      <w:hyperlink r:id="rId25" w:history="1">
        <w:r>
          <w:rPr>
            <w:rFonts w:ascii="Arial" w:eastAsia="Arial" w:hAnsi="Arial" w:cs="Arial"/>
            <w:b/>
            <w:bCs/>
            <w:spacing w:val="2"/>
          </w:rPr>
          <w:t>6.1.3.2</w:t>
        </w:r>
      </w:hyperlink>
      <w:r>
        <w:rPr>
          <w:rFonts w:ascii="Arial" w:eastAsia="Arial" w:hAnsi="Arial" w:cs="Arial"/>
          <w:b/>
          <w:bCs/>
          <w:spacing w:val="2"/>
        </w:rPr>
        <w:t xml:space="preserve">    </w:t>
      </w:r>
      <w:r>
        <w:rPr>
          <w:spacing w:val="2"/>
        </w:rPr>
        <w:t>根据开发用途针对性评</w:t>
      </w:r>
      <w:r>
        <w:rPr>
          <w:spacing w:val="1"/>
        </w:rPr>
        <w:t>估流体化学组分的符合性；分析地热流体中的有益和有害成分及其对</w:t>
      </w:r>
    </w:p>
    <w:p>
      <w:pPr>
        <w:pStyle w:val="BodyText"/>
        <w:spacing w:before="43" w:line="219" w:lineRule="auto"/>
      </w:pPr>
      <w:r>
        <w:rPr>
          <w:spacing w:val="-3"/>
        </w:rPr>
        <w:t>人体健康、水产养殖、农田灌溉等的影响。</w:t>
      </w:r>
    </w:p>
    <w:p>
      <w:pPr>
        <w:pStyle w:val="BodyText"/>
        <w:spacing w:before="2" w:line="232" w:lineRule="auto"/>
        <w:ind w:right="71" w:firstLine="3"/>
      </w:pPr>
      <w:hyperlink r:id="rId26" w:history="1">
        <w:r>
          <w:rPr>
            <w:b/>
            <w:bCs/>
            <w:spacing w:val="-3"/>
          </w:rPr>
          <w:t>6.1.3.3</w:t>
        </w:r>
      </w:hyperlink>
      <w:r>
        <w:rPr>
          <w:spacing w:val="87"/>
        </w:rPr>
        <w:t xml:space="preserve"> </w:t>
      </w:r>
      <w:r>
        <w:rPr>
          <w:spacing w:val="-3"/>
        </w:rPr>
        <w:t>依据附录</w:t>
      </w:r>
      <w:r>
        <w:rPr>
          <w:spacing w:val="-25"/>
        </w:rPr>
        <w:t xml:space="preserve"> </w:t>
      </w:r>
      <w:r>
        <w:rPr>
          <w:rFonts w:ascii="Times New Roman" w:eastAsia="Times New Roman" w:hAnsi="Times New Roman" w:cs="Times New Roman"/>
          <w:spacing w:val="-3"/>
        </w:rPr>
        <w:t>B</w:t>
      </w:r>
      <w:r>
        <w:rPr>
          <w:rFonts w:ascii="Times New Roman" w:eastAsia="Times New Roman" w:hAnsi="Times New Roman" w:cs="Times New Roman"/>
          <w:spacing w:val="32"/>
        </w:rPr>
        <w:t xml:space="preserve"> </w:t>
      </w:r>
      <w:r>
        <w:rPr>
          <w:spacing w:val="-3"/>
        </w:rPr>
        <w:t xml:space="preserve">表 </w:t>
      </w:r>
      <w:r>
        <w:rPr>
          <w:rFonts w:ascii="Times New Roman" w:eastAsia="Times New Roman" w:hAnsi="Times New Roman" w:cs="Times New Roman"/>
          <w:spacing w:val="-3"/>
        </w:rPr>
        <w:t xml:space="preserve">B.1  </w:t>
      </w:r>
      <w:r>
        <w:rPr>
          <w:spacing w:val="-3"/>
        </w:rPr>
        <w:t>水热型地热资源综合</w:t>
      </w:r>
      <w:r>
        <w:rPr>
          <w:spacing w:val="-4"/>
        </w:rPr>
        <w:t>评价参考指标对理疗热矿水做出评估，如流体有一项</w:t>
      </w:r>
      <w:r>
        <w:t xml:space="preserve"> </w:t>
      </w:r>
      <w:r>
        <w:t>指标满足命名矿水浓度即达到理疗热矿水水质标准，可以用于温泉理疗。依据GB11607</w:t>
      </w:r>
      <w:r>
        <w:rPr>
          <w:spacing w:val="91"/>
        </w:rPr>
        <w:t xml:space="preserve"> </w:t>
      </w:r>
      <w:r>
        <w:t xml:space="preserve">对是否符合水 </w:t>
      </w:r>
      <w:r>
        <w:rPr>
          <w:spacing w:val="2"/>
        </w:rPr>
        <w:t>产养殖做出评估，依据</w:t>
      </w:r>
      <w:r>
        <w:t>GB</w:t>
      </w:r>
      <w:r>
        <w:rPr>
          <w:spacing w:val="2"/>
        </w:rPr>
        <w:t xml:space="preserve">  5084对其是否适于农田灌溉做出评</w:t>
      </w:r>
      <w:r>
        <w:rPr>
          <w:spacing w:val="1"/>
        </w:rPr>
        <w:t>估，依据</w:t>
      </w:r>
      <w:r>
        <w:rPr>
          <w:spacing w:val="-58"/>
        </w:rPr>
        <w:t xml:space="preserve"> </w:t>
      </w:r>
      <w:r>
        <w:t>GB</w:t>
      </w:r>
      <w:r>
        <w:rPr>
          <w:spacing w:val="92"/>
        </w:rPr>
        <w:t xml:space="preserve"> </w:t>
      </w:r>
      <w:r>
        <w:rPr>
          <w:spacing w:val="1"/>
        </w:rPr>
        <w:t>8537对其是否适于饮用做</w:t>
      </w:r>
      <w:r>
        <w:t xml:space="preserve"> </w:t>
      </w:r>
      <w:r>
        <w:rPr>
          <w:spacing w:val="-1"/>
        </w:rPr>
        <w:t>出评估。依据附录</w:t>
      </w:r>
      <w:r>
        <w:rPr>
          <w:rFonts w:ascii="Times New Roman" w:eastAsia="Times New Roman" w:hAnsi="Times New Roman" w:cs="Times New Roman"/>
          <w:spacing w:val="-1"/>
        </w:rPr>
        <w:t xml:space="preserve">B </w:t>
      </w:r>
      <w:r>
        <w:rPr>
          <w:spacing w:val="-1"/>
        </w:rPr>
        <w:t>表</w:t>
      </w:r>
      <w:r>
        <w:rPr>
          <w:spacing w:val="-24"/>
        </w:rPr>
        <w:t xml:space="preserve"> </w:t>
      </w:r>
      <w:r>
        <w:rPr>
          <w:rFonts w:ascii="Times New Roman" w:eastAsia="Times New Roman" w:hAnsi="Times New Roman" w:cs="Times New Roman"/>
          <w:spacing w:val="-1"/>
        </w:rPr>
        <w:t xml:space="preserve">B.2 </w:t>
      </w:r>
      <w:r>
        <w:rPr>
          <w:spacing w:val="-1"/>
        </w:rPr>
        <w:t>对其是否适于工业提炼做出评估。</w:t>
      </w:r>
    </w:p>
    <w:p>
      <w:pPr>
        <w:pStyle w:val="BodyText"/>
        <w:spacing w:before="32" w:line="218" w:lineRule="auto"/>
      </w:pPr>
      <w:hyperlink r:id="rId27" w:history="1">
        <w:r>
          <w:rPr>
            <w:rFonts w:ascii="Arial" w:eastAsia="Arial" w:hAnsi="Arial" w:cs="Arial"/>
            <w:spacing w:val="2"/>
          </w:rPr>
          <w:t>6.1.3.4</w:t>
        </w:r>
      </w:hyperlink>
      <w:r>
        <w:rPr>
          <w:rFonts w:ascii="Arial" w:eastAsia="Arial" w:hAnsi="Arial" w:cs="Arial"/>
          <w:spacing w:val="2"/>
        </w:rPr>
        <w:t xml:space="preserve">    </w:t>
      </w:r>
      <w:r>
        <w:rPr>
          <w:spacing w:val="2"/>
        </w:rPr>
        <w:t>评估流体物理化学特征，研</w:t>
      </w:r>
      <w:r>
        <w:rPr>
          <w:spacing w:val="1"/>
        </w:rPr>
        <w:t>究回灌腐蚀、结垢性，提出开发利用设备、管材等防腐、防垢要</w:t>
      </w:r>
    </w:p>
    <w:p>
      <w:pPr>
        <w:pStyle w:val="BodyText"/>
        <w:spacing w:before="45" w:line="221" w:lineRule="auto"/>
      </w:pPr>
      <w:r>
        <w:rPr>
          <w:spacing w:val="-11"/>
        </w:rPr>
        <w:t>求。</w:t>
      </w:r>
    </w:p>
    <w:p>
      <w:pPr>
        <w:spacing w:before="133" w:line="222" w:lineRule="auto"/>
        <w:ind w:left="3"/>
        <w:outlineLvl w:val="0"/>
        <w:rPr>
          <w:rFonts w:ascii="SimHei" w:eastAsia="SimHei" w:hAnsi="SimHei" w:cs="SimHei"/>
          <w:sz w:val="21"/>
          <w:szCs w:val="21"/>
        </w:rPr>
      </w:pPr>
      <w:r>
        <w:rPr>
          <w:rFonts w:ascii="SimHei" w:eastAsia="SimHei" w:hAnsi="SimHei" w:cs="SimHei"/>
          <w:b/>
          <w:bCs/>
          <w:spacing w:val="-4"/>
          <w:sz w:val="21"/>
          <w:szCs w:val="21"/>
        </w:rPr>
        <w:t>6.1.4</w:t>
      </w:r>
      <w:r>
        <w:rPr>
          <w:rFonts w:ascii="SimHei" w:eastAsia="SimHei" w:hAnsi="SimHei" w:cs="SimHei"/>
          <w:spacing w:val="98"/>
          <w:sz w:val="21"/>
          <w:szCs w:val="21"/>
        </w:rPr>
        <w:t xml:space="preserve"> </w:t>
      </w:r>
      <w:r>
        <w:rPr>
          <w:rFonts w:ascii="SimHei" w:eastAsia="SimHei" w:hAnsi="SimHei" w:cs="SimHei"/>
          <w:b/>
          <w:bCs/>
          <w:spacing w:val="-4"/>
          <w:sz w:val="21"/>
          <w:szCs w:val="21"/>
        </w:rPr>
        <w:t>影响评估</w:t>
      </w:r>
    </w:p>
    <w:p>
      <w:pPr>
        <w:pStyle w:val="BodyText"/>
        <w:spacing w:before="151" w:line="231" w:lineRule="auto"/>
        <w:ind w:right="43"/>
        <w:sectPr>
          <w:headerReference w:type="default" r:id="rId28"/>
          <w:footerReference w:type="default" r:id="rId29"/>
          <w:pgSz w:w="11910" w:h="16840"/>
          <w:pgMar w:top="1610" w:right="1096" w:bottom="1305" w:left="1390" w:header="1504" w:footer="1156" w:gutter="0"/>
          <w:pgNumType w:start="5"/>
          <w:cols w:space="708"/>
        </w:sectPr>
      </w:pPr>
      <w:hyperlink r:id="rId30" w:history="1">
        <w:r>
          <w:rPr>
            <w:spacing w:val="5"/>
          </w:rPr>
          <w:t>6.1.4.1</w:t>
        </w:r>
      </w:hyperlink>
      <w:r>
        <w:rPr>
          <w:spacing w:val="114"/>
        </w:rPr>
        <w:t xml:space="preserve"> </w:t>
      </w:r>
      <w:r>
        <w:rPr>
          <w:spacing w:val="5"/>
        </w:rPr>
        <w:t>评估地热资源开采与回灌对区域地热流体化学成分，流体压力(水位)、温度、地质环境等</w:t>
      </w:r>
      <w:r>
        <w:t xml:space="preserve"> </w:t>
      </w:r>
      <w:r>
        <w:rPr>
          <w:spacing w:val="-3"/>
        </w:rPr>
        <w:t>的影响。</w:t>
      </w:r>
    </w:p>
    <w:p>
      <w:pPr>
        <w:pStyle w:val="BodyText"/>
        <w:spacing w:before="16" w:line="220" w:lineRule="auto"/>
      </w:pPr>
      <w:hyperlink r:id="rId31" w:history="1">
        <w:r>
          <w:rPr>
            <w:rFonts w:ascii="Arial" w:eastAsia="Arial" w:hAnsi="Arial" w:cs="Arial"/>
            <w:spacing w:val="-2"/>
          </w:rPr>
          <w:t>6.1.4.2</w:t>
        </w:r>
      </w:hyperlink>
      <w:r>
        <w:rPr>
          <w:rFonts w:ascii="Arial" w:eastAsia="Arial" w:hAnsi="Arial" w:cs="Arial"/>
          <w:spacing w:val="16"/>
        </w:rPr>
        <w:t xml:space="preserve">    </w:t>
      </w:r>
      <w:r>
        <w:rPr>
          <w:spacing w:val="-2"/>
        </w:rPr>
        <w:t>制定开发利用监测方案。</w:t>
      </w:r>
    </w:p>
    <w:p>
      <w:pPr>
        <w:spacing w:before="154" w:line="221" w:lineRule="auto"/>
        <w:ind w:left="3"/>
        <w:outlineLvl w:val="0"/>
        <w:rPr>
          <w:rFonts w:ascii="SimHei" w:eastAsia="SimHei" w:hAnsi="SimHei" w:cs="SimHei"/>
          <w:sz w:val="21"/>
          <w:szCs w:val="21"/>
        </w:rPr>
      </w:pPr>
      <w:r>
        <w:rPr>
          <w:rFonts w:ascii="SimHei" w:eastAsia="SimHei" w:hAnsi="SimHei" w:cs="SimHei"/>
          <w:b/>
          <w:bCs/>
          <w:spacing w:val="-4"/>
          <w:sz w:val="21"/>
          <w:szCs w:val="21"/>
        </w:rPr>
        <w:t>6.2</w:t>
      </w:r>
      <w:r>
        <w:rPr>
          <w:rFonts w:ascii="SimHei" w:eastAsia="SimHei" w:hAnsi="SimHei" w:cs="SimHei"/>
          <w:spacing w:val="14"/>
          <w:sz w:val="21"/>
          <w:szCs w:val="21"/>
        </w:rPr>
        <w:t xml:space="preserve">  </w:t>
      </w:r>
      <w:r>
        <w:rPr>
          <w:rFonts w:ascii="SimHei" w:eastAsia="SimHei" w:hAnsi="SimHei" w:cs="SimHei"/>
          <w:b/>
          <w:bCs/>
          <w:spacing w:val="-4"/>
          <w:sz w:val="21"/>
          <w:szCs w:val="21"/>
        </w:rPr>
        <w:t>地热资源开发技术要求</w:t>
      </w:r>
    </w:p>
    <w:p>
      <w:pPr>
        <w:spacing w:before="119" w:line="221" w:lineRule="auto"/>
        <w:ind w:left="3"/>
        <w:outlineLvl w:val="0"/>
        <w:rPr>
          <w:rFonts w:ascii="SimHei" w:eastAsia="SimHei" w:hAnsi="SimHei" w:cs="SimHei"/>
          <w:sz w:val="21"/>
          <w:szCs w:val="21"/>
        </w:rPr>
      </w:pPr>
      <w:r>
        <w:rPr>
          <w:rFonts w:ascii="SimHei" w:eastAsia="SimHei" w:hAnsi="SimHei" w:cs="SimHei"/>
          <w:b/>
          <w:bCs/>
          <w:spacing w:val="-3"/>
          <w:sz w:val="21"/>
          <w:szCs w:val="21"/>
        </w:rPr>
        <w:t>6.2.1</w:t>
      </w:r>
      <w:r>
        <w:rPr>
          <w:rFonts w:ascii="SimHei" w:eastAsia="SimHei" w:hAnsi="SimHei" w:cs="SimHei"/>
          <w:spacing w:val="-3"/>
          <w:sz w:val="21"/>
          <w:szCs w:val="21"/>
        </w:rPr>
        <w:t xml:space="preserve">  </w:t>
      </w:r>
      <w:r>
        <w:rPr>
          <w:rFonts w:ascii="SimHei" w:eastAsia="SimHei" w:hAnsi="SimHei" w:cs="SimHei"/>
          <w:b/>
          <w:bCs/>
          <w:spacing w:val="-3"/>
          <w:sz w:val="21"/>
          <w:szCs w:val="21"/>
        </w:rPr>
        <w:t>开发方案设计</w:t>
      </w:r>
    </w:p>
    <w:p>
      <w:pPr>
        <w:pStyle w:val="BodyText"/>
        <w:spacing w:before="153" w:line="228" w:lineRule="auto"/>
        <w:ind w:right="74" w:firstLine="3"/>
      </w:pPr>
      <w:hyperlink r:id="rId32" w:history="1">
        <w:r>
          <w:rPr>
            <w:b/>
            <w:bCs/>
          </w:rPr>
          <w:t>6.2.1.1</w:t>
        </w:r>
      </w:hyperlink>
      <w:r>
        <w:rPr>
          <w:spacing w:val="97"/>
        </w:rPr>
        <w:t xml:space="preserve"> </w:t>
      </w:r>
      <w:r>
        <w:t>根据地热利用方式、规模需求和地热赋存条件，设计地热开发方案，包括</w:t>
      </w:r>
      <w:r>
        <w:rPr>
          <w:spacing w:val="-1"/>
        </w:rPr>
        <w:t>利用热储、开发规</w:t>
      </w:r>
      <w:r>
        <w:t xml:space="preserve"> </w:t>
      </w:r>
      <w:r>
        <w:rPr>
          <w:spacing w:val="-3"/>
        </w:rPr>
        <w:t>模和温度、生产井布局、开发设施等。</w:t>
      </w:r>
    </w:p>
    <w:p>
      <w:pPr>
        <w:pStyle w:val="BodyText"/>
        <w:spacing w:before="20" w:line="219" w:lineRule="auto"/>
      </w:pPr>
      <w:hyperlink r:id="rId33" w:history="1">
        <w:r>
          <w:rPr>
            <w:rFonts w:ascii="Times New Roman" w:eastAsia="Times New Roman" w:hAnsi="Times New Roman" w:cs="Times New Roman"/>
            <w:b/>
            <w:bCs/>
          </w:rPr>
          <w:t>6.2.1.2</w:t>
        </w:r>
      </w:hyperlink>
      <w:r>
        <w:rPr>
          <w:rFonts w:ascii="Times New Roman" w:eastAsia="Times New Roman" w:hAnsi="Times New Roman" w:cs="Times New Roman"/>
          <w:b/>
          <w:bCs/>
        </w:rPr>
        <w:t xml:space="preserve">      </w:t>
      </w:r>
      <w:r>
        <w:t>热能利用项目应按照“采-灌方式”设计开发方案，要求如</w:t>
      </w:r>
      <w:r>
        <w:rPr>
          <w:spacing w:val="-1"/>
        </w:rPr>
        <w:t>下：</w:t>
      </w:r>
    </w:p>
    <w:p>
      <w:pPr>
        <w:spacing w:line="219" w:lineRule="auto"/>
        <w:sectPr>
          <w:headerReference w:type="default" r:id="rId34"/>
          <w:footerReference w:type="default" r:id="rId35"/>
          <w:type w:val="nextPage"/>
          <w:pgSz w:w="11910" w:h="16840"/>
          <w:pgMar w:top="1610" w:right="1096" w:bottom="1305" w:left="1390" w:header="1504" w:footer="1156" w:gutter="0"/>
          <w:pgNumType w:start="6"/>
          <w:cols w:space="708"/>
          <w:titlePg w:val="0"/>
        </w:sectPr>
      </w:pPr>
    </w:p>
    <w:p>
      <w:pPr>
        <w:pStyle w:val="BodyText"/>
        <w:spacing w:before="297" w:line="220" w:lineRule="auto"/>
        <w:ind w:left="431"/>
      </w:pPr>
      <w:r>
        <w:t>a)  开采热储与回灌热储应为同一热储；</w:t>
      </w:r>
    </w:p>
    <w:p>
      <w:pPr>
        <w:pStyle w:val="BodyText"/>
        <w:spacing w:before="23" w:line="220" w:lineRule="auto"/>
        <w:ind w:left="427"/>
      </w:pPr>
      <w:r>
        <w:t>b)  开采规模应不大于地热允许开采量，回灌规模应不大于地热可回灌量；</w:t>
      </w:r>
    </w:p>
    <w:p>
      <w:pPr>
        <w:pStyle w:val="BodyText"/>
        <w:spacing w:before="20" w:line="235" w:lineRule="auto"/>
        <w:ind w:left="857" w:hanging="422"/>
      </w:pPr>
      <w:r>
        <w:rPr>
          <w:spacing w:val="2"/>
        </w:rPr>
        <w:t>c)  小规模热能利用项目可采用解析法对布井方案进行计算和优化；较大规模的热能利用项目宜</w:t>
      </w:r>
      <w:r>
        <w:rPr>
          <w:spacing w:val="6"/>
        </w:rPr>
        <w:t xml:space="preserve"> </w:t>
      </w:r>
      <w:r>
        <w:rPr>
          <w:spacing w:val="-4"/>
        </w:rPr>
        <w:t>在取得产能测试、回灌试验以及区域回灌运行监测成果的基础上，</w:t>
      </w:r>
      <w:r>
        <w:rPr>
          <w:spacing w:val="-53"/>
        </w:rPr>
        <w:t xml:space="preserve"> </w:t>
      </w:r>
      <w:r>
        <w:rPr>
          <w:spacing w:val="-4"/>
        </w:rPr>
        <w:t>利用流体压力场、温度场以</w:t>
      </w:r>
      <w:r>
        <w:t xml:space="preserve"> </w:t>
      </w:r>
      <w:r>
        <w:rPr>
          <w:spacing w:val="-4"/>
        </w:rPr>
        <w:t>及一定时间系列的动态监测资料建立地热田（或开采区）</w:t>
      </w:r>
      <w:r>
        <w:rPr>
          <w:spacing w:val="-53"/>
        </w:rPr>
        <w:t xml:space="preserve"> </w:t>
      </w:r>
      <w:r>
        <w:rPr>
          <w:spacing w:val="-4"/>
        </w:rPr>
        <w:t>数值模型，进行可持续开发利用条件</w:t>
      </w:r>
      <w:r>
        <w:t xml:space="preserve"> </w:t>
      </w:r>
      <w:r>
        <w:t>下的开采-回灌方案优化，确定开采井和回灌井数量及布局、采灌流体温度和强度</w:t>
      </w:r>
      <w:r>
        <w:rPr>
          <w:spacing w:val="-1"/>
        </w:rPr>
        <w:t>等；</w:t>
      </w:r>
    </w:p>
    <w:p>
      <w:pPr>
        <w:pStyle w:val="BodyText"/>
        <w:spacing w:before="20" w:line="231" w:lineRule="auto"/>
        <w:ind w:left="857" w:right="3" w:hanging="422"/>
      </w:pPr>
      <w:r>
        <w:rPr>
          <w:spacing w:val="2"/>
        </w:rPr>
        <w:t>d)  开采井设计应有利于增加单井产能及提高流体温度，回灌井设计应有利于增加回灌能力和保</w:t>
      </w:r>
      <w:r>
        <w:rPr>
          <w:spacing w:val="9"/>
        </w:rPr>
        <w:t xml:space="preserve"> </w:t>
      </w:r>
      <w:r>
        <w:rPr>
          <w:spacing w:val="-5"/>
        </w:rPr>
        <w:t>证区域流体压力（水位） 、温度和化学组分的稳定；</w:t>
      </w:r>
    </w:p>
    <w:p>
      <w:pPr>
        <w:pStyle w:val="BodyText"/>
        <w:spacing w:before="19" w:line="241" w:lineRule="auto"/>
        <w:ind w:left="436"/>
      </w:pPr>
      <w:r>
        <w:t>e)  地热回灌其他要求应执行《水热型地热资源回灌技术要求</w:t>
      </w:r>
      <w:r>
        <w:rPr>
          <w:spacing w:val="-1"/>
        </w:rPr>
        <w:t>》。</w:t>
      </w:r>
    </w:p>
    <w:p>
      <w:pPr>
        <w:pStyle w:val="BodyText"/>
        <w:spacing w:line="221" w:lineRule="auto"/>
        <w:ind w:left="4"/>
      </w:pPr>
      <w:hyperlink r:id="rId36" w:history="1">
        <w:r>
          <w:rPr>
            <w:rFonts w:ascii="SimHei" w:eastAsia="SimHei" w:hAnsi="SimHei" w:cs="SimHei"/>
          </w:rPr>
          <w:t>6.2.1.3</w:t>
        </w:r>
      </w:hyperlink>
      <w:r>
        <w:rPr>
          <w:rFonts w:ascii="SimHei" w:eastAsia="SimHei" w:hAnsi="SimHei" w:cs="SimHei"/>
        </w:rPr>
        <w:t xml:space="preserve">  </w:t>
      </w:r>
      <w:r>
        <w:t>流体利用项目的开发方案设计要</w:t>
      </w:r>
      <w:r>
        <w:rPr>
          <w:spacing w:val="-1"/>
        </w:rPr>
        <w:t>求如下：</w:t>
      </w:r>
    </w:p>
    <w:p>
      <w:pPr>
        <w:pStyle w:val="BodyText"/>
        <w:spacing w:before="19" w:line="241" w:lineRule="auto"/>
        <w:ind w:left="431"/>
      </w:pPr>
      <w:r>
        <w:t>a)  流体利用项目应设计废水处理、排放方案；</w:t>
      </w:r>
    </w:p>
    <w:p>
      <w:pPr>
        <w:pStyle w:val="BodyText"/>
        <w:spacing w:before="1" w:line="219" w:lineRule="auto"/>
        <w:ind w:left="427"/>
      </w:pPr>
      <w:r>
        <w:rPr>
          <w:spacing w:val="-1"/>
        </w:rPr>
        <w:t>b)  开采规模应不大于地热允许开采量；</w:t>
      </w:r>
    </w:p>
    <w:p>
      <w:pPr>
        <w:pStyle w:val="BodyText"/>
        <w:spacing w:before="21" w:line="220" w:lineRule="auto"/>
        <w:ind w:left="435"/>
      </w:pPr>
      <w:r>
        <w:t>c)  开采井设计应有利于增加单井产能及提高流体温度；</w:t>
      </w:r>
    </w:p>
    <w:p>
      <w:pPr>
        <w:pStyle w:val="BodyText"/>
        <w:spacing w:before="24" w:line="233" w:lineRule="auto"/>
        <w:ind w:left="857" w:hanging="422"/>
      </w:pPr>
      <w:r>
        <w:rPr>
          <w:spacing w:val="-2"/>
        </w:rPr>
        <w:t>d)  单井开采地热流体利用项目，应综合考虑地热地</w:t>
      </w:r>
      <w:r>
        <w:rPr>
          <w:spacing w:val="-3"/>
        </w:rPr>
        <w:t>质条件、开采方式、占地因素等确定井位、设</w:t>
      </w:r>
      <w:r>
        <w:t xml:space="preserve"> </w:t>
      </w:r>
      <w:r>
        <w:rPr>
          <w:spacing w:val="-3"/>
        </w:rPr>
        <w:t>计井身结构；多井开采地热流体利用项目，应采用解析法、数值法等对布井方案进行计算和优</w:t>
      </w:r>
      <w:r>
        <w:rPr>
          <w:spacing w:val="10"/>
        </w:rPr>
        <w:t xml:space="preserve"> </w:t>
      </w:r>
      <w:r>
        <w:rPr>
          <w:spacing w:val="-4"/>
        </w:rPr>
        <w:t>化。</w:t>
      </w:r>
    </w:p>
    <w:p>
      <w:pPr>
        <w:spacing w:before="141" w:line="219" w:lineRule="auto"/>
        <w:ind w:left="4"/>
        <w:rPr>
          <w:rFonts w:ascii="SimHei" w:eastAsia="SimHei" w:hAnsi="SimHei" w:cs="SimHei"/>
          <w:sz w:val="21"/>
          <w:szCs w:val="21"/>
        </w:rPr>
      </w:pPr>
      <w:r>
        <w:rPr>
          <w:rFonts w:ascii="SimHei" w:eastAsia="SimHei" w:hAnsi="SimHei" w:cs="SimHei"/>
          <w:spacing w:val="-1"/>
          <w:sz w:val="21"/>
          <w:szCs w:val="21"/>
        </w:rPr>
        <w:t>6.2.2</w:t>
      </w:r>
      <w:r>
        <w:rPr>
          <w:rFonts w:ascii="SimHei" w:eastAsia="SimHei" w:hAnsi="SimHei" w:cs="SimHei"/>
          <w:spacing w:val="-1"/>
          <w:sz w:val="21"/>
          <w:szCs w:val="21"/>
        </w:rPr>
        <w:t xml:space="preserve">  </w:t>
      </w:r>
      <w:r>
        <w:rPr>
          <w:rFonts w:ascii="SimHei" w:eastAsia="SimHei" w:hAnsi="SimHei" w:cs="SimHei"/>
          <w:spacing w:val="-1"/>
          <w:sz w:val="21"/>
          <w:szCs w:val="21"/>
        </w:rPr>
        <w:t>开发设施技术要求</w:t>
      </w:r>
    </w:p>
    <w:p>
      <w:pPr>
        <w:pStyle w:val="BodyText"/>
        <w:spacing w:before="142" w:line="221" w:lineRule="auto"/>
        <w:ind w:left="4"/>
      </w:pPr>
      <w:hyperlink r:id="rId37" w:history="1">
        <w:r>
          <w:rPr>
            <w:rFonts w:ascii="SimHei" w:eastAsia="SimHei" w:hAnsi="SimHei" w:cs="SimHei"/>
          </w:rPr>
          <w:t>6.2.2.1</w:t>
        </w:r>
      </w:hyperlink>
      <w:r>
        <w:rPr>
          <w:rFonts w:ascii="SimHei" w:eastAsia="SimHei" w:hAnsi="SimHei" w:cs="SimHei"/>
        </w:rPr>
        <w:t xml:space="preserve">  </w:t>
      </w:r>
      <w:r>
        <w:t>地热生产井应满足以下技术要</w:t>
      </w:r>
      <w:r>
        <w:rPr>
          <w:spacing w:val="-1"/>
        </w:rPr>
        <w:t>求：</w:t>
      </w:r>
    </w:p>
    <w:p>
      <w:pPr>
        <w:pStyle w:val="BodyText"/>
        <w:spacing w:before="23" w:line="238" w:lineRule="auto"/>
        <w:ind w:left="431"/>
      </w:pPr>
      <w:r>
        <w:t>a)  井口直径应满足下入回灌管、监测设备和水泵的需要；</w:t>
      </w:r>
    </w:p>
    <w:p>
      <w:pPr>
        <w:pStyle w:val="BodyText"/>
        <w:spacing w:line="221" w:lineRule="auto"/>
        <w:ind w:left="427"/>
      </w:pPr>
      <w:r>
        <w:t>b)  井深应保证揭露足够的热储厚度；</w:t>
      </w:r>
    </w:p>
    <w:p>
      <w:pPr>
        <w:pStyle w:val="BodyText"/>
        <w:spacing w:before="22" w:line="221" w:lineRule="auto"/>
        <w:ind w:left="435"/>
      </w:pPr>
      <w:r>
        <w:rPr>
          <w:spacing w:val="4"/>
        </w:rPr>
        <w:t>c)  井深误差≤</w:t>
      </w:r>
      <w:r>
        <w:rPr>
          <w:rFonts w:ascii="Times New Roman" w:eastAsia="Times New Roman" w:hAnsi="Times New Roman" w:cs="Times New Roman"/>
          <w:spacing w:val="4"/>
        </w:rPr>
        <w:t>1‰</w:t>
      </w:r>
      <w:r>
        <w:rPr>
          <w:spacing w:val="4"/>
        </w:rPr>
        <w:t>，泵室段最大井斜≤</w:t>
      </w:r>
      <w:r>
        <w:rPr>
          <w:rFonts w:ascii="Times New Roman" w:eastAsia="Times New Roman" w:hAnsi="Times New Roman" w:cs="Times New Roman"/>
          <w:spacing w:val="4"/>
        </w:rPr>
        <w:t>1º</w:t>
      </w:r>
      <w:r>
        <w:rPr>
          <w:spacing w:val="4"/>
        </w:rPr>
        <w:t>;</w:t>
      </w:r>
    </w:p>
    <w:p>
      <w:pPr>
        <w:pStyle w:val="BodyText"/>
        <w:spacing w:before="19" w:line="231" w:lineRule="auto"/>
        <w:ind w:left="859" w:hanging="424"/>
      </w:pPr>
      <w:r>
        <w:rPr>
          <w:spacing w:val="-2"/>
        </w:rPr>
        <w:t>d)  盖层段应下入井壁管并固井（封井</w:t>
      </w:r>
      <w:r>
        <w:rPr>
          <w:spacing w:val="-1"/>
        </w:rPr>
        <w:t>），</w:t>
      </w:r>
      <w:r>
        <w:rPr>
          <w:spacing w:val="-2"/>
        </w:rPr>
        <w:t>开</w:t>
      </w:r>
      <w:r>
        <w:rPr>
          <w:spacing w:val="-3"/>
        </w:rPr>
        <w:t>采或回灌段可根据储层岩石稳定情况确定是否下入过</w:t>
      </w:r>
      <w:r>
        <w:rPr>
          <w:spacing w:val="1"/>
        </w:rPr>
        <w:t xml:space="preserve"> </w:t>
      </w:r>
      <w:r>
        <w:rPr>
          <w:spacing w:val="-3"/>
        </w:rPr>
        <w:t>滤管；</w:t>
      </w:r>
    </w:p>
    <w:p>
      <w:pPr>
        <w:pStyle w:val="BodyText"/>
        <w:spacing w:before="19" w:line="231" w:lineRule="auto"/>
        <w:ind w:left="434" w:right="1620" w:firstLine="1"/>
      </w:pPr>
      <w:r>
        <w:rPr>
          <w:spacing w:val="-4"/>
        </w:rPr>
        <w:t>e)  套管材质除满足井径、抗拉强度等要求之外，</w:t>
      </w:r>
      <w:r>
        <w:rPr>
          <w:spacing w:val="-8"/>
        </w:rPr>
        <w:t xml:space="preserve"> </w:t>
      </w:r>
      <w:r>
        <w:rPr>
          <w:spacing w:val="-4"/>
        </w:rPr>
        <w:t>还应满足相关抗腐蚀性要求；</w:t>
      </w:r>
      <w:r>
        <w:t xml:space="preserve"> </w:t>
      </w:r>
      <w:r>
        <w:rPr>
          <w:spacing w:val="-4"/>
        </w:rPr>
        <w:t>f)  高温、高压生产井，</w:t>
      </w:r>
      <w:r>
        <w:rPr>
          <w:spacing w:val="-22"/>
        </w:rPr>
        <w:t xml:space="preserve"> </w:t>
      </w:r>
      <w:r>
        <w:rPr>
          <w:spacing w:val="-4"/>
        </w:rPr>
        <w:t>应设计防喷装置；</w:t>
      </w:r>
    </w:p>
    <w:p>
      <w:pPr>
        <w:pStyle w:val="BodyText"/>
        <w:spacing w:before="20" w:line="231" w:lineRule="auto"/>
        <w:ind w:left="858" w:hanging="424"/>
      </w:pPr>
      <w:r>
        <w:rPr>
          <w:spacing w:val="-2"/>
        </w:rPr>
        <w:t>g)  生产井完钻后应进行洗井，洗至水清砂净且出水含砂量不大于</w:t>
      </w:r>
      <w:r>
        <w:rPr>
          <w:spacing w:val="-28"/>
        </w:rPr>
        <w:t xml:space="preserve"> </w:t>
      </w:r>
      <w:r>
        <w:rPr>
          <w:rFonts w:ascii="Times New Roman" w:eastAsia="Times New Roman" w:hAnsi="Times New Roman" w:cs="Times New Roman"/>
          <w:spacing w:val="-2"/>
        </w:rPr>
        <w:t>1/200</w:t>
      </w:r>
      <w:r>
        <w:rPr>
          <w:rFonts w:ascii="Times New Roman" w:eastAsia="Times New Roman" w:hAnsi="Times New Roman" w:cs="Times New Roman"/>
          <w:spacing w:val="-3"/>
        </w:rPr>
        <w:t>00</w:t>
      </w:r>
      <w:r>
        <w:rPr>
          <w:spacing w:val="-3"/>
        </w:rPr>
        <w:t>（质量比）</w:t>
      </w:r>
      <w:r>
        <w:rPr>
          <w:spacing w:val="-31"/>
        </w:rPr>
        <w:t xml:space="preserve"> </w:t>
      </w:r>
      <w:r>
        <w:rPr>
          <w:spacing w:val="-3"/>
        </w:rPr>
        <w:t>时进行产能</w:t>
      </w:r>
      <w:r>
        <w:t xml:space="preserve"> </w:t>
      </w:r>
      <w:r>
        <w:rPr>
          <w:spacing w:val="-1"/>
        </w:rPr>
        <w:t>测试，测试指标应符合设计要求；</w:t>
      </w:r>
    </w:p>
    <w:p>
      <w:pPr>
        <w:pStyle w:val="BodyText"/>
        <w:spacing w:before="20" w:line="241" w:lineRule="auto"/>
        <w:ind w:left="428"/>
      </w:pPr>
      <w:r>
        <w:t>h)  其他钻井设计要求按照</w:t>
      </w:r>
      <w:r>
        <w:rPr>
          <w:spacing w:val="-47"/>
        </w:rPr>
        <w:t xml:space="preserve"> </w:t>
      </w:r>
      <w:r>
        <w:rPr>
          <w:rFonts w:ascii="Times New Roman" w:eastAsia="Times New Roman" w:hAnsi="Times New Roman" w:cs="Times New Roman"/>
        </w:rPr>
        <w:t xml:space="preserve">DZ/T 0260 </w:t>
      </w:r>
      <w:r>
        <w:t>执行。</w:t>
      </w:r>
    </w:p>
    <w:p>
      <w:pPr>
        <w:pStyle w:val="BodyText"/>
        <w:spacing w:line="220" w:lineRule="auto"/>
        <w:ind w:left="4"/>
      </w:pPr>
      <w:hyperlink r:id="rId38" w:history="1">
        <w:r>
          <w:rPr>
            <w:rFonts w:ascii="SimHei" w:eastAsia="SimHei" w:hAnsi="SimHei" w:cs="SimHei"/>
          </w:rPr>
          <w:t>6.2.2.2</w:t>
        </w:r>
      </w:hyperlink>
      <w:r>
        <w:rPr>
          <w:rFonts w:ascii="SimHei" w:eastAsia="SimHei" w:hAnsi="SimHei" w:cs="SimHei"/>
        </w:rPr>
        <w:t xml:space="preserve">  </w:t>
      </w:r>
      <w:r>
        <w:t>地热井井室应满足以下技术要</w:t>
      </w:r>
      <w:r>
        <w:rPr>
          <w:spacing w:val="-1"/>
        </w:rPr>
        <w:t>求：</w:t>
      </w:r>
    </w:p>
    <w:p>
      <w:pPr>
        <w:pStyle w:val="BodyText"/>
        <w:spacing w:before="20" w:line="220" w:lineRule="auto"/>
        <w:ind w:left="431"/>
      </w:pPr>
      <w:r>
        <w:t>a)  井室结构应满足地热生产井运行维护、监测设备安装、数据采集、数据传输的要求；</w:t>
      </w:r>
    </w:p>
    <w:p>
      <w:pPr>
        <w:pStyle w:val="BodyText"/>
        <w:spacing w:before="25" w:line="229" w:lineRule="auto"/>
        <w:ind w:left="857" w:right="9" w:hanging="430"/>
      </w:pPr>
      <w:r>
        <w:rPr>
          <w:spacing w:val="-2"/>
        </w:rPr>
        <w:t>b)  空间应满足提、下水泵等操作要求，</w:t>
      </w:r>
      <w:r>
        <w:rPr>
          <w:spacing w:val="-23"/>
        </w:rPr>
        <w:t xml:space="preserve"> </w:t>
      </w:r>
      <w:r>
        <w:rPr>
          <w:spacing w:val="-2"/>
        </w:rPr>
        <w:t>净空高度宜不小于</w:t>
      </w:r>
      <w:r>
        <w:rPr>
          <w:spacing w:val="-43"/>
        </w:rPr>
        <w:t xml:space="preserve"> </w:t>
      </w:r>
      <w:r>
        <w:rPr>
          <w:rFonts w:ascii="Times New Roman" w:eastAsia="Times New Roman" w:hAnsi="Times New Roman" w:cs="Times New Roman"/>
          <w:spacing w:val="-2"/>
        </w:rPr>
        <w:t>3m</w:t>
      </w:r>
      <w:r>
        <w:rPr>
          <w:spacing w:val="-2"/>
        </w:rPr>
        <w:t>；若</w:t>
      </w:r>
      <w:r>
        <w:rPr>
          <w:spacing w:val="-3"/>
        </w:rPr>
        <w:t>采用地上井室，顶部应设置检</w:t>
      </w:r>
      <w:r>
        <w:t xml:space="preserve"> </w:t>
      </w:r>
      <w:r>
        <w:rPr>
          <w:spacing w:val="-2"/>
        </w:rPr>
        <w:t>修孔；</w:t>
      </w:r>
    </w:p>
    <w:p>
      <w:pPr>
        <w:pStyle w:val="BodyText"/>
        <w:spacing w:before="23" w:line="220" w:lineRule="auto"/>
        <w:ind w:left="435"/>
      </w:pPr>
      <w:r>
        <w:t>c)  应满足通风、干燥、防水、防雷电</w:t>
      </w:r>
      <w:r>
        <w:rPr>
          <w:spacing w:val="-1"/>
        </w:rPr>
        <w:t>要求；</w:t>
      </w:r>
    </w:p>
    <w:p>
      <w:pPr>
        <w:pStyle w:val="BodyText"/>
        <w:spacing w:before="20" w:line="241" w:lineRule="auto"/>
        <w:ind w:left="435"/>
      </w:pPr>
      <w:r>
        <w:rPr>
          <w:spacing w:val="-1"/>
        </w:rPr>
        <w:t>d)  井室结构、布局参考附录</w:t>
      </w:r>
      <w:r>
        <w:rPr>
          <w:spacing w:val="-42"/>
        </w:rPr>
        <w:t xml:space="preserve"> </w:t>
      </w:r>
      <w:r>
        <w:rPr>
          <w:rFonts w:ascii="Times New Roman" w:eastAsia="Times New Roman" w:hAnsi="Times New Roman" w:cs="Times New Roman"/>
          <w:spacing w:val="-1"/>
        </w:rPr>
        <w:t>C</w:t>
      </w:r>
      <w:r>
        <w:rPr>
          <w:spacing w:val="-1"/>
        </w:rPr>
        <w:t>。</w:t>
      </w:r>
    </w:p>
    <w:p>
      <w:pPr>
        <w:pStyle w:val="BodyText"/>
        <w:spacing w:before="1" w:line="220" w:lineRule="auto"/>
        <w:ind w:left="4"/>
      </w:pPr>
      <w:hyperlink r:id="rId39" w:history="1">
        <w:r>
          <w:rPr>
            <w:rFonts w:ascii="SimHei" w:eastAsia="SimHei" w:hAnsi="SimHei" w:cs="SimHei"/>
            <w:spacing w:val="-1"/>
          </w:rPr>
          <w:t>6.2.2.3</w:t>
        </w:r>
      </w:hyperlink>
      <w:r>
        <w:rPr>
          <w:rFonts w:ascii="SimHei" w:eastAsia="SimHei" w:hAnsi="SimHei" w:cs="SimHei"/>
          <w:spacing w:val="-1"/>
        </w:rPr>
        <w:t xml:space="preserve">  </w:t>
      </w:r>
      <w:r>
        <w:rPr>
          <w:spacing w:val="-1"/>
        </w:rPr>
        <w:t>水泵应满足以下要求：</w:t>
      </w:r>
    </w:p>
    <w:p>
      <w:pPr>
        <w:pStyle w:val="BodyText"/>
        <w:spacing w:before="21" w:line="238" w:lineRule="auto"/>
        <w:ind w:left="431"/>
        <w:sectPr>
          <w:headerReference w:type="default" r:id="rId40"/>
          <w:footerReference w:type="default" r:id="rId41"/>
          <w:pgSz w:w="11907" w:h="16839"/>
          <w:pgMar w:top="1659" w:right="1413" w:bottom="1310" w:left="1135" w:header="1448" w:footer="1133" w:gutter="0"/>
          <w:pgNumType w:start="7"/>
          <w:cols w:space="708"/>
        </w:sectPr>
      </w:pPr>
      <w:r>
        <w:t>a)  根据地热生产井开采量、水位埋深、降深和供水压力确定水泵型号；</w:t>
      </w:r>
    </w:p>
    <w:p>
      <w:pPr>
        <w:pStyle w:val="BodyText"/>
        <w:spacing w:line="220" w:lineRule="auto"/>
        <w:ind w:left="427"/>
      </w:pPr>
      <w:r>
        <w:rPr>
          <w:spacing w:val="-1"/>
        </w:rPr>
        <w:t>b)  水泵应耐高温、耐腐蚀。</w:t>
      </w:r>
    </w:p>
    <w:p>
      <w:pPr>
        <w:pStyle w:val="BodyText"/>
        <w:spacing w:before="22" w:line="221" w:lineRule="auto"/>
        <w:ind w:left="4"/>
      </w:pPr>
      <w:hyperlink r:id="rId42" w:history="1">
        <w:r>
          <w:rPr>
            <w:rFonts w:ascii="SimHei" w:eastAsia="SimHei" w:hAnsi="SimHei" w:cs="SimHei"/>
          </w:rPr>
          <w:t>6.2.2.4</w:t>
        </w:r>
      </w:hyperlink>
      <w:r>
        <w:rPr>
          <w:rFonts w:ascii="SimHei" w:eastAsia="SimHei" w:hAnsi="SimHei" w:cs="SimHei"/>
        </w:rPr>
        <w:t xml:space="preserve">  </w:t>
      </w:r>
      <w:r>
        <w:t>地热井井口装置应满足以下要</w:t>
      </w:r>
      <w:r>
        <w:rPr>
          <w:spacing w:val="-1"/>
        </w:rPr>
        <w:t>求：</w:t>
      </w:r>
    </w:p>
    <w:p>
      <w:pPr>
        <w:pStyle w:val="BodyText"/>
        <w:spacing w:before="20" w:line="231" w:lineRule="auto"/>
        <w:ind w:left="427" w:right="1199" w:firstLine="4"/>
      </w:pPr>
      <w:r>
        <w:rPr>
          <w:spacing w:val="-1"/>
        </w:rPr>
        <w:t>a)  地热井井口装置一般由封井设备、监测设备、过滤设备及供水管</w:t>
      </w:r>
      <w:r>
        <w:rPr>
          <w:spacing w:val="-2"/>
        </w:rPr>
        <w:t>道、阀门组成；</w:t>
      </w:r>
      <w:r>
        <w:t xml:space="preserve"> </w:t>
      </w:r>
      <w:r>
        <w:t>b)  根据地热流体量、管道压力确定监测设备型号；</w:t>
      </w:r>
    </w:p>
    <w:p>
      <w:pPr>
        <w:pStyle w:val="BodyText"/>
        <w:spacing w:before="20" w:line="220" w:lineRule="auto"/>
        <w:ind w:left="435"/>
      </w:pPr>
      <w:r>
        <w:t>c)  根据流体腐蚀性、结垢性选择地热井井口装置材质。</w:t>
      </w:r>
    </w:p>
    <w:p>
      <w:pPr>
        <w:spacing w:before="144" w:line="219" w:lineRule="auto"/>
        <w:rPr>
          <w:rFonts w:ascii="SimHei" w:eastAsia="SimHei" w:hAnsi="SimHei" w:cs="SimHei"/>
          <w:sz w:val="21"/>
          <w:szCs w:val="21"/>
        </w:rPr>
      </w:pPr>
      <w:r>
        <w:rPr>
          <w:rFonts w:ascii="SimHei" w:eastAsia="SimHei" w:hAnsi="SimHei" w:cs="SimHei"/>
          <w:sz w:val="21"/>
          <w:szCs w:val="21"/>
        </w:rPr>
        <w:drawing>
          <wp:inline distT="0" distB="0" distL="0" distR="0">
            <wp:extent cx="195072" cy="10058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3"/>
                    <a:stretch>
                      <a:fillRect/>
                    </a:stretch>
                  </pic:blipFill>
                  <pic:spPr>
                    <a:xfrm>
                      <a:off x="0" y="0"/>
                      <a:ext cx="195072" cy="100583"/>
                    </a:xfrm>
                    <a:prstGeom prst="rect">
                      <a:avLst/>
                    </a:prstGeom>
                  </pic:spPr>
                </pic:pic>
              </a:graphicData>
            </a:graphic>
          </wp:inline>
        </w:drawing>
      </w:r>
      <w:r>
        <w:rPr>
          <w:rFonts w:ascii="SimHei" w:eastAsia="SimHei" w:hAnsi="SimHei" w:cs="SimHei"/>
          <w:spacing w:val="9"/>
          <w:sz w:val="21"/>
          <w:szCs w:val="21"/>
        </w:rPr>
        <w:t xml:space="preserve">  </w:t>
      </w:r>
      <w:r>
        <w:rPr>
          <w:rFonts w:ascii="SimHei" w:eastAsia="SimHei" w:hAnsi="SimHei" w:cs="SimHei"/>
          <w:spacing w:val="-1"/>
          <w:sz w:val="21"/>
          <w:szCs w:val="21"/>
        </w:rPr>
        <w:t>地热资源利用技术要求</w:t>
      </w:r>
    </w:p>
    <w:p>
      <w:pPr>
        <w:spacing w:before="142" w:line="220" w:lineRule="auto"/>
        <w:ind w:left="4"/>
        <w:rPr>
          <w:rFonts w:ascii="SimHei" w:eastAsia="SimHei" w:hAnsi="SimHei" w:cs="SimHei"/>
          <w:sz w:val="21"/>
          <w:szCs w:val="21"/>
        </w:rPr>
      </w:pPr>
      <w:r>
        <w:rPr>
          <w:rFonts w:ascii="SimHei" w:eastAsia="SimHei" w:hAnsi="SimHei" w:cs="SimHei"/>
          <w:spacing w:val="-1"/>
          <w:sz w:val="21"/>
          <w:szCs w:val="21"/>
        </w:rPr>
        <w:t>6.3.1</w:t>
      </w:r>
      <w:r>
        <w:rPr>
          <w:rFonts w:ascii="SimHei" w:eastAsia="SimHei" w:hAnsi="SimHei" w:cs="SimHei"/>
          <w:spacing w:val="-1"/>
          <w:sz w:val="21"/>
          <w:szCs w:val="21"/>
        </w:rPr>
        <w:t xml:space="preserve">  </w:t>
      </w:r>
      <w:r>
        <w:rPr>
          <w:rFonts w:ascii="SimHei" w:eastAsia="SimHei" w:hAnsi="SimHei" w:cs="SimHei"/>
          <w:spacing w:val="-1"/>
          <w:sz w:val="21"/>
          <w:szCs w:val="21"/>
        </w:rPr>
        <w:t>利用规模设计要求</w:t>
      </w:r>
    </w:p>
    <w:p>
      <w:pPr>
        <w:pStyle w:val="BodyText"/>
        <w:spacing w:before="144" w:line="233" w:lineRule="auto"/>
        <w:ind w:left="9" w:hanging="5"/>
        <w:jc w:val="both"/>
      </w:pPr>
      <w:hyperlink r:id="rId44" w:history="1">
        <w:r>
          <w:rPr>
            <w:rFonts w:ascii="SimHei" w:eastAsia="SimHei" w:hAnsi="SimHei" w:cs="SimHei"/>
            <w:spacing w:val="-2"/>
          </w:rPr>
          <w:t>6.3.1.1</w:t>
        </w:r>
      </w:hyperlink>
      <w:r>
        <w:rPr>
          <w:rFonts w:ascii="SimHei" w:eastAsia="SimHei" w:hAnsi="SimHei" w:cs="SimHei"/>
          <w:spacing w:val="-2"/>
        </w:rPr>
        <w:t xml:space="preserve">  </w:t>
      </w:r>
      <w:r>
        <w:rPr>
          <w:spacing w:val="-2"/>
        </w:rPr>
        <w:t>应满足资源节约的要求： 采暖等利用热能项目能耗设计应采用行业或地方节能指标；利用地</w:t>
      </w:r>
      <w:r>
        <w:rPr>
          <w:spacing w:val="1"/>
        </w:rPr>
        <w:t xml:space="preserve"> </w:t>
      </w:r>
      <w:r>
        <w:rPr>
          <w:spacing w:val="-2"/>
        </w:rPr>
        <w:t>热流体的项目应采用行业或地方节水指标设计；节能节水指标不</w:t>
      </w:r>
      <w:r>
        <w:rPr>
          <w:spacing w:val="-3"/>
        </w:rPr>
        <w:t>明确的，应在调研和评价基础上综合确</w:t>
      </w:r>
      <w:r>
        <w:t xml:space="preserve"> </w:t>
      </w:r>
      <w:r>
        <w:rPr>
          <w:spacing w:val="-1"/>
        </w:rPr>
        <w:t>定，或按照</w:t>
      </w:r>
      <w:r>
        <w:rPr>
          <w:spacing w:val="-44"/>
        </w:rPr>
        <w:t xml:space="preserve"> </w:t>
      </w:r>
      <w:r>
        <w:rPr>
          <w:rFonts w:ascii="Times New Roman" w:eastAsia="Times New Roman" w:hAnsi="Times New Roman" w:cs="Times New Roman"/>
          <w:spacing w:val="-1"/>
        </w:rPr>
        <w:t>GB/T</w:t>
      </w:r>
      <w:r>
        <w:rPr>
          <w:rFonts w:ascii="Times New Roman" w:eastAsia="Times New Roman" w:hAnsi="Times New Roman" w:cs="Times New Roman"/>
          <w:spacing w:val="23"/>
          <w:w w:val="101"/>
        </w:rPr>
        <w:t xml:space="preserve"> </w:t>
      </w:r>
      <w:r>
        <w:rPr>
          <w:rFonts w:ascii="Times New Roman" w:eastAsia="Times New Roman" w:hAnsi="Times New Roman" w:cs="Times New Roman"/>
          <w:spacing w:val="-1"/>
        </w:rPr>
        <w:t xml:space="preserve">11615 </w:t>
      </w:r>
      <w:r>
        <w:rPr>
          <w:spacing w:val="-1"/>
        </w:rPr>
        <w:t>执行（见表</w:t>
      </w:r>
      <w:r>
        <w:rPr>
          <w:spacing w:val="-48"/>
        </w:rPr>
        <w:t xml:space="preserve"> </w:t>
      </w:r>
      <w:r>
        <w:rPr>
          <w:rFonts w:ascii="Times New Roman" w:eastAsia="Times New Roman" w:hAnsi="Times New Roman" w:cs="Times New Roman"/>
          <w:spacing w:val="-1"/>
        </w:rPr>
        <w:t>2</w:t>
      </w:r>
      <w:r>
        <w:rPr>
          <w:spacing w:val="-39"/>
        </w:rPr>
        <w:t>），</w:t>
      </w:r>
      <w:r>
        <w:rPr>
          <w:spacing w:val="-22"/>
        </w:rPr>
        <w:t xml:space="preserve"> </w:t>
      </w:r>
      <w:r>
        <w:rPr>
          <w:spacing w:val="-2"/>
        </w:rPr>
        <w:t>新设计指标应不低于行业现状。</w:t>
      </w:r>
    </w:p>
    <w:p>
      <w:pPr>
        <w:spacing w:line="233" w:lineRule="auto"/>
        <w:sectPr>
          <w:headerReference w:type="default" r:id="rId45"/>
          <w:footerReference w:type="default" r:id="rId46"/>
          <w:type w:val="nextPage"/>
          <w:pgSz w:w="11907" w:h="16839"/>
          <w:pgMar w:top="1659" w:right="1413" w:bottom="1310" w:left="1135" w:header="1448" w:footer="1133" w:gutter="0"/>
          <w:pgNumType w:start="8"/>
          <w:cols w:space="708"/>
          <w:titlePg w:val="0"/>
        </w:sectPr>
      </w:pPr>
    </w:p>
    <w:p>
      <w:pPr>
        <w:spacing w:line="309" w:lineRule="auto"/>
        <w:rPr>
          <w:rFonts w:ascii="Arial"/>
          <w:sz w:val="21"/>
        </w:rPr>
      </w:pPr>
    </w:p>
    <w:p>
      <w:pPr>
        <w:spacing w:line="310" w:lineRule="auto"/>
        <w:rPr>
          <w:rFonts w:ascii="Arial"/>
          <w:sz w:val="21"/>
        </w:rPr>
      </w:pPr>
    </w:p>
    <w:p>
      <w:pPr>
        <w:spacing w:before="68" w:line="219" w:lineRule="auto"/>
        <w:ind w:left="1902"/>
        <w:rPr>
          <w:rFonts w:ascii="SimHei" w:eastAsia="SimHei" w:hAnsi="SimHei" w:cs="SimHei"/>
          <w:sz w:val="21"/>
          <w:szCs w:val="21"/>
        </w:rPr>
      </w:pPr>
      <w:r>
        <w:rPr>
          <w:rFonts w:ascii="SimHei" w:eastAsia="SimHei" w:hAnsi="SimHei" w:cs="SimHei"/>
          <w:sz w:val="21"/>
          <w:szCs w:val="21"/>
        </w:rPr>
        <w:t>表2</w:t>
      </w:r>
      <w:r>
        <w:rPr>
          <w:rFonts w:ascii="SimHei" w:eastAsia="SimHei" w:hAnsi="SimHei" w:cs="SimHei"/>
          <w:sz w:val="21"/>
          <w:szCs w:val="21"/>
        </w:rPr>
        <w:t xml:space="preserve">  </w:t>
      </w:r>
      <w:r>
        <w:rPr>
          <w:rFonts w:ascii="SimHei" w:eastAsia="SimHei" w:hAnsi="SimHei" w:cs="SimHei"/>
          <w:sz w:val="21"/>
          <w:szCs w:val="21"/>
        </w:rPr>
        <w:t>地热采暖、供热、理疗、洗浴等耗水（热</w:t>
      </w:r>
      <w:r>
        <w:rPr>
          <w:rFonts w:ascii="SimHei" w:eastAsia="SimHei" w:hAnsi="SimHei" w:cs="SimHei"/>
          <w:spacing w:val="-1"/>
          <w:sz w:val="21"/>
          <w:szCs w:val="21"/>
        </w:rPr>
        <w:t>）量参考标准</w:t>
      </w:r>
    </w:p>
    <w:p>
      <w:pPr>
        <w:spacing w:line="112" w:lineRule="exact"/>
      </w:pPr>
    </w:p>
    <w:tbl>
      <w:tblPr>
        <w:tblStyle w:val="TableNormal1"/>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339"/>
        <w:gridCol w:w="1333"/>
        <w:gridCol w:w="1330"/>
        <w:gridCol w:w="1333"/>
        <w:gridCol w:w="1332"/>
        <w:gridCol w:w="1333"/>
        <w:gridCol w:w="1339"/>
      </w:tblGrid>
      <w:tr>
        <w:tblPrEx>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72"/>
        </w:trPr>
        <w:tc>
          <w:tcPr>
            <w:tcW w:w="1339" w:type="dxa"/>
            <w:tcBorders>
              <w:right w:val="single" w:sz="2" w:space="0" w:color="000000"/>
            </w:tcBorders>
            <w:vAlign w:val="top"/>
          </w:tcPr>
          <w:p>
            <w:pPr>
              <w:spacing w:before="147" w:line="220" w:lineRule="auto"/>
              <w:ind w:left="491"/>
              <w:rPr>
                <w:rFonts w:ascii="SimSun" w:eastAsia="SimSun" w:hAnsi="SimSun" w:cs="SimSun"/>
                <w:sz w:val="18"/>
                <w:szCs w:val="18"/>
              </w:rPr>
            </w:pPr>
            <w:r>
              <w:rPr>
                <w:rFonts w:ascii="SimSun" w:eastAsia="SimSun" w:hAnsi="SimSun" w:cs="SimSun"/>
                <w:spacing w:val="-3"/>
                <w:sz w:val="18"/>
                <w:szCs w:val="18"/>
              </w:rPr>
              <w:t>项目</w:t>
            </w:r>
          </w:p>
        </w:tc>
        <w:tc>
          <w:tcPr>
            <w:tcW w:w="1333" w:type="dxa"/>
            <w:tcBorders>
              <w:left w:val="single" w:sz="2" w:space="0" w:color="000000"/>
              <w:right w:val="single" w:sz="2" w:space="0" w:color="000000"/>
            </w:tcBorders>
            <w:vAlign w:val="top"/>
          </w:tcPr>
          <w:p>
            <w:pPr>
              <w:spacing w:before="44" w:line="235" w:lineRule="auto"/>
              <w:ind w:left="483"/>
              <w:rPr>
                <w:rFonts w:ascii="SimSun" w:eastAsia="SimSun" w:hAnsi="SimSun" w:cs="SimSun"/>
                <w:sz w:val="18"/>
                <w:szCs w:val="18"/>
              </w:rPr>
            </w:pPr>
            <w:r>
              <w:rPr>
                <w:rFonts w:ascii="SimSun" w:eastAsia="SimSun" w:hAnsi="SimSun" w:cs="SimSun"/>
                <w:spacing w:val="-2"/>
                <w:sz w:val="18"/>
                <w:szCs w:val="18"/>
              </w:rPr>
              <w:t>采暖</w:t>
            </w:r>
          </w:p>
          <w:p>
            <w:pPr>
              <w:pStyle w:val="TableText"/>
              <w:spacing w:line="208" w:lineRule="auto"/>
              <w:ind w:left="450"/>
              <w:rPr>
                <w:sz w:val="12"/>
                <w:szCs w:val="12"/>
              </w:rPr>
            </w:pPr>
            <w:r>
              <w:rPr>
                <w:spacing w:val="-1"/>
              </w:rPr>
              <w:t>W/m</w:t>
            </w:r>
            <w:r>
              <w:rPr>
                <w:spacing w:val="-1"/>
                <w:position w:val="5"/>
                <w:sz w:val="12"/>
                <w:szCs w:val="12"/>
              </w:rPr>
              <w:t>2</w:t>
            </w:r>
          </w:p>
        </w:tc>
        <w:tc>
          <w:tcPr>
            <w:tcW w:w="1330" w:type="dxa"/>
            <w:tcBorders>
              <w:left w:val="single" w:sz="2" w:space="0" w:color="000000"/>
              <w:right w:val="single" w:sz="2" w:space="0" w:color="000000"/>
            </w:tcBorders>
            <w:vAlign w:val="top"/>
          </w:tcPr>
          <w:p>
            <w:pPr>
              <w:pStyle w:val="TableText"/>
              <w:spacing w:before="31" w:line="221" w:lineRule="auto"/>
              <w:ind w:left="264" w:right="216" w:hanging="49"/>
            </w:pPr>
            <w:r>
              <w:rPr>
                <w:rFonts w:ascii="SimSun" w:eastAsia="SimSun" w:hAnsi="SimSun" w:cs="SimSun"/>
                <w:spacing w:val="-2"/>
              </w:rPr>
              <w:t>供生活热水</w:t>
            </w:r>
            <w:r>
              <w:rPr>
                <w:rFonts w:ascii="SimSun" w:eastAsia="SimSun" w:hAnsi="SimSun" w:cs="SimSun"/>
                <w:spacing w:val="1"/>
              </w:rPr>
              <w:t xml:space="preserve"> </w:t>
            </w:r>
            <w:r>
              <w:rPr>
                <w:spacing w:val="-1"/>
              </w:rPr>
              <w:t>m</w:t>
            </w:r>
            <w:r>
              <w:rPr>
                <w:spacing w:val="-1"/>
                <w:position w:val="5"/>
                <w:sz w:val="12"/>
                <w:szCs w:val="12"/>
              </w:rPr>
              <w:t>3</w:t>
            </w:r>
            <w:r>
              <w:rPr>
                <w:spacing w:val="-1"/>
              </w:rPr>
              <w:t>/(</w:t>
            </w:r>
            <w:r>
              <w:rPr>
                <w:rFonts w:ascii="SimSun" w:eastAsia="SimSun" w:hAnsi="SimSun" w:cs="SimSun"/>
                <w:spacing w:val="-1"/>
              </w:rPr>
              <w:t>年</w:t>
            </w:r>
            <w:r>
              <w:rPr>
                <w:spacing w:val="-1"/>
              </w:rPr>
              <w:t>·</w:t>
            </w:r>
            <w:r>
              <w:rPr>
                <w:rFonts w:ascii="SimSun" w:eastAsia="SimSun" w:hAnsi="SimSun" w:cs="SimSun"/>
                <w:spacing w:val="-1"/>
              </w:rPr>
              <w:t>人</w:t>
            </w:r>
            <w:r>
              <w:rPr>
                <w:spacing w:val="-1"/>
              </w:rPr>
              <w:t>)</w:t>
            </w:r>
          </w:p>
        </w:tc>
        <w:tc>
          <w:tcPr>
            <w:tcW w:w="1333" w:type="dxa"/>
            <w:tcBorders>
              <w:left w:val="single" w:sz="2" w:space="0" w:color="000000"/>
              <w:right w:val="single" w:sz="2" w:space="0" w:color="000000"/>
            </w:tcBorders>
            <w:vAlign w:val="top"/>
          </w:tcPr>
          <w:p>
            <w:pPr>
              <w:spacing w:before="31" w:line="239" w:lineRule="auto"/>
              <w:ind w:left="312"/>
              <w:rPr>
                <w:rFonts w:ascii="SimSun" w:eastAsia="SimSun" w:hAnsi="SimSun" w:cs="SimSun"/>
                <w:sz w:val="18"/>
                <w:szCs w:val="18"/>
              </w:rPr>
            </w:pPr>
            <w:r>
              <w:rPr>
                <w:rFonts w:ascii="SimSun" w:eastAsia="SimSun" w:hAnsi="SimSun" w:cs="SimSun"/>
                <w:spacing w:val="-2"/>
                <w:sz w:val="18"/>
                <w:szCs w:val="18"/>
              </w:rPr>
              <w:t>温泉洗浴</w:t>
            </w:r>
          </w:p>
          <w:p>
            <w:pPr>
              <w:pStyle w:val="TableText"/>
              <w:spacing w:line="202" w:lineRule="auto"/>
              <w:ind w:left="269"/>
            </w:pPr>
            <w:r>
              <w:rPr>
                <w:spacing w:val="-1"/>
              </w:rPr>
              <w:t>m</w:t>
            </w:r>
            <w:r>
              <w:rPr>
                <w:spacing w:val="-1"/>
                <w:position w:val="5"/>
                <w:sz w:val="12"/>
                <w:szCs w:val="12"/>
              </w:rPr>
              <w:t>3</w:t>
            </w:r>
            <w:r>
              <w:rPr>
                <w:spacing w:val="-1"/>
              </w:rPr>
              <w:t>/(</w:t>
            </w:r>
            <w:r>
              <w:rPr>
                <w:rFonts w:ascii="SimSun" w:eastAsia="SimSun" w:hAnsi="SimSun" w:cs="SimSun"/>
                <w:spacing w:val="-1"/>
              </w:rPr>
              <w:t>人</w:t>
            </w:r>
            <w:r>
              <w:rPr>
                <w:spacing w:val="-1"/>
              </w:rPr>
              <w:t>·</w:t>
            </w:r>
            <w:r>
              <w:rPr>
                <w:rFonts w:ascii="SimSun" w:eastAsia="SimSun" w:hAnsi="SimSun" w:cs="SimSun"/>
                <w:spacing w:val="-1"/>
              </w:rPr>
              <w:t>次</w:t>
            </w:r>
            <w:r>
              <w:rPr>
                <w:spacing w:val="-1"/>
              </w:rPr>
              <w:t>)</w:t>
            </w:r>
          </w:p>
        </w:tc>
        <w:tc>
          <w:tcPr>
            <w:tcW w:w="1332" w:type="dxa"/>
            <w:tcBorders>
              <w:left w:val="single" w:sz="2" w:space="0" w:color="000000"/>
              <w:right w:val="single" w:sz="2" w:space="0" w:color="000000"/>
            </w:tcBorders>
            <w:vAlign w:val="top"/>
          </w:tcPr>
          <w:p>
            <w:pPr>
              <w:spacing w:before="32" w:line="220" w:lineRule="auto"/>
              <w:ind w:left="494"/>
              <w:rPr>
                <w:rFonts w:ascii="SimSun" w:eastAsia="SimSun" w:hAnsi="SimSun" w:cs="SimSun"/>
                <w:sz w:val="18"/>
                <w:szCs w:val="18"/>
              </w:rPr>
            </w:pPr>
            <w:r>
              <w:rPr>
                <w:rFonts w:ascii="SimSun" w:eastAsia="SimSun" w:hAnsi="SimSun" w:cs="SimSun"/>
                <w:spacing w:val="-3"/>
                <w:sz w:val="18"/>
                <w:szCs w:val="18"/>
              </w:rPr>
              <w:t>理疗</w:t>
            </w:r>
          </w:p>
          <w:p>
            <w:pPr>
              <w:pStyle w:val="TableText"/>
              <w:spacing w:before="18" w:line="202" w:lineRule="auto"/>
              <w:ind w:left="182"/>
            </w:pPr>
            <w:r>
              <w:rPr>
                <w:spacing w:val="-1"/>
              </w:rPr>
              <w:t>m</w:t>
            </w:r>
            <w:r>
              <w:rPr>
                <w:spacing w:val="-1"/>
                <w:position w:val="5"/>
                <w:sz w:val="12"/>
                <w:szCs w:val="12"/>
              </w:rPr>
              <w:t>3</w:t>
            </w:r>
            <w:r>
              <w:rPr>
                <w:spacing w:val="-1"/>
              </w:rPr>
              <w:t>/(</w:t>
            </w:r>
            <w:r>
              <w:rPr>
                <w:rFonts w:ascii="SimSun" w:eastAsia="SimSun" w:hAnsi="SimSun" w:cs="SimSun"/>
                <w:spacing w:val="-1"/>
              </w:rPr>
              <w:t>床位</w:t>
            </w:r>
            <w:r>
              <w:rPr>
                <w:spacing w:val="-1"/>
              </w:rPr>
              <w:t>·</w:t>
            </w:r>
            <w:r>
              <w:rPr>
                <w:rFonts w:ascii="SimSun" w:eastAsia="SimSun" w:hAnsi="SimSun" w:cs="SimSun"/>
                <w:spacing w:val="-1"/>
              </w:rPr>
              <w:t>年</w:t>
            </w:r>
            <w:r>
              <w:rPr>
                <w:spacing w:val="-1"/>
              </w:rPr>
              <w:t>)</w:t>
            </w:r>
          </w:p>
        </w:tc>
        <w:tc>
          <w:tcPr>
            <w:tcW w:w="1333" w:type="dxa"/>
            <w:tcBorders>
              <w:left w:val="single" w:sz="2" w:space="0" w:color="000000"/>
              <w:right w:val="single" w:sz="2" w:space="0" w:color="000000"/>
            </w:tcBorders>
            <w:vAlign w:val="top"/>
          </w:tcPr>
          <w:p>
            <w:pPr>
              <w:spacing w:before="44" w:line="235" w:lineRule="auto"/>
              <w:ind w:left="312"/>
              <w:rPr>
                <w:rFonts w:ascii="SimSun" w:eastAsia="SimSun" w:hAnsi="SimSun" w:cs="SimSun"/>
                <w:sz w:val="18"/>
                <w:szCs w:val="18"/>
              </w:rPr>
            </w:pPr>
            <w:r>
              <w:rPr>
                <w:rFonts w:ascii="SimSun" w:eastAsia="SimSun" w:hAnsi="SimSun" w:cs="SimSun"/>
                <w:spacing w:val="-2"/>
                <w:sz w:val="18"/>
                <w:szCs w:val="18"/>
              </w:rPr>
              <w:t>农业温室</w:t>
            </w:r>
          </w:p>
          <w:p>
            <w:pPr>
              <w:pStyle w:val="TableText"/>
              <w:spacing w:line="208" w:lineRule="auto"/>
              <w:ind w:left="459"/>
              <w:rPr>
                <w:sz w:val="12"/>
                <w:szCs w:val="12"/>
              </w:rPr>
            </w:pPr>
            <w:r>
              <w:rPr>
                <w:spacing w:val="-1"/>
              </w:rPr>
              <w:t>W/m</w:t>
            </w:r>
            <w:r>
              <w:rPr>
                <w:spacing w:val="-1"/>
                <w:position w:val="5"/>
                <w:sz w:val="12"/>
                <w:szCs w:val="12"/>
              </w:rPr>
              <w:t>2</w:t>
            </w:r>
          </w:p>
        </w:tc>
        <w:tc>
          <w:tcPr>
            <w:tcW w:w="1339" w:type="dxa"/>
            <w:tcBorders>
              <w:left w:val="single" w:sz="2" w:space="0" w:color="000000"/>
            </w:tcBorders>
            <w:vAlign w:val="top"/>
          </w:tcPr>
          <w:p>
            <w:pPr>
              <w:pStyle w:val="TableText"/>
              <w:spacing w:before="31" w:line="221" w:lineRule="auto"/>
              <w:ind w:left="260" w:right="260" w:firstLine="53"/>
            </w:pPr>
            <w:r>
              <w:rPr>
                <w:rFonts w:ascii="SimSun" w:eastAsia="SimSun" w:hAnsi="SimSun" w:cs="SimSun"/>
                <w:spacing w:val="-3"/>
              </w:rPr>
              <w:t>水产养殖</w:t>
            </w:r>
            <w:r>
              <w:rPr>
                <w:rFonts w:ascii="SimSun" w:eastAsia="SimSun" w:hAnsi="SimSun" w:cs="SimSun"/>
                <w:spacing w:val="1"/>
              </w:rPr>
              <w:t xml:space="preserve"> </w:t>
            </w:r>
            <w:r>
              <w:rPr>
                <w:spacing w:val="-3"/>
              </w:rPr>
              <w:t>m</w:t>
            </w:r>
            <w:r>
              <w:rPr>
                <w:spacing w:val="-3"/>
                <w:position w:val="5"/>
                <w:sz w:val="12"/>
                <w:szCs w:val="12"/>
              </w:rPr>
              <w:t>3</w:t>
            </w:r>
            <w:r>
              <w:rPr>
                <w:spacing w:val="-3"/>
              </w:rPr>
              <w:t>/(m</w:t>
            </w:r>
            <w:r>
              <w:rPr>
                <w:spacing w:val="-3"/>
                <w:position w:val="5"/>
                <w:sz w:val="12"/>
                <w:szCs w:val="12"/>
              </w:rPr>
              <w:t>2</w:t>
            </w:r>
            <w:r>
              <w:rPr>
                <w:spacing w:val="-7"/>
                <w:position w:val="5"/>
                <w:sz w:val="12"/>
                <w:szCs w:val="12"/>
              </w:rPr>
              <w:t xml:space="preserve"> </w:t>
            </w:r>
            <w:r>
              <w:rPr>
                <w:spacing w:val="-3"/>
              </w:rPr>
              <w:t>·</w:t>
            </w:r>
            <w:r>
              <w:rPr>
                <w:rFonts w:ascii="SimSun" w:eastAsia="SimSun" w:hAnsi="SimSun" w:cs="SimSun"/>
                <w:spacing w:val="-3"/>
              </w:rPr>
              <w:t>年</w:t>
            </w:r>
            <w:r>
              <w:rPr>
                <w:spacing w:val="-3"/>
              </w:rPr>
              <w:t>)</w:t>
            </w:r>
          </w:p>
        </w:tc>
      </w:tr>
      <w:tr>
        <w:tblPrEx>
          <w:tblW w:w="9339" w:type="dxa"/>
          <w:tblInd w:w="7" w:type="dxa"/>
          <w:tblLayout w:type="fixed"/>
        </w:tblPrEx>
        <w:trPr>
          <w:trHeight w:val="243"/>
        </w:trPr>
        <w:tc>
          <w:tcPr>
            <w:tcW w:w="1339" w:type="dxa"/>
            <w:tcBorders>
              <w:right w:val="single" w:sz="2" w:space="0" w:color="000000"/>
            </w:tcBorders>
            <w:vAlign w:val="top"/>
          </w:tcPr>
          <w:p>
            <w:pPr>
              <w:spacing w:before="30" w:line="208" w:lineRule="auto"/>
              <w:ind w:left="489"/>
              <w:rPr>
                <w:rFonts w:ascii="SimSun" w:eastAsia="SimSun" w:hAnsi="SimSun" w:cs="SimSun"/>
                <w:sz w:val="18"/>
                <w:szCs w:val="18"/>
              </w:rPr>
            </w:pPr>
            <w:r>
              <w:rPr>
                <w:rFonts w:ascii="SimSun" w:eastAsia="SimSun" w:hAnsi="SimSun" w:cs="SimSun"/>
                <w:spacing w:val="-2"/>
                <w:sz w:val="18"/>
                <w:szCs w:val="18"/>
              </w:rPr>
              <w:t>标准</w:t>
            </w:r>
          </w:p>
        </w:tc>
        <w:tc>
          <w:tcPr>
            <w:tcW w:w="1333" w:type="dxa"/>
            <w:tcBorders>
              <w:left w:val="single" w:sz="2" w:space="0" w:color="000000"/>
              <w:right w:val="single" w:sz="2" w:space="0" w:color="000000"/>
            </w:tcBorders>
            <w:vAlign w:val="top"/>
          </w:tcPr>
          <w:p>
            <w:pPr>
              <w:pStyle w:val="TableText"/>
              <w:spacing w:before="60" w:line="186" w:lineRule="auto"/>
              <w:ind w:left="577"/>
            </w:pPr>
            <w:r>
              <w:rPr>
                <w:spacing w:val="-2"/>
              </w:rPr>
              <w:t>50</w:t>
            </w:r>
          </w:p>
        </w:tc>
        <w:tc>
          <w:tcPr>
            <w:tcW w:w="1330" w:type="dxa"/>
            <w:tcBorders>
              <w:left w:val="single" w:sz="2" w:space="0" w:color="000000"/>
              <w:right w:val="single" w:sz="2" w:space="0" w:color="000000"/>
            </w:tcBorders>
            <w:vAlign w:val="top"/>
          </w:tcPr>
          <w:p>
            <w:pPr>
              <w:pStyle w:val="TableText"/>
              <w:spacing w:before="30" w:line="208" w:lineRule="auto"/>
              <w:ind w:left="409"/>
            </w:pPr>
            <w:r>
              <w:rPr>
                <w:spacing w:val="-4"/>
              </w:rPr>
              <w:t>15</w:t>
            </w:r>
            <w:r>
              <w:rPr>
                <w:rFonts w:ascii="SimSun" w:eastAsia="SimSun" w:hAnsi="SimSun" w:cs="SimSun"/>
                <w:spacing w:val="-4"/>
              </w:rPr>
              <w:t>～</w:t>
            </w:r>
            <w:r>
              <w:rPr>
                <w:spacing w:val="-4"/>
              </w:rPr>
              <w:t>20</w:t>
            </w:r>
          </w:p>
        </w:tc>
        <w:tc>
          <w:tcPr>
            <w:tcW w:w="1333" w:type="dxa"/>
            <w:tcBorders>
              <w:left w:val="single" w:sz="2" w:space="0" w:color="000000"/>
              <w:right w:val="single" w:sz="2" w:space="0" w:color="000000"/>
            </w:tcBorders>
            <w:vAlign w:val="top"/>
          </w:tcPr>
          <w:p>
            <w:pPr>
              <w:pStyle w:val="TableText"/>
              <w:spacing w:before="30" w:line="208" w:lineRule="auto"/>
              <w:ind w:left="353"/>
            </w:pPr>
            <w:r>
              <w:rPr>
                <w:spacing w:val="-1"/>
              </w:rPr>
              <w:t>0.3</w:t>
            </w:r>
            <w:r>
              <w:rPr>
                <w:rFonts w:ascii="SimSun" w:eastAsia="SimSun" w:hAnsi="SimSun" w:cs="SimSun"/>
                <w:spacing w:val="-1"/>
              </w:rPr>
              <w:t>～</w:t>
            </w:r>
            <w:r>
              <w:rPr>
                <w:spacing w:val="-1"/>
              </w:rPr>
              <w:t>0.5</w:t>
            </w:r>
          </w:p>
        </w:tc>
        <w:tc>
          <w:tcPr>
            <w:tcW w:w="1332" w:type="dxa"/>
            <w:tcBorders>
              <w:left w:val="single" w:sz="2" w:space="0" w:color="000000"/>
              <w:right w:val="single" w:sz="2" w:space="0" w:color="000000"/>
            </w:tcBorders>
            <w:vAlign w:val="top"/>
          </w:tcPr>
          <w:p>
            <w:pPr>
              <w:pStyle w:val="TableText"/>
              <w:spacing w:before="60" w:line="186" w:lineRule="auto"/>
              <w:ind w:left="549"/>
            </w:pPr>
            <w:r>
              <w:rPr>
                <w:spacing w:val="-5"/>
              </w:rPr>
              <w:t>100</w:t>
            </w:r>
          </w:p>
        </w:tc>
        <w:tc>
          <w:tcPr>
            <w:tcW w:w="1333" w:type="dxa"/>
            <w:tcBorders>
              <w:left w:val="single" w:sz="2" w:space="0" w:color="000000"/>
              <w:right w:val="single" w:sz="2" w:space="0" w:color="000000"/>
            </w:tcBorders>
            <w:vAlign w:val="top"/>
          </w:tcPr>
          <w:p>
            <w:pPr>
              <w:pStyle w:val="TableText"/>
              <w:spacing w:before="60" w:line="186" w:lineRule="auto"/>
              <w:ind w:left="587"/>
            </w:pPr>
            <w:r>
              <w:rPr>
                <w:spacing w:val="-3"/>
              </w:rPr>
              <w:t>80</w:t>
            </w:r>
          </w:p>
        </w:tc>
        <w:tc>
          <w:tcPr>
            <w:tcW w:w="1339" w:type="dxa"/>
            <w:tcBorders>
              <w:left w:val="single" w:sz="2" w:space="0" w:color="000000"/>
            </w:tcBorders>
            <w:vAlign w:val="top"/>
          </w:tcPr>
          <w:p>
            <w:pPr>
              <w:pStyle w:val="TableText"/>
              <w:spacing w:before="30" w:line="208" w:lineRule="auto"/>
              <w:ind w:left="493"/>
            </w:pPr>
            <w:r>
              <w:rPr>
                <w:spacing w:val="-3"/>
              </w:rPr>
              <w:t>5</w:t>
            </w:r>
            <w:r>
              <w:rPr>
                <w:rFonts w:ascii="SimSun" w:eastAsia="SimSun" w:hAnsi="SimSun" w:cs="SimSun"/>
                <w:spacing w:val="-3"/>
              </w:rPr>
              <w:t>～</w:t>
            </w:r>
            <w:r>
              <w:rPr>
                <w:spacing w:val="-3"/>
              </w:rPr>
              <w:t>7</w:t>
            </w:r>
          </w:p>
        </w:tc>
      </w:tr>
    </w:tbl>
    <w:p>
      <w:pPr>
        <w:pStyle w:val="BodyText"/>
        <w:spacing w:before="304" w:line="229" w:lineRule="auto"/>
        <w:ind w:left="7"/>
      </w:pPr>
      <w:hyperlink r:id="rId47" w:history="1">
        <w:r>
          <w:rPr>
            <w:rFonts w:ascii="SimHei" w:eastAsia="SimHei" w:hAnsi="SimHei" w:cs="SimHei"/>
          </w:rPr>
          <w:t>6.3.1.2</w:t>
        </w:r>
      </w:hyperlink>
      <w:r>
        <w:rPr>
          <w:rFonts w:ascii="SimHei" w:eastAsia="SimHei" w:hAnsi="SimHei" w:cs="SimHei"/>
        </w:rPr>
        <w:t xml:space="preserve">  </w:t>
      </w:r>
      <w:r>
        <w:t>统计、评价行业地热能利用率现状，设计地热能利用率应不低于现状或符合国家关于地热资</w:t>
      </w:r>
      <w:r>
        <w:rPr>
          <w:spacing w:val="6"/>
        </w:rPr>
        <w:t xml:space="preserve"> </w:t>
      </w:r>
      <w:r>
        <w:rPr>
          <w:spacing w:val="-1"/>
        </w:rPr>
        <w:t>源合理开发利用的最低地热能利用率指标要求。</w:t>
      </w:r>
    </w:p>
    <w:p>
      <w:pPr>
        <w:pStyle w:val="BodyText"/>
        <w:spacing w:before="23" w:line="214" w:lineRule="auto"/>
        <w:ind w:left="428"/>
      </w:pPr>
      <w:r>
        <w:rPr>
          <w:spacing w:val="-3"/>
        </w:rPr>
        <w:t>地热能利用率计算公式：</w:t>
      </w:r>
    </w:p>
    <w:p>
      <w:pPr>
        <w:pStyle w:val="BodyText"/>
        <w:ind w:right="5"/>
        <w:jc w:val="right"/>
      </w:pPr>
      <w:r>
        <w:rPr>
          <w:rFonts w:ascii="Cambria Math" w:eastAsia="Cambria Math" w:hAnsi="Cambria Math" w:cs="Cambria Math"/>
          <w:position w:val="-5"/>
        </w:rPr>
        <w:drawing>
          <wp:inline distT="0" distB="0" distL="0" distR="0">
            <wp:extent cx="62227" cy="13411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8"/>
                    <a:stretch>
                      <a:fillRect/>
                    </a:stretch>
                  </pic:blipFill>
                  <pic:spPr>
                    <a:xfrm>
                      <a:off x="0" y="0"/>
                      <a:ext cx="62227" cy="134111"/>
                    </a:xfrm>
                    <a:prstGeom prst="rect">
                      <a:avLst/>
                    </a:prstGeom>
                  </pic:spPr>
                </pic:pic>
              </a:graphicData>
            </a:graphic>
          </wp:inline>
        </w:drawing>
      </w:r>
      <w:r>
        <w:rPr>
          <w:rFonts w:ascii="Cambria Math" w:eastAsia="Cambria Math" w:hAnsi="Cambria Math" w:cs="Cambria Math"/>
          <w:spacing w:val="-27"/>
        </w:rPr>
        <w:t xml:space="preserve"> </w:t>
      </w:r>
      <w:r>
        <w:rPr>
          <w:rFonts w:ascii="Cambria Math" w:eastAsia="Cambria Math" w:hAnsi="Cambria Math" w:cs="Cambria Math"/>
          <w:position w:val="-8"/>
        </w:rPr>
        <w:drawing>
          <wp:inline distT="0" distB="0" distL="0" distR="0">
            <wp:extent cx="52134" cy="9601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9"/>
                    <a:stretch>
                      <a:fillRect/>
                    </a:stretch>
                  </pic:blipFill>
                  <pic:spPr>
                    <a:xfrm>
                      <a:off x="0" y="0"/>
                      <a:ext cx="52134" cy="96011"/>
                    </a:xfrm>
                    <a:prstGeom prst="rect">
                      <a:avLst/>
                    </a:prstGeom>
                  </pic:spPr>
                </pic:pic>
              </a:graphicData>
            </a:graphic>
          </wp:inline>
        </w:drawing>
      </w:r>
      <w:r>
        <w:rPr>
          <w:rFonts w:ascii="Cambria Math" w:eastAsia="Cambria Math" w:hAnsi="Cambria Math" w:cs="Cambria Math"/>
          <w:spacing w:val="46"/>
        </w:rPr>
        <w:t xml:space="preserve"> </w:t>
      </w:r>
      <w:r>
        <w:rPr>
          <w:rFonts w:ascii="Cambria Math" w:eastAsia="Cambria Math" w:hAnsi="Cambria Math" w:cs="Cambria Math"/>
          <w:spacing w:val="-1"/>
        </w:rPr>
        <w:t xml:space="preserve">= </w:t>
      </w:r>
      <w:r>
        <w:rPr>
          <w:position w:val="-17"/>
        </w:rPr>
        <w:drawing>
          <wp:inline distT="0" distB="0" distL="0" distR="0">
            <wp:extent cx="368808" cy="280589"/>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0"/>
                    <a:stretch>
                      <a:fillRect/>
                    </a:stretch>
                  </pic:blipFill>
                  <pic:spPr>
                    <a:xfrm>
                      <a:off x="0" y="0"/>
                      <a:ext cx="368808" cy="280589"/>
                    </a:xfrm>
                    <a:prstGeom prst="rect">
                      <a:avLst/>
                    </a:prstGeom>
                  </pic:spPr>
                </pic:pic>
              </a:graphicData>
            </a:graphic>
          </wp:inline>
        </w:drawing>
      </w:r>
      <w:r>
        <w:rPr>
          <w:rFonts w:ascii="Cambria Math" w:eastAsia="Cambria Math" w:hAnsi="Cambria Math" w:cs="Cambria Math"/>
          <w:spacing w:val="20"/>
          <w:w w:val="101"/>
        </w:rPr>
        <w:t xml:space="preserve"> </w:t>
      </w:r>
      <w:r>
        <w:rPr>
          <w:rFonts w:ascii="Cambria Math" w:eastAsia="Cambria Math" w:hAnsi="Cambria Math" w:cs="Cambria Math"/>
          <w:spacing w:val="-1"/>
        </w:rPr>
        <w:t>×</w:t>
      </w:r>
      <w:r>
        <w:rPr>
          <w:rFonts w:ascii="Cambria Math" w:eastAsia="Cambria Math" w:hAnsi="Cambria Math" w:cs="Cambria Math"/>
          <w:spacing w:val="18"/>
          <w:w w:val="101"/>
        </w:rPr>
        <w:t xml:space="preserve"> </w:t>
      </w:r>
      <w:r>
        <w:rPr>
          <w:rFonts w:ascii="Cambria Math" w:eastAsia="Cambria Math" w:hAnsi="Cambria Math" w:cs="Cambria Math"/>
          <w:spacing w:val="-1"/>
        </w:rPr>
        <w:t xml:space="preserve">100% </w:t>
      </w:r>
      <w:r>
        <w:rPr>
          <w:rFonts w:ascii="Microsoft YaHei" w:eastAsia="Microsoft YaHei" w:hAnsi="Microsoft YaHei" w:cs="Microsoft YaHei"/>
          <w:spacing w:val="-1"/>
        </w:rPr>
        <w:t>··············································</w:t>
      </w:r>
      <w:r>
        <w:rPr>
          <w:rFonts w:ascii="Microsoft YaHei" w:eastAsia="Microsoft YaHei" w:hAnsi="Microsoft YaHei" w:cs="Microsoft YaHei"/>
          <w:spacing w:val="-2"/>
        </w:rPr>
        <w:t xml:space="preserve">····················· </w:t>
      </w:r>
      <w:r>
        <w:rPr>
          <w:spacing w:val="-2"/>
        </w:rPr>
        <w:t>(1)</w:t>
      </w:r>
    </w:p>
    <w:p>
      <w:pPr>
        <w:pStyle w:val="BodyText"/>
        <w:spacing w:before="140" w:line="221" w:lineRule="auto"/>
        <w:ind w:left="432"/>
      </w:pPr>
      <w:r>
        <w:rPr>
          <w:spacing w:val="-13"/>
        </w:rPr>
        <w:t>式中：</w:t>
      </w:r>
    </w:p>
    <w:p>
      <w:pPr>
        <w:pStyle w:val="BodyText"/>
        <w:spacing w:before="147" w:line="219" w:lineRule="auto"/>
        <w:ind w:left="422"/>
      </w:pPr>
      <w:r>
        <w:rPr>
          <w:rFonts w:ascii="Times New Roman" w:eastAsia="Times New Roman" w:hAnsi="Times New Roman" w:cs="Times New Roman"/>
          <w:position w:val="-4"/>
        </w:rPr>
        <w:drawing>
          <wp:inline distT="0" distB="0" distL="0" distR="0">
            <wp:extent cx="62227" cy="134111"/>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1"/>
                    <a:stretch>
                      <a:fillRect/>
                    </a:stretch>
                  </pic:blipFill>
                  <pic:spPr>
                    <a:xfrm>
                      <a:off x="0" y="0"/>
                      <a:ext cx="62227" cy="134111"/>
                    </a:xfrm>
                    <a:prstGeom prst="rect">
                      <a:avLst/>
                    </a:prstGeom>
                  </pic:spPr>
                </pic:pic>
              </a:graphicData>
            </a:graphic>
          </wp:inline>
        </w:drawing>
      </w:r>
      <w:r>
        <w:rPr>
          <w:rFonts w:ascii="Times New Roman" w:eastAsia="Times New Roman" w:hAnsi="Times New Roman" w:cs="Times New Roman"/>
          <w:spacing w:val="-24"/>
        </w:rPr>
        <w:t xml:space="preserve"> </w:t>
      </w:r>
      <w:r>
        <w:rPr>
          <w:rFonts w:ascii="Times New Roman" w:eastAsia="Times New Roman" w:hAnsi="Times New Roman" w:cs="Times New Roman"/>
          <w:position w:val="-7"/>
        </w:rPr>
        <w:drawing>
          <wp:inline distT="0" distB="0" distL="0" distR="0">
            <wp:extent cx="52134" cy="96011"/>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2"/>
                    <a:stretch>
                      <a:fillRect/>
                    </a:stretch>
                  </pic:blipFill>
                  <pic:spPr>
                    <a:xfrm>
                      <a:off x="0" y="0"/>
                      <a:ext cx="52134" cy="96011"/>
                    </a:xfrm>
                    <a:prstGeom prst="rect">
                      <a:avLst/>
                    </a:prstGeom>
                  </pic:spPr>
                </pic:pic>
              </a:graphicData>
            </a:graphic>
          </wp:inline>
        </w:drawing>
      </w:r>
      <w:r>
        <w:rPr>
          <w:rFonts w:ascii="Times New Roman" w:eastAsia="Times New Roman" w:hAnsi="Times New Roman" w:cs="Times New Roman"/>
          <w:spacing w:val="-38"/>
        </w:rPr>
        <w:t xml:space="preserve"> </w:t>
      </w:r>
      <w:r>
        <w:rPr>
          <w:rFonts w:ascii="Times New Roman" w:eastAsia="Times New Roman" w:hAnsi="Times New Roman" w:cs="Times New Roman"/>
          <w:spacing w:val="-8"/>
        </w:rPr>
        <w:t>——</w:t>
      </w:r>
      <w:r>
        <w:rPr>
          <w:spacing w:val="-8"/>
        </w:rPr>
        <w:t>地热能利用率，</w:t>
      </w:r>
      <w:r>
        <w:rPr>
          <w:spacing w:val="-23"/>
        </w:rPr>
        <w:t xml:space="preserve"> </w:t>
      </w:r>
      <w:r>
        <w:rPr>
          <w:rFonts w:ascii="Times New Roman" w:eastAsia="Times New Roman" w:hAnsi="Times New Roman" w:cs="Times New Roman"/>
          <w:spacing w:val="-8"/>
        </w:rPr>
        <w:t>%</w:t>
      </w:r>
      <w:r>
        <w:rPr>
          <w:spacing w:val="-8"/>
        </w:rPr>
        <w:t>；</w:t>
      </w:r>
    </w:p>
    <w:p>
      <w:pPr>
        <w:pStyle w:val="BodyText"/>
        <w:spacing w:before="136" w:line="400" w:lineRule="exact"/>
        <w:ind w:left="432"/>
      </w:pPr>
      <w:r>
        <w:rPr>
          <w:rFonts w:ascii="Times New Roman" w:eastAsia="Times New Roman" w:hAnsi="Times New Roman" w:cs="Times New Roman"/>
          <w:position w:val="9"/>
        </w:rPr>
        <w:drawing>
          <wp:inline distT="0" distB="0" distL="0" distR="0">
            <wp:extent cx="51919" cy="149352"/>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3"/>
                    <a:stretch>
                      <a:fillRect/>
                    </a:stretch>
                  </pic:blipFill>
                  <pic:spPr>
                    <a:xfrm>
                      <a:off x="0" y="0"/>
                      <a:ext cx="51919" cy="149352"/>
                    </a:xfrm>
                    <a:prstGeom prst="rect">
                      <a:avLst/>
                    </a:prstGeom>
                  </pic:spPr>
                </pic:pic>
              </a:graphicData>
            </a:graphic>
          </wp:inline>
        </w:drawing>
      </w:r>
      <w:r>
        <w:rPr>
          <w:rFonts w:ascii="Times New Roman" w:eastAsia="Times New Roman" w:hAnsi="Times New Roman" w:cs="Times New Roman"/>
          <w:position w:val="6"/>
        </w:rPr>
        <w:drawing>
          <wp:inline distT="0" distB="0" distL="0" distR="0">
            <wp:extent cx="110531" cy="96011"/>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54"/>
                    <a:stretch>
                      <a:fillRect/>
                    </a:stretch>
                  </pic:blipFill>
                  <pic:spPr>
                    <a:xfrm>
                      <a:off x="0" y="0"/>
                      <a:ext cx="110531" cy="96011"/>
                    </a:xfrm>
                    <a:prstGeom prst="rect">
                      <a:avLst/>
                    </a:prstGeom>
                  </pic:spPr>
                </pic:pic>
              </a:graphicData>
            </a:graphic>
          </wp:inline>
        </w:drawing>
      </w:r>
      <w:r>
        <w:rPr>
          <w:rFonts w:ascii="Times New Roman" w:eastAsia="Times New Roman" w:hAnsi="Times New Roman" w:cs="Times New Roman"/>
          <w:spacing w:val="-33"/>
          <w:position w:val="13"/>
        </w:rPr>
        <w:t xml:space="preserve"> </w:t>
      </w:r>
      <w:r>
        <w:rPr>
          <w:rFonts w:ascii="Times New Roman" w:eastAsia="Times New Roman" w:hAnsi="Times New Roman" w:cs="Times New Roman"/>
          <w:position w:val="13"/>
        </w:rPr>
        <w:t>——</w:t>
      </w:r>
      <w:r>
        <w:rPr>
          <w:position w:val="13"/>
        </w:rPr>
        <w:t>平均地热出水温度，</w:t>
      </w:r>
      <w:r>
        <w:rPr>
          <w:rFonts w:ascii="Times New Roman" w:eastAsia="Times New Roman" w:hAnsi="Times New Roman" w:cs="Times New Roman"/>
          <w:position w:val="13"/>
        </w:rPr>
        <w:t>℃</w:t>
      </w:r>
      <w:r>
        <w:rPr>
          <w:position w:val="13"/>
        </w:rPr>
        <w:t>;</w:t>
      </w:r>
    </w:p>
    <w:p>
      <w:pPr>
        <w:pStyle w:val="BodyText"/>
        <w:spacing w:before="1" w:line="225" w:lineRule="auto"/>
        <w:ind w:left="432"/>
      </w:pPr>
      <w:r>
        <w:rPr>
          <w:rFonts w:ascii="Cambria Math" w:eastAsia="Cambria Math" w:hAnsi="Cambria Math" w:cs="Cambria Math"/>
          <w:position w:val="-4"/>
          <w:sz w:val="15"/>
          <w:szCs w:val="15"/>
        </w:rPr>
        <w:drawing>
          <wp:inline distT="0" distB="0" distL="0" distR="0">
            <wp:extent cx="51462" cy="149351"/>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3"/>
                    <a:stretch>
                      <a:fillRect/>
                    </a:stretch>
                  </pic:blipFill>
                  <pic:spPr>
                    <a:xfrm>
                      <a:off x="0" y="0"/>
                      <a:ext cx="51462" cy="149351"/>
                    </a:xfrm>
                    <a:prstGeom prst="rect">
                      <a:avLst/>
                    </a:prstGeom>
                  </pic:spPr>
                </pic:pic>
              </a:graphicData>
            </a:graphic>
          </wp:inline>
        </w:drawing>
      </w:r>
      <w:r>
        <w:rPr>
          <w:rFonts w:ascii="Cambria Math" w:eastAsia="Cambria Math" w:hAnsi="Cambria Math" w:cs="Cambria Math"/>
          <w:position w:val="-7"/>
          <w:sz w:val="15"/>
          <w:szCs w:val="15"/>
        </w:rPr>
        <w:drawing>
          <wp:inline distT="0" distB="0" distL="0" distR="0">
            <wp:extent cx="50892" cy="96011"/>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9"/>
                    <a:stretch>
                      <a:fillRect/>
                    </a:stretch>
                  </pic:blipFill>
                  <pic:spPr>
                    <a:xfrm>
                      <a:off x="0" y="0"/>
                      <a:ext cx="50892" cy="96011"/>
                    </a:xfrm>
                    <a:prstGeom prst="rect">
                      <a:avLst/>
                    </a:prstGeom>
                  </pic:spPr>
                </pic:pic>
              </a:graphicData>
            </a:graphic>
          </wp:inline>
        </w:drawing>
      </w:r>
      <w:r>
        <w:rPr>
          <w:rFonts w:ascii="Cambria Math" w:eastAsia="Cambria Math" w:hAnsi="Cambria Math" w:cs="Cambria Math"/>
          <w:spacing w:val="1"/>
          <w:position w:val="-4"/>
          <w:sz w:val="15"/>
          <w:szCs w:val="15"/>
        </w:rPr>
        <w:t>ℎ</w:t>
      </w:r>
      <w:r>
        <w:rPr>
          <w:rFonts w:ascii="Times New Roman" w:eastAsia="Times New Roman" w:hAnsi="Times New Roman" w:cs="Times New Roman"/>
          <w:spacing w:val="1"/>
        </w:rPr>
        <w:t>——</w:t>
      </w:r>
      <w:r>
        <w:rPr>
          <w:spacing w:val="1"/>
        </w:rPr>
        <w:t>平均地热尾水温度，</w:t>
      </w:r>
      <w:r>
        <w:rPr>
          <w:rFonts w:ascii="Times New Roman" w:eastAsia="Times New Roman" w:hAnsi="Times New Roman" w:cs="Times New Roman"/>
          <w:spacing w:val="1"/>
        </w:rPr>
        <w:t>℃</w:t>
      </w:r>
      <w:r>
        <w:rPr>
          <w:spacing w:val="1"/>
        </w:rPr>
        <w:t>;</w:t>
      </w:r>
    </w:p>
    <w:p>
      <w:pPr>
        <w:pStyle w:val="BodyText"/>
        <w:spacing w:before="85" w:line="224" w:lineRule="auto"/>
        <w:ind w:left="432"/>
      </w:pPr>
      <w:r>
        <w:rPr>
          <w:rFonts w:ascii="Cambria Math" w:eastAsia="Cambria Math" w:hAnsi="Cambria Math" w:cs="Cambria Math"/>
          <w:position w:val="-4"/>
          <w:sz w:val="15"/>
          <w:szCs w:val="15"/>
        </w:rPr>
        <w:drawing>
          <wp:inline distT="0" distB="0" distL="0" distR="0">
            <wp:extent cx="52718" cy="149352"/>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53"/>
                    <a:stretch>
                      <a:fillRect/>
                    </a:stretch>
                  </pic:blipFill>
                  <pic:spPr>
                    <a:xfrm>
                      <a:off x="0" y="0"/>
                      <a:ext cx="52718" cy="149352"/>
                    </a:xfrm>
                    <a:prstGeom prst="rect">
                      <a:avLst/>
                    </a:prstGeom>
                  </pic:spPr>
                </pic:pic>
              </a:graphicData>
            </a:graphic>
          </wp:inline>
        </w:drawing>
      </w:r>
      <w:r>
        <w:rPr>
          <w:rFonts w:ascii="Cambria Math" w:eastAsia="Cambria Math" w:hAnsi="Cambria Math" w:cs="Cambria Math"/>
          <w:spacing w:val="10"/>
          <w:position w:val="-4"/>
          <w:sz w:val="15"/>
          <w:szCs w:val="15"/>
        </w:rPr>
        <w:t>0</w:t>
      </w:r>
      <w:r>
        <w:rPr>
          <w:rFonts w:ascii="Times New Roman" w:eastAsia="Times New Roman" w:hAnsi="Times New Roman" w:cs="Times New Roman"/>
          <w:spacing w:val="10"/>
        </w:rPr>
        <w:t>——</w:t>
      </w:r>
      <w:r>
        <w:rPr>
          <w:spacing w:val="10"/>
        </w:rPr>
        <w:t>基准温度(</w:t>
      </w:r>
      <w:r>
        <w:rPr>
          <w:rFonts w:ascii="Times New Roman" w:eastAsia="Times New Roman" w:hAnsi="Times New Roman" w:cs="Times New Roman"/>
          <w:spacing w:val="10"/>
        </w:rPr>
        <w:t>℃</w:t>
      </w:r>
      <w:r>
        <w:rPr>
          <w:spacing w:val="10"/>
        </w:rPr>
        <w:t>),基准温度取</w:t>
      </w:r>
      <w:r>
        <w:rPr>
          <w:spacing w:val="-43"/>
        </w:rPr>
        <w:t xml:space="preserve"> </w:t>
      </w:r>
      <w:r>
        <w:rPr>
          <w:rFonts w:ascii="Times New Roman" w:eastAsia="Times New Roman" w:hAnsi="Times New Roman" w:cs="Times New Roman"/>
          <w:spacing w:val="10"/>
        </w:rPr>
        <w:t>25℃</w:t>
      </w:r>
      <w:r>
        <w:rPr>
          <w:spacing w:val="10"/>
        </w:rPr>
        <w:t>。</w:t>
      </w:r>
    </w:p>
    <w:p>
      <w:pPr>
        <w:spacing w:before="108" w:line="220" w:lineRule="auto"/>
        <w:ind w:left="7"/>
        <w:rPr>
          <w:rFonts w:ascii="SimHei" w:eastAsia="SimHei" w:hAnsi="SimHei" w:cs="SimHei"/>
          <w:sz w:val="21"/>
          <w:szCs w:val="21"/>
        </w:rPr>
      </w:pPr>
      <w:r>
        <w:rPr>
          <w:rFonts w:ascii="SimHei" w:eastAsia="SimHei" w:hAnsi="SimHei" w:cs="SimHei"/>
          <w:spacing w:val="-1"/>
          <w:sz w:val="21"/>
          <w:szCs w:val="21"/>
        </w:rPr>
        <w:t>6.3.2</w:t>
      </w:r>
      <w:r>
        <w:rPr>
          <w:rFonts w:ascii="SimHei" w:eastAsia="SimHei" w:hAnsi="SimHei" w:cs="SimHei"/>
          <w:spacing w:val="-1"/>
          <w:sz w:val="21"/>
          <w:szCs w:val="21"/>
        </w:rPr>
        <w:t xml:space="preserve">  </w:t>
      </w:r>
      <w:r>
        <w:rPr>
          <w:rFonts w:ascii="SimHei" w:eastAsia="SimHei" w:hAnsi="SimHei" w:cs="SimHei"/>
          <w:spacing w:val="-1"/>
          <w:sz w:val="21"/>
          <w:szCs w:val="21"/>
        </w:rPr>
        <w:t>主要利用设施技术要求</w:t>
      </w:r>
    </w:p>
    <w:p>
      <w:pPr>
        <w:pStyle w:val="BodyText"/>
        <w:spacing w:before="141" w:line="221" w:lineRule="auto"/>
        <w:ind w:left="7"/>
      </w:pPr>
      <w:hyperlink r:id="rId55" w:history="1">
        <w:r>
          <w:rPr>
            <w:rFonts w:ascii="SimHei" w:eastAsia="SimHei" w:hAnsi="SimHei" w:cs="SimHei"/>
          </w:rPr>
          <w:t>6.3.2.1</w:t>
        </w:r>
      </w:hyperlink>
      <w:r>
        <w:rPr>
          <w:rFonts w:ascii="SimHei" w:eastAsia="SimHei" w:hAnsi="SimHei" w:cs="SimHei"/>
        </w:rPr>
        <w:t xml:space="preserve">  </w:t>
      </w:r>
      <w:r>
        <w:t>换热器等应选择效率高、运行稳定的设备，泡池应做好保温、防渗措施。</w:t>
      </w:r>
    </w:p>
    <w:p>
      <w:pPr>
        <w:pStyle w:val="BodyText"/>
        <w:spacing w:before="22" w:line="221" w:lineRule="auto"/>
        <w:ind w:left="7"/>
      </w:pPr>
      <w:hyperlink r:id="rId56" w:history="1">
        <w:r>
          <w:rPr>
            <w:rFonts w:ascii="SimHei" w:eastAsia="SimHei" w:hAnsi="SimHei" w:cs="SimHei"/>
          </w:rPr>
          <w:t>6.3.2.2</w:t>
        </w:r>
      </w:hyperlink>
      <w:r>
        <w:rPr>
          <w:rFonts w:ascii="SimHei" w:eastAsia="SimHei" w:hAnsi="SimHei" w:cs="SimHei"/>
        </w:rPr>
        <w:t xml:space="preserve">  </w:t>
      </w:r>
      <w:r>
        <w:t>除砂器应安装在所有设备的前端，应根据流体含砂量、颗粒物大小确定型号。</w:t>
      </w:r>
    </w:p>
    <w:p>
      <w:pPr>
        <w:pStyle w:val="BodyText"/>
        <w:spacing w:before="20" w:line="231" w:lineRule="auto"/>
        <w:ind w:left="11" w:hanging="4"/>
      </w:pPr>
      <w:hyperlink r:id="rId57" w:history="1">
        <w:r>
          <w:rPr>
            <w:rFonts w:ascii="SimHei" w:eastAsia="SimHei" w:hAnsi="SimHei" w:cs="SimHei"/>
          </w:rPr>
          <w:t>6.3.2.3</w:t>
        </w:r>
      </w:hyperlink>
      <w:r>
        <w:rPr>
          <w:rFonts w:ascii="SimHei" w:eastAsia="SimHei" w:hAnsi="SimHei" w:cs="SimHei"/>
        </w:rPr>
        <w:t xml:space="preserve">  </w:t>
      </w:r>
      <w:r>
        <w:t>过滤器应根据流体中有害成分及含量确定过滤材料与级配，过滤器应去除流体中有害成分而</w:t>
      </w:r>
      <w:r>
        <w:rPr>
          <w:spacing w:val="5"/>
        </w:rPr>
        <w:t xml:space="preserve"> </w:t>
      </w:r>
      <w:r>
        <w:rPr>
          <w:spacing w:val="-1"/>
        </w:rPr>
        <w:t>不损害有益成分。</w:t>
      </w:r>
    </w:p>
    <w:p>
      <w:pPr>
        <w:pStyle w:val="BodyText"/>
        <w:spacing w:before="19" w:line="221" w:lineRule="auto"/>
        <w:ind w:left="7"/>
      </w:pPr>
      <w:hyperlink r:id="rId58" w:history="1">
        <w:r>
          <w:rPr>
            <w:rFonts w:ascii="SimHei" w:eastAsia="SimHei" w:hAnsi="SimHei" w:cs="SimHei"/>
          </w:rPr>
          <w:t>6.3.2.4</w:t>
        </w:r>
      </w:hyperlink>
      <w:r>
        <w:rPr>
          <w:rFonts w:ascii="SimHei" w:eastAsia="SimHei" w:hAnsi="SimHei" w:cs="SimHei"/>
        </w:rPr>
        <w:t xml:space="preserve">  </w:t>
      </w:r>
      <w:r>
        <w:t>应设置适宜设施处置地热流体中含有</w:t>
      </w:r>
      <w:r>
        <w:rPr>
          <w:spacing w:val="-1"/>
        </w:rPr>
        <w:t>的气体。</w:t>
      </w:r>
    </w:p>
    <w:p>
      <w:pPr>
        <w:pStyle w:val="BodyText"/>
        <w:spacing w:before="23" w:line="220" w:lineRule="auto"/>
        <w:ind w:left="7"/>
      </w:pPr>
      <w:hyperlink r:id="rId59" w:history="1">
        <w:r>
          <w:rPr>
            <w:rFonts w:ascii="SimHei" w:eastAsia="SimHei" w:hAnsi="SimHei" w:cs="SimHei"/>
          </w:rPr>
          <w:t>6.3.2.5</w:t>
        </w:r>
      </w:hyperlink>
      <w:r>
        <w:rPr>
          <w:rFonts w:ascii="SimHei" w:eastAsia="SimHei" w:hAnsi="SimHei" w:cs="SimHei"/>
        </w:rPr>
        <w:t xml:space="preserve">  </w:t>
      </w:r>
      <w:r>
        <w:t>设备及管材等应根据水质、水温进行针对性的耐温、防腐、防垢处</w:t>
      </w:r>
      <w:r>
        <w:rPr>
          <w:spacing w:val="-1"/>
        </w:rPr>
        <w:t>理。</w:t>
      </w:r>
    </w:p>
    <w:p>
      <w:pPr>
        <w:pStyle w:val="BodyText"/>
        <w:spacing w:before="21" w:line="220" w:lineRule="auto"/>
        <w:ind w:left="7"/>
      </w:pPr>
      <w:hyperlink r:id="rId60" w:history="1">
        <w:r>
          <w:rPr>
            <w:rFonts w:ascii="SimHei" w:eastAsia="SimHei" w:hAnsi="SimHei" w:cs="SimHei"/>
            <w:spacing w:val="-2"/>
          </w:rPr>
          <w:t>6.3.2.6</w:t>
        </w:r>
      </w:hyperlink>
      <w:r>
        <w:rPr>
          <w:rFonts w:ascii="SimHei" w:eastAsia="SimHei" w:hAnsi="SimHei" w:cs="SimHei"/>
          <w:spacing w:val="-2"/>
        </w:rPr>
        <w:t xml:space="preserve">  </w:t>
      </w:r>
      <w:r>
        <w:rPr>
          <w:spacing w:val="-2"/>
        </w:rPr>
        <w:t>地热资源利用应采用节水、节能的设备、设施以及利用方式，</w:t>
      </w:r>
      <w:r>
        <w:rPr>
          <w:spacing w:val="-22"/>
        </w:rPr>
        <w:t xml:space="preserve"> </w:t>
      </w:r>
      <w:r>
        <w:rPr>
          <w:spacing w:val="-2"/>
        </w:rPr>
        <w:t>提高资源节约</w:t>
      </w:r>
      <w:r>
        <w:rPr>
          <w:spacing w:val="-3"/>
        </w:rPr>
        <w:t>利用水平。</w:t>
      </w:r>
    </w:p>
    <w:p>
      <w:pPr>
        <w:spacing w:before="143" w:line="220" w:lineRule="auto"/>
        <w:ind w:left="7"/>
        <w:rPr>
          <w:rFonts w:ascii="SimHei" w:eastAsia="SimHei" w:hAnsi="SimHei" w:cs="SimHei"/>
          <w:sz w:val="21"/>
          <w:szCs w:val="21"/>
        </w:rPr>
      </w:pPr>
      <w:r>
        <w:rPr>
          <w:rFonts w:ascii="SimHei" w:eastAsia="SimHei" w:hAnsi="SimHei" w:cs="SimHei"/>
          <w:spacing w:val="-1"/>
          <w:sz w:val="21"/>
          <w:szCs w:val="21"/>
        </w:rPr>
        <w:t>6.3.3</w:t>
      </w:r>
      <w:r>
        <w:rPr>
          <w:rFonts w:ascii="SimHei" w:eastAsia="SimHei" w:hAnsi="SimHei" w:cs="SimHei"/>
          <w:spacing w:val="-1"/>
          <w:sz w:val="21"/>
          <w:szCs w:val="21"/>
        </w:rPr>
        <w:t xml:space="preserve">  </w:t>
      </w:r>
      <w:r>
        <w:rPr>
          <w:rFonts w:ascii="SimHei" w:eastAsia="SimHei" w:hAnsi="SimHei" w:cs="SimHei"/>
          <w:spacing w:val="-1"/>
          <w:sz w:val="21"/>
          <w:szCs w:val="21"/>
        </w:rPr>
        <w:t>尾水处理与环境保护</w:t>
      </w:r>
    </w:p>
    <w:p>
      <w:pPr>
        <w:pStyle w:val="BodyText"/>
        <w:spacing w:before="141" w:line="221" w:lineRule="auto"/>
        <w:ind w:left="7"/>
      </w:pPr>
      <w:hyperlink r:id="rId61" w:history="1">
        <w:r>
          <w:rPr>
            <w:rFonts w:ascii="SimHei" w:eastAsia="SimHei" w:hAnsi="SimHei" w:cs="SimHei"/>
          </w:rPr>
          <w:t>6.3.3.1</w:t>
        </w:r>
      </w:hyperlink>
      <w:r>
        <w:rPr>
          <w:rFonts w:ascii="SimHei" w:eastAsia="SimHei" w:hAnsi="SimHei" w:cs="SimHei"/>
        </w:rPr>
        <w:t xml:space="preserve">  </w:t>
      </w:r>
      <w:r>
        <w:t>热能利用的地热尾水应按《水热型地热资源回灌技术要求》进行回</w:t>
      </w:r>
      <w:r>
        <w:rPr>
          <w:spacing w:val="-1"/>
        </w:rPr>
        <w:t>灌。</w:t>
      </w:r>
    </w:p>
    <w:p>
      <w:pPr>
        <w:pStyle w:val="BodyText"/>
        <w:spacing w:before="24" w:line="229" w:lineRule="auto"/>
        <w:ind w:left="9" w:hanging="2"/>
      </w:pPr>
      <w:hyperlink r:id="rId62" w:history="1">
        <w:r>
          <w:rPr>
            <w:rFonts w:ascii="SimHei" w:eastAsia="SimHei" w:hAnsi="SimHei" w:cs="SimHei"/>
          </w:rPr>
          <w:t>6.3.3.2</w:t>
        </w:r>
      </w:hyperlink>
      <w:r>
        <w:rPr>
          <w:rFonts w:ascii="SimHei" w:eastAsia="SimHei" w:hAnsi="SimHei" w:cs="SimHei"/>
        </w:rPr>
        <w:t xml:space="preserve">  </w:t>
      </w:r>
      <w:r>
        <w:t>温泉理疗等废水应进行达标</w:t>
      </w:r>
      <w:r>
        <w:rPr>
          <w:spacing w:val="-1"/>
        </w:rPr>
        <w:t>处理后排放，排放水质应满足</w:t>
      </w:r>
      <w:r>
        <w:rPr>
          <w:spacing w:val="-44"/>
        </w:rPr>
        <w:t xml:space="preserve"> </w:t>
      </w:r>
      <w:r>
        <w:rPr>
          <w:rFonts w:ascii="Times New Roman" w:eastAsia="Times New Roman" w:hAnsi="Times New Roman" w:cs="Times New Roman"/>
          <w:spacing w:val="-1"/>
        </w:rPr>
        <w:t xml:space="preserve">GB 8978 </w:t>
      </w:r>
      <w:r>
        <w:rPr>
          <w:spacing w:val="-1"/>
        </w:rPr>
        <w:t>或地方相关要求，条件许</w:t>
      </w:r>
      <w:r>
        <w:t xml:space="preserve"> </w:t>
      </w:r>
      <w:r>
        <w:rPr>
          <w:spacing w:val="-2"/>
        </w:rPr>
        <w:t>可时应对外排水进行再利用。</w:t>
      </w:r>
    </w:p>
    <w:p>
      <w:pPr>
        <w:spacing w:before="262" w:line="220" w:lineRule="auto"/>
        <w:ind w:left="9"/>
        <w:rPr>
          <w:rFonts w:ascii="SimHei" w:eastAsia="SimHei" w:hAnsi="SimHei" w:cs="SimHei"/>
          <w:sz w:val="21"/>
          <w:szCs w:val="21"/>
        </w:rPr>
      </w:pPr>
      <w:r>
        <w:rPr>
          <w:rFonts w:ascii="SimHei" w:eastAsia="SimHei" w:hAnsi="SimHei" w:cs="SimHei"/>
          <w:spacing w:val="-1"/>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运行技术要求</w:t>
      </w:r>
    </w:p>
    <w:p>
      <w:pPr>
        <w:spacing w:before="261" w:line="220" w:lineRule="auto"/>
        <w:ind w:left="1"/>
        <w:rPr>
          <w:rFonts w:ascii="SimHei" w:eastAsia="SimHei" w:hAnsi="SimHei" w:cs="SimHei"/>
          <w:sz w:val="21"/>
          <w:szCs w:val="21"/>
        </w:rPr>
      </w:pPr>
      <w:r>
        <w:rPr>
          <w:rFonts w:ascii="SimHei" w:eastAsia="SimHei" w:hAnsi="SimHei" w:cs="SimHei"/>
          <w:sz w:val="21"/>
          <w:szCs w:val="21"/>
        </w:rPr>
        <w:drawing>
          <wp:inline distT="0" distB="0" distL="0" distR="0">
            <wp:extent cx="176783" cy="99059"/>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63"/>
                    <a:stretch>
                      <a:fillRect/>
                    </a:stretch>
                  </pic:blipFill>
                  <pic:spPr>
                    <a:xfrm>
                      <a:off x="0" y="0"/>
                      <a:ext cx="176783" cy="99059"/>
                    </a:xfrm>
                    <a:prstGeom prst="rect">
                      <a:avLst/>
                    </a:prstGeom>
                  </pic:spPr>
                </pic:pic>
              </a:graphicData>
            </a:graphic>
          </wp:inline>
        </w:drawing>
      </w:r>
      <w:r>
        <w:rPr>
          <w:rFonts w:ascii="SimHei" w:eastAsia="SimHei" w:hAnsi="SimHei" w:cs="SimHei"/>
          <w:spacing w:val="24"/>
          <w:sz w:val="21"/>
          <w:szCs w:val="21"/>
        </w:rPr>
        <w:t xml:space="preserve">  </w:t>
      </w:r>
      <w:r>
        <w:rPr>
          <w:rFonts w:ascii="SimHei" w:eastAsia="SimHei" w:hAnsi="SimHei" w:cs="SimHei"/>
          <w:spacing w:val="-3"/>
          <w:sz w:val="21"/>
          <w:szCs w:val="21"/>
        </w:rPr>
        <w:t>运行监测</w:t>
      </w:r>
    </w:p>
    <w:p>
      <w:pPr>
        <w:pStyle w:val="BodyText"/>
        <w:spacing w:before="144" w:line="229" w:lineRule="auto"/>
        <w:ind w:left="9" w:right="31"/>
        <w:sectPr>
          <w:headerReference w:type="default" r:id="rId64"/>
          <w:footerReference w:type="default" r:id="rId65"/>
          <w:pgSz w:w="11907" w:h="16839"/>
          <w:pgMar w:top="1659" w:right="1128" w:bottom="1309" w:left="1418" w:header="1448" w:footer="1133" w:gutter="0"/>
          <w:pgNumType w:start="9"/>
          <w:cols w:space="708"/>
        </w:sectPr>
      </w:pPr>
      <w:r>
        <w:rPr>
          <w:rFonts w:ascii="SimHei" w:eastAsia="SimHei" w:hAnsi="SimHei" w:cs="SimHei"/>
          <w:spacing w:val="-9"/>
        </w:rPr>
        <w:t>7.1.1</w:t>
      </w:r>
      <w:r>
        <w:rPr>
          <w:rFonts w:ascii="SimHei" w:eastAsia="SimHei" w:hAnsi="SimHei" w:cs="SimHei"/>
          <w:spacing w:val="-9"/>
        </w:rPr>
        <w:t xml:space="preserve">  </w:t>
      </w:r>
      <w:r>
        <w:rPr>
          <w:spacing w:val="-9"/>
        </w:rPr>
        <w:t>地热系统运行期间应每日监测记录地热流体的开采量、用途与用量、回灌量、流体压力（水位）、</w:t>
      </w:r>
      <w:r>
        <w:rPr>
          <w:spacing w:val="2"/>
        </w:rPr>
        <w:t xml:space="preserve"> </w:t>
      </w:r>
      <w:r>
        <w:rPr>
          <w:spacing w:val="-1"/>
        </w:rPr>
        <w:t>开采与回灌温度，见附录</w:t>
      </w:r>
      <w:r>
        <w:rPr>
          <w:spacing w:val="-50"/>
        </w:rPr>
        <w:t xml:space="preserve"> </w:t>
      </w:r>
      <w:r>
        <w:rPr>
          <w:rFonts w:ascii="Times New Roman" w:eastAsia="Times New Roman" w:hAnsi="Times New Roman" w:cs="Times New Roman"/>
          <w:spacing w:val="-1"/>
        </w:rPr>
        <w:t>D</w:t>
      </w:r>
      <w:r>
        <w:rPr>
          <w:spacing w:val="-1"/>
        </w:rPr>
        <w:t>。</w:t>
      </w:r>
    </w:p>
    <w:p>
      <w:pPr>
        <w:pStyle w:val="BodyText"/>
        <w:spacing w:before="24" w:line="220" w:lineRule="auto"/>
        <w:ind w:left="9"/>
      </w:pPr>
      <w:r>
        <w:rPr>
          <w:rFonts w:ascii="SimHei" w:eastAsia="SimHei" w:hAnsi="SimHei" w:cs="SimHei"/>
          <w:spacing w:val="-4"/>
        </w:rPr>
        <w:t>7.1.2</w:t>
      </w:r>
      <w:r>
        <w:rPr>
          <w:rFonts w:ascii="SimHei" w:eastAsia="SimHei" w:hAnsi="SimHei" w:cs="SimHei"/>
          <w:spacing w:val="-4"/>
        </w:rPr>
        <w:t xml:space="preserve">  </w:t>
      </w:r>
      <w:r>
        <w:rPr>
          <w:spacing w:val="-4"/>
        </w:rPr>
        <w:t>热能利用项目，</w:t>
      </w:r>
      <w:r>
        <w:rPr>
          <w:spacing w:val="-16"/>
        </w:rPr>
        <w:t xml:space="preserve"> </w:t>
      </w:r>
      <w:r>
        <w:rPr>
          <w:spacing w:val="-4"/>
        </w:rPr>
        <w:t>每日监测记录换热器（或温室）的进出口温度和流量，</w:t>
      </w:r>
      <w:r>
        <w:rPr>
          <w:spacing w:val="-23"/>
        </w:rPr>
        <w:t xml:space="preserve"> </w:t>
      </w:r>
      <w:r>
        <w:rPr>
          <w:spacing w:val="-4"/>
        </w:rPr>
        <w:t>格式见附录</w:t>
      </w:r>
      <w:r>
        <w:rPr>
          <w:spacing w:val="-47"/>
        </w:rPr>
        <w:t xml:space="preserve"> </w:t>
      </w:r>
      <w:r>
        <w:rPr>
          <w:rFonts w:ascii="Times New Roman" w:eastAsia="Times New Roman" w:hAnsi="Times New Roman" w:cs="Times New Roman"/>
          <w:spacing w:val="-4"/>
        </w:rPr>
        <w:t>E</w:t>
      </w:r>
      <w:r>
        <w:rPr>
          <w:spacing w:val="-4"/>
        </w:rPr>
        <w:t>。</w:t>
      </w:r>
    </w:p>
    <w:p>
      <w:pPr>
        <w:spacing w:before="141" w:line="220" w:lineRule="auto"/>
        <w:ind w:left="1"/>
        <w:rPr>
          <w:rFonts w:ascii="SimHei" w:eastAsia="SimHei" w:hAnsi="SimHei" w:cs="SimHei"/>
          <w:sz w:val="21"/>
          <w:szCs w:val="21"/>
        </w:rPr>
      </w:pPr>
      <w:r>
        <w:rPr>
          <w:rFonts w:ascii="SimHei" w:eastAsia="SimHei" w:hAnsi="SimHei" w:cs="SimHei"/>
          <w:sz w:val="21"/>
          <w:szCs w:val="21"/>
        </w:rPr>
        <w:drawing>
          <wp:inline distT="0" distB="0" distL="0" distR="0">
            <wp:extent cx="195072" cy="9906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66"/>
                    <a:stretch>
                      <a:fillRect/>
                    </a:stretch>
                  </pic:blipFill>
                  <pic:spPr>
                    <a:xfrm>
                      <a:off x="0" y="0"/>
                      <a:ext cx="195072" cy="99060"/>
                    </a:xfrm>
                    <a:prstGeom prst="rect">
                      <a:avLst/>
                    </a:prstGeom>
                  </pic:spPr>
                </pic:pic>
              </a:graphicData>
            </a:graphic>
          </wp:inline>
        </w:drawing>
      </w:r>
      <w:r>
        <w:rPr>
          <w:rFonts w:ascii="SimHei" w:eastAsia="SimHei" w:hAnsi="SimHei" w:cs="SimHei"/>
          <w:spacing w:val="8"/>
          <w:sz w:val="21"/>
          <w:szCs w:val="21"/>
        </w:rPr>
        <w:t xml:space="preserve">  </w:t>
      </w:r>
      <w:r>
        <w:rPr>
          <w:rFonts w:ascii="SimHei" w:eastAsia="SimHei" w:hAnsi="SimHei" w:cs="SimHei"/>
          <w:spacing w:val="-2"/>
          <w:sz w:val="21"/>
          <w:szCs w:val="21"/>
        </w:rPr>
        <w:t>运行管理</w:t>
      </w:r>
    </w:p>
    <w:p>
      <w:pPr>
        <w:pStyle w:val="BodyText"/>
        <w:spacing w:before="143" w:line="221" w:lineRule="auto"/>
        <w:ind w:left="9"/>
      </w:pPr>
      <w:r>
        <w:rPr>
          <w:rFonts w:ascii="SimHei" w:eastAsia="SimHei" w:hAnsi="SimHei" w:cs="SimHei"/>
          <w:spacing w:val="-3"/>
        </w:rPr>
        <w:t>7.2.1</w:t>
      </w:r>
      <w:r>
        <w:rPr>
          <w:rFonts w:ascii="SimHei" w:eastAsia="SimHei" w:hAnsi="SimHei" w:cs="SimHei"/>
          <w:spacing w:val="-3"/>
        </w:rPr>
        <w:t xml:space="preserve">  </w:t>
      </w:r>
      <w:r>
        <w:rPr>
          <w:spacing w:val="-3"/>
        </w:rPr>
        <w:t>保持环境整洁，</w:t>
      </w:r>
      <w:r>
        <w:rPr>
          <w:spacing w:val="-4"/>
        </w:rPr>
        <w:t xml:space="preserve"> </w:t>
      </w:r>
      <w:r>
        <w:rPr>
          <w:spacing w:val="-3"/>
        </w:rPr>
        <w:t>利用系统的设备、阀门、管道走向应标识清楚。</w:t>
      </w:r>
    </w:p>
    <w:p>
      <w:pPr>
        <w:pStyle w:val="BodyText"/>
        <w:spacing w:before="20" w:line="221" w:lineRule="auto"/>
        <w:ind w:left="9"/>
      </w:pPr>
      <w:r>
        <w:rPr>
          <w:rFonts w:ascii="SimHei" w:eastAsia="SimHei" w:hAnsi="SimHei" w:cs="SimHei"/>
        </w:rPr>
        <w:t>7.2.2</w:t>
      </w:r>
      <w:r>
        <w:rPr>
          <w:rFonts w:ascii="SimHei" w:eastAsia="SimHei" w:hAnsi="SimHei" w:cs="SimHei"/>
        </w:rPr>
        <w:t xml:space="preserve">  </w:t>
      </w:r>
      <w:r>
        <w:t>根据地热资源开发利用特点，提出相应的安</w:t>
      </w:r>
      <w:r>
        <w:rPr>
          <w:spacing w:val="-1"/>
        </w:rPr>
        <w:t>全防护措施。</w:t>
      </w:r>
    </w:p>
    <w:p>
      <w:pPr>
        <w:pStyle w:val="BodyText"/>
        <w:spacing w:before="20" w:line="221" w:lineRule="auto"/>
        <w:ind w:left="9"/>
      </w:pPr>
      <w:r>
        <w:rPr>
          <w:rFonts w:ascii="SimHei" w:eastAsia="SimHei" w:hAnsi="SimHei" w:cs="SimHei"/>
        </w:rPr>
        <w:t>7.2.3</w:t>
      </w:r>
      <w:r>
        <w:rPr>
          <w:rFonts w:ascii="SimHei" w:eastAsia="SimHei" w:hAnsi="SimHei" w:cs="SimHei"/>
        </w:rPr>
        <w:t xml:space="preserve">  </w:t>
      </w:r>
      <w:r>
        <w:t>应制定地热系统管理制度，并</w:t>
      </w:r>
      <w:r>
        <w:rPr>
          <w:spacing w:val="-1"/>
        </w:rPr>
        <w:t>有专人负责。</w:t>
      </w:r>
    </w:p>
    <w:p>
      <w:pPr>
        <w:pStyle w:val="BodyText"/>
        <w:spacing w:before="22" w:line="221" w:lineRule="auto"/>
        <w:ind w:left="9"/>
      </w:pPr>
      <w:r>
        <w:rPr>
          <w:rFonts w:ascii="SimHei" w:eastAsia="SimHei" w:hAnsi="SimHei" w:cs="SimHei"/>
          <w:spacing w:val="-1"/>
        </w:rPr>
        <w:t>7.2.4</w:t>
      </w:r>
      <w:r>
        <w:rPr>
          <w:rFonts w:ascii="SimHei" w:eastAsia="SimHei" w:hAnsi="SimHei" w:cs="SimHei"/>
          <w:spacing w:val="-1"/>
        </w:rPr>
        <w:t xml:space="preserve">  </w:t>
      </w:r>
      <w:r>
        <w:rPr>
          <w:spacing w:val="-1"/>
        </w:rPr>
        <w:t>按要求定期维护地热生产井及相关开发利用设施等。</w:t>
      </w:r>
    </w:p>
    <w:p>
      <w:pPr>
        <w:pStyle w:val="BodyText"/>
        <w:spacing w:before="20" w:line="221" w:lineRule="auto"/>
        <w:ind w:left="9"/>
      </w:pPr>
      <w:r>
        <w:rPr>
          <w:rFonts w:ascii="SimHei" w:eastAsia="SimHei" w:hAnsi="SimHei" w:cs="SimHei"/>
          <w:spacing w:val="-1"/>
        </w:rPr>
        <w:t>7.2.5</w:t>
      </w:r>
      <w:r>
        <w:rPr>
          <w:rFonts w:ascii="SimHei" w:eastAsia="SimHei" w:hAnsi="SimHei" w:cs="SimHei"/>
          <w:spacing w:val="-1"/>
        </w:rPr>
        <w:t xml:space="preserve">  </w:t>
      </w:r>
      <w:r>
        <w:rPr>
          <w:spacing w:val="-1"/>
        </w:rPr>
        <w:t>地热能利用率等指标应满足设计要求。</w:t>
      </w:r>
    </w:p>
    <w:p>
      <w:pPr>
        <w:spacing w:before="263" w:line="221" w:lineRule="auto"/>
        <w:ind w:left="5"/>
        <w:rPr>
          <w:rFonts w:ascii="SimHei" w:eastAsia="SimHei" w:hAnsi="SimHei" w:cs="SimHei"/>
          <w:sz w:val="21"/>
          <w:szCs w:val="21"/>
        </w:rPr>
      </w:pPr>
      <w:r>
        <w:rPr>
          <w:rFonts w:ascii="SimHei" w:eastAsia="SimHei" w:hAnsi="SimHei" w:cs="SimHei"/>
          <w:spacing w:val="-4"/>
          <w:sz w:val="21"/>
          <w:szCs w:val="21"/>
        </w:rPr>
        <w:t>8</w:t>
      </w:r>
      <w:r>
        <w:rPr>
          <w:rFonts w:ascii="SimHei" w:eastAsia="SimHei" w:hAnsi="SimHei" w:cs="SimHei"/>
          <w:spacing w:val="8"/>
          <w:sz w:val="21"/>
          <w:szCs w:val="21"/>
        </w:rPr>
        <w:t xml:space="preserve">  </w:t>
      </w:r>
      <w:r>
        <w:rPr>
          <w:rFonts w:ascii="SimHei" w:eastAsia="SimHei" w:hAnsi="SimHei" w:cs="SimHei"/>
          <w:spacing w:val="-4"/>
          <w:sz w:val="21"/>
          <w:szCs w:val="21"/>
        </w:rPr>
        <w:t>安全生产</w:t>
      </w:r>
    </w:p>
    <w:p>
      <w:pPr>
        <w:spacing w:line="221" w:lineRule="auto"/>
        <w:rPr>
          <w:rFonts w:ascii="SimHei" w:eastAsia="SimHei" w:hAnsi="SimHei" w:cs="SimHei"/>
          <w:sz w:val="21"/>
          <w:szCs w:val="21"/>
        </w:rPr>
        <w:sectPr>
          <w:headerReference w:type="default" r:id="rId67"/>
          <w:footerReference w:type="default" r:id="rId68"/>
          <w:type w:val="nextPage"/>
          <w:pgSz w:w="11907" w:h="16839"/>
          <w:pgMar w:top="1659" w:right="1128" w:bottom="1309" w:left="1418" w:header="1448" w:footer="1133" w:gutter="0"/>
          <w:pgNumType w:start="10"/>
          <w:cols w:space="708"/>
          <w:titlePg w:val="0"/>
        </w:sect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43" w:line="188" w:lineRule="auto"/>
        <w:rPr>
          <w:rFonts w:ascii="Times New Roman" w:eastAsia="Times New Roman" w:hAnsi="Times New Roman" w:cs="Times New Roman"/>
          <w:sz w:val="15"/>
          <w:szCs w:val="15"/>
        </w:rPr>
      </w:pPr>
      <w:r>
        <w:rPr>
          <w:rFonts w:ascii="Times New Roman" w:eastAsia="Times New Roman" w:hAnsi="Times New Roman" w:cs="Times New Roman"/>
          <w:b/>
          <w:bCs/>
          <w:sz w:val="15"/>
          <w:szCs w:val="15"/>
        </w:rPr>
        <w:t>DZ</w:t>
      </w:r>
      <w:r>
        <w:rPr>
          <w:rFonts w:ascii="Times New Roman" w:eastAsia="Times New Roman" w:hAnsi="Times New Roman" w:cs="Times New Roman"/>
          <w:b/>
          <w:bCs/>
          <w:spacing w:val="1"/>
          <w:sz w:val="15"/>
          <w:szCs w:val="15"/>
        </w:rPr>
        <w:t>/</w:t>
      </w:r>
      <w:r>
        <w:rPr>
          <w:rFonts w:ascii="Times New Roman" w:eastAsia="Times New Roman" w:hAnsi="Times New Roman" w:cs="Times New Roman"/>
          <w:b/>
          <w:bCs/>
          <w:sz w:val="15"/>
          <w:szCs w:val="15"/>
        </w:rPr>
        <w:t>T</w:t>
      </w:r>
      <w:r>
        <w:rPr>
          <w:rFonts w:ascii="Times New Roman" w:eastAsia="Times New Roman" w:hAnsi="Times New Roman" w:cs="Times New Roman"/>
          <w:b/>
          <w:bCs/>
          <w:spacing w:val="1"/>
          <w:sz w:val="15"/>
          <w:szCs w:val="15"/>
        </w:rPr>
        <w:t xml:space="preserve">     </w:t>
      </w:r>
      <w:r>
        <w:rPr>
          <w:rFonts w:ascii="Times New Roman" w:eastAsia="Times New Roman" w:hAnsi="Times New Roman" w:cs="Times New Roman"/>
          <w:b/>
          <w:bCs/>
          <w:sz w:val="15"/>
          <w:szCs w:val="15"/>
        </w:rPr>
        <w:t>XXXXX</w:t>
      </w:r>
      <w:r>
        <w:rPr>
          <w:rFonts w:ascii="Times New Roman" w:eastAsia="Times New Roman" w:hAnsi="Times New Roman" w:cs="Times New Roman"/>
          <w:b/>
          <w:bCs/>
          <w:spacing w:val="1"/>
          <w:sz w:val="15"/>
          <w:szCs w:val="15"/>
        </w:rPr>
        <w:t>—</w:t>
      </w:r>
      <w:r>
        <w:rPr>
          <w:rFonts w:ascii="Times New Roman" w:eastAsia="Times New Roman" w:hAnsi="Times New Roman" w:cs="Times New Roman"/>
          <w:b/>
          <w:bCs/>
          <w:sz w:val="15"/>
          <w:szCs w:val="15"/>
        </w:rPr>
        <w:t>XXXX</w:t>
      </w:r>
    </w:p>
    <w:p>
      <w:pPr>
        <w:spacing w:line="248" w:lineRule="auto"/>
        <w:rPr>
          <w:rFonts w:ascii="Arial"/>
          <w:sz w:val="21"/>
        </w:rPr>
      </w:pPr>
    </w:p>
    <w:p>
      <w:pPr>
        <w:pStyle w:val="BodyText"/>
        <w:spacing w:before="69" w:line="219" w:lineRule="auto"/>
      </w:pPr>
      <w:r>
        <w:t>8.1</w:t>
      </w:r>
      <w:r>
        <w:rPr>
          <w:spacing w:val="79"/>
        </w:rPr>
        <w:t xml:space="preserve"> </w:t>
      </w:r>
      <w:r>
        <w:t>水热型地热资源开发利用应符合钻探、电气、有限空间作业等相关施工</w:t>
      </w:r>
      <w:r>
        <w:rPr>
          <w:spacing w:val="-1"/>
        </w:rPr>
        <w:t>安全规定。</w:t>
      </w:r>
    </w:p>
    <w:p>
      <w:pPr>
        <w:pStyle w:val="BodyText"/>
        <w:spacing w:before="20" w:line="199" w:lineRule="auto"/>
      </w:pPr>
      <w:r>
        <w:rPr>
          <w:rFonts w:ascii="Times New Roman" w:eastAsia="Times New Roman" w:hAnsi="Times New Roman" w:cs="Times New Roman"/>
          <w:b/>
          <w:bCs/>
        </w:rPr>
        <w:t xml:space="preserve">8.2    </w:t>
      </w:r>
      <w:r>
        <w:t>钻井施工安全应符合但不限于以下要求：</w:t>
      </w:r>
    </w:p>
    <w:p>
      <w:pPr>
        <w:pStyle w:val="BodyText"/>
        <w:spacing w:before="1" w:line="252" w:lineRule="auto"/>
        <w:ind w:left="839" w:right="39" w:hanging="430"/>
      </w:pPr>
      <w:r>
        <w:rPr>
          <w:rFonts w:ascii="Times New Roman" w:eastAsia="Times New Roman" w:hAnsi="Times New Roman" w:cs="Times New Roman"/>
          <w:spacing w:val="-1"/>
        </w:rPr>
        <w:t xml:space="preserve">a)    </w:t>
      </w:r>
      <w:r>
        <w:rPr>
          <w:spacing w:val="-1"/>
        </w:rPr>
        <w:t>施工前应开展安全风险评估。</w:t>
      </w:r>
      <w:r>
        <w:rPr>
          <w:spacing w:val="-2"/>
        </w:rPr>
        <w:t>在地面沉降及地裂缝易发区、岩溶塌陷区和砂土液化区，评估钻</w:t>
      </w:r>
      <w:r>
        <w:t xml:space="preserve"> </w:t>
      </w:r>
      <w:r>
        <w:rPr>
          <w:spacing w:val="-1"/>
        </w:rPr>
        <w:t>探施工可能引发的地质环境问题和地质灾害的影响，提出防治措施和应急响应预案；</w:t>
      </w:r>
    </w:p>
    <w:p>
      <w:pPr>
        <w:pStyle w:val="BodyText"/>
        <w:spacing w:before="19" w:line="218" w:lineRule="auto"/>
        <w:ind w:left="839" w:hanging="430"/>
      </w:pPr>
      <w:r>
        <w:rPr>
          <w:spacing w:val="-2"/>
        </w:rPr>
        <w:t>b)  井位位于城市建成区和人口、建筑密集区时，设计编制前应对涉及到的深部地层充分开展地球</w:t>
      </w:r>
      <w:r>
        <w:rPr>
          <w:spacing w:val="7"/>
        </w:rPr>
        <w:t xml:space="preserve"> </w:t>
      </w:r>
      <w:r>
        <w:rPr>
          <w:spacing w:val="-1"/>
        </w:rPr>
        <w:t>物理探测，辨识地面塌陷、地面沉降、水土突涌等隐患，并组织专家论证施工安全性；</w:t>
      </w:r>
    </w:p>
    <w:p>
      <w:pPr>
        <w:pStyle w:val="BodyText"/>
        <w:spacing w:before="1" w:line="244" w:lineRule="auto"/>
        <w:ind w:left="839" w:right="20" w:hanging="430"/>
      </w:pPr>
      <w:r>
        <w:rPr>
          <w:rFonts w:ascii="Times New Roman" w:eastAsia="Times New Roman" w:hAnsi="Times New Roman" w:cs="Times New Roman"/>
          <w:spacing w:val="-2"/>
        </w:rPr>
        <w:t xml:space="preserve">c)     </w:t>
      </w:r>
      <w:r>
        <w:rPr>
          <w:spacing w:val="-2"/>
        </w:rPr>
        <w:t>井位应与水井、室外排水设施、化粪池等保持足够距离，施工时</w:t>
      </w:r>
      <w:r>
        <w:rPr>
          <w:spacing w:val="-3"/>
        </w:rPr>
        <w:t>不应损坏既有地下管线及构筑</w:t>
      </w:r>
      <w:r>
        <w:t xml:space="preserve"> </w:t>
      </w:r>
      <w:r>
        <w:rPr>
          <w:spacing w:val="-9"/>
        </w:rPr>
        <w:t>物；</w:t>
      </w:r>
    </w:p>
    <w:p>
      <w:pPr>
        <w:pStyle w:val="BodyText"/>
        <w:spacing w:before="12" w:line="229" w:lineRule="auto"/>
        <w:ind w:left="839" w:right="19" w:hanging="430"/>
      </w:pPr>
      <w:r>
        <w:rPr>
          <w:rFonts w:ascii="Times New Roman" w:eastAsia="Times New Roman" w:hAnsi="Times New Roman" w:cs="Times New Roman"/>
          <w:spacing w:val="-1"/>
        </w:rPr>
        <w:t xml:space="preserve">d)    </w:t>
      </w:r>
      <w:r>
        <w:rPr>
          <w:spacing w:val="-1"/>
        </w:rPr>
        <w:t>施工现场周围应设栅栏，有悬崖、陡坡等危险的</w:t>
      </w:r>
      <w:r>
        <w:rPr>
          <w:spacing w:val="-2"/>
        </w:rPr>
        <w:t>地区应设栅栏和警戒标志，施工现场地面应平</w:t>
      </w:r>
      <w:r>
        <w:t xml:space="preserve"> </w:t>
      </w:r>
      <w:r>
        <w:rPr>
          <w:spacing w:val="-4"/>
        </w:rPr>
        <w:t>整，沟、坑应填平或设置盖板；</w:t>
      </w:r>
    </w:p>
    <w:p>
      <w:pPr>
        <w:pStyle w:val="BodyText"/>
        <w:spacing w:before="2" w:line="247" w:lineRule="auto"/>
        <w:ind w:left="839" w:hanging="430"/>
      </w:pPr>
      <w:r>
        <w:rPr>
          <w:rFonts w:ascii="Times New Roman" w:eastAsia="Times New Roman" w:hAnsi="Times New Roman" w:cs="Times New Roman"/>
          <w:spacing w:val="-2"/>
        </w:rPr>
        <w:t xml:space="preserve">e)     </w:t>
      </w:r>
      <w:r>
        <w:rPr>
          <w:spacing w:val="-2"/>
        </w:rPr>
        <w:t>施工过程中要密切注意地层岩性的变化。出现泥浆漏失、扩径、岩屑上返量过大及其它异常现</w:t>
      </w:r>
      <w:r>
        <w:rPr>
          <w:spacing w:val="7"/>
        </w:rPr>
        <w:t xml:space="preserve"> </w:t>
      </w:r>
      <w:r>
        <w:rPr>
          <w:spacing w:val="-5"/>
        </w:rPr>
        <w:t>象时，应立即停钻，排除隐患；</w:t>
      </w:r>
    </w:p>
    <w:p>
      <w:pPr>
        <w:pStyle w:val="BodyText"/>
        <w:spacing w:before="20" w:line="219" w:lineRule="auto"/>
        <w:ind w:left="409"/>
      </w:pPr>
      <w:r>
        <w:rPr>
          <w:spacing w:val="1"/>
        </w:rPr>
        <w:t>f)</w:t>
      </w:r>
      <w:r>
        <w:rPr>
          <w:spacing w:val="96"/>
        </w:rPr>
        <w:t xml:space="preserve"> </w:t>
      </w:r>
      <w:r>
        <w:rPr>
          <w:spacing w:val="1"/>
        </w:rPr>
        <w:t>地热井施工应符合</w:t>
      </w:r>
      <w:r>
        <w:t>DZ</w:t>
      </w:r>
      <w:r>
        <w:rPr>
          <w:spacing w:val="1"/>
        </w:rPr>
        <w:t>/T0260  要求。</w:t>
      </w:r>
    </w:p>
    <w:p>
      <w:pPr>
        <w:pStyle w:val="BodyText"/>
        <w:spacing w:before="31" w:line="208" w:lineRule="auto"/>
      </w:pPr>
      <w:r>
        <w:rPr>
          <w:spacing w:val="-3"/>
        </w:rPr>
        <w:t>8.3  电气安装施工应符合但不限于以</w:t>
      </w:r>
      <w:r>
        <w:rPr>
          <w:spacing w:val="-4"/>
        </w:rPr>
        <w:t>下要求：</w:t>
      </w:r>
    </w:p>
    <w:p>
      <w:pPr>
        <w:pStyle w:val="BodyText"/>
        <w:spacing w:line="212" w:lineRule="auto"/>
        <w:ind w:left="409"/>
      </w:pPr>
      <w:r>
        <w:rPr>
          <w:rFonts w:ascii="Times New Roman" w:eastAsia="Times New Roman" w:hAnsi="Times New Roman" w:cs="Times New Roman"/>
          <w:spacing w:val="-1"/>
        </w:rPr>
        <w:t xml:space="preserve">a)     </w:t>
      </w:r>
      <w:r>
        <w:rPr>
          <w:spacing w:val="-1"/>
        </w:rPr>
        <w:t>施工现场内架设高压线路时，应与建筑物、工作地点保持足够的安全距离；</w:t>
      </w:r>
    </w:p>
    <w:p>
      <w:pPr>
        <w:pStyle w:val="BodyText"/>
        <w:spacing w:before="20" w:line="247" w:lineRule="auto"/>
        <w:ind w:left="839" w:right="10" w:hanging="430"/>
      </w:pPr>
      <w:r>
        <w:rPr>
          <w:rFonts w:ascii="Times New Roman" w:eastAsia="Times New Roman" w:hAnsi="Times New Roman" w:cs="Times New Roman"/>
          <w:spacing w:val="-2"/>
        </w:rPr>
        <w:t xml:space="preserve">b)     </w:t>
      </w:r>
      <w:r>
        <w:rPr>
          <w:spacing w:val="-2"/>
        </w:rPr>
        <w:t>电缆的路径应选择不易遭受损坏的路线，电缆型号应根据环境</w:t>
      </w:r>
      <w:r>
        <w:rPr>
          <w:spacing w:val="-3"/>
        </w:rPr>
        <w:t>条件、敷设方式和用电设备特点</w:t>
      </w:r>
      <w:r>
        <w:t xml:space="preserve"> </w:t>
      </w:r>
      <w:r>
        <w:rPr>
          <w:spacing w:val="-9"/>
        </w:rPr>
        <w:t>等因素选择；</w:t>
      </w:r>
    </w:p>
    <w:p>
      <w:pPr>
        <w:pStyle w:val="BodyText"/>
        <w:spacing w:before="7" w:line="212" w:lineRule="auto"/>
        <w:ind w:right="1"/>
        <w:jc w:val="right"/>
      </w:pPr>
      <w:r>
        <w:rPr>
          <w:rFonts w:ascii="Times New Roman" w:eastAsia="Times New Roman" w:hAnsi="Times New Roman" w:cs="Times New Roman"/>
          <w:spacing w:val="-2"/>
        </w:rPr>
        <w:t xml:space="preserve">c)     </w:t>
      </w:r>
      <w:r>
        <w:rPr>
          <w:spacing w:val="-2"/>
        </w:rPr>
        <w:t>电气设备应全部接零、接地，电动机械和手持电动工具应安装漏电保护装置，临时线路应采用</w:t>
      </w:r>
    </w:p>
    <w:p>
      <w:pPr>
        <w:pStyle w:val="BodyText"/>
        <w:spacing w:before="52" w:line="208" w:lineRule="auto"/>
        <w:ind w:left="840"/>
      </w:pPr>
      <w:r>
        <w:rPr>
          <w:spacing w:val="-2"/>
        </w:rPr>
        <w:t>绝缘良好的导线，其截面应能满足用电负荷和机械强度的需</w:t>
      </w:r>
      <w:r>
        <w:rPr>
          <w:spacing w:val="-3"/>
        </w:rPr>
        <w:t>要；</w:t>
      </w:r>
    </w:p>
    <w:p>
      <w:pPr>
        <w:pStyle w:val="BodyText"/>
        <w:spacing w:line="212" w:lineRule="auto"/>
        <w:ind w:left="409"/>
      </w:pPr>
      <w:r>
        <w:rPr>
          <w:rFonts w:ascii="Times New Roman" w:eastAsia="Times New Roman" w:hAnsi="Times New Roman" w:cs="Times New Roman"/>
          <w:spacing w:val="-2"/>
        </w:rPr>
        <w:t xml:space="preserve">d)     </w:t>
      </w:r>
      <w:r>
        <w:rPr>
          <w:spacing w:val="-2"/>
        </w:rPr>
        <w:t>电气安装施工安全应符合 GB50194  的规定。</w:t>
      </w:r>
    </w:p>
    <w:p>
      <w:pPr>
        <w:pStyle w:val="BodyText"/>
        <w:spacing w:before="73" w:line="219" w:lineRule="auto"/>
      </w:pPr>
      <w:r>
        <w:rPr>
          <w:rFonts w:ascii="Arial" w:eastAsia="Arial" w:hAnsi="Arial" w:cs="Arial"/>
          <w:spacing w:val="-2"/>
        </w:rPr>
        <w:t>8.4</w:t>
      </w:r>
      <w:r>
        <w:rPr>
          <w:rFonts w:ascii="Arial" w:eastAsia="Arial" w:hAnsi="Arial" w:cs="Arial"/>
          <w:spacing w:val="18"/>
        </w:rPr>
        <w:t xml:space="preserve">   </w:t>
      </w:r>
      <w:r>
        <w:rPr>
          <w:spacing w:val="-2"/>
        </w:rPr>
        <w:t>有限空间作业安全应符合但不限于以下要求：</w:t>
      </w:r>
    </w:p>
    <w:p>
      <w:pPr>
        <w:pStyle w:val="BodyText"/>
        <w:spacing w:before="21" w:line="218" w:lineRule="auto"/>
        <w:ind w:left="839" w:right="20" w:hanging="430"/>
      </w:pPr>
      <w:r>
        <w:rPr>
          <w:spacing w:val="-2"/>
        </w:rPr>
        <w:t>a)  进入有限空间作业前，应根据实际情况测定有害气体、可燃性气</w:t>
      </w:r>
      <w:r>
        <w:rPr>
          <w:spacing w:val="-3"/>
        </w:rPr>
        <w:t>体、粉尘的浓度，符合规定方</w:t>
      </w:r>
      <w:r>
        <w:t xml:space="preserve"> </w:t>
      </w:r>
      <w:r>
        <w:rPr>
          <w:spacing w:val="-4"/>
        </w:rPr>
        <w:t>可进入，并加强通风换气确保空气质量；</w:t>
      </w:r>
    </w:p>
    <w:p>
      <w:pPr>
        <w:pStyle w:val="BodyText"/>
        <w:spacing w:before="1" w:line="247" w:lineRule="auto"/>
        <w:ind w:left="839" w:right="6" w:hanging="430"/>
      </w:pPr>
      <w:r>
        <w:rPr>
          <w:rFonts w:ascii="Times New Roman" w:eastAsia="Times New Roman" w:hAnsi="Times New Roman" w:cs="Times New Roman"/>
          <w:spacing w:val="-1"/>
        </w:rPr>
        <w:t xml:space="preserve">b)    </w:t>
      </w:r>
      <w:r>
        <w:rPr>
          <w:spacing w:val="-1"/>
        </w:rPr>
        <w:t>有可燃气体或可燃性粉尘存在的作业现场，应使用符合防爆要求的检测仪器、</w:t>
      </w:r>
      <w:r>
        <w:rPr>
          <w:spacing w:val="-2"/>
        </w:rPr>
        <w:t>电动工具、照明</w:t>
      </w:r>
      <w:r>
        <w:t xml:space="preserve"> </w:t>
      </w:r>
      <w:r>
        <w:rPr>
          <w:spacing w:val="-4"/>
        </w:rPr>
        <w:t>灯具、作业工具等；</w:t>
      </w:r>
    </w:p>
    <w:p>
      <w:pPr>
        <w:pStyle w:val="BodyText"/>
        <w:spacing w:before="7" w:line="234" w:lineRule="auto"/>
        <w:ind w:left="839" w:right="18" w:hanging="430"/>
      </w:pPr>
      <w:r>
        <w:rPr>
          <w:rFonts w:ascii="Times New Roman" w:eastAsia="Times New Roman" w:hAnsi="Times New Roman" w:cs="Times New Roman"/>
          <w:spacing w:val="-1"/>
        </w:rPr>
        <w:t xml:space="preserve">c)    </w:t>
      </w:r>
      <w:r>
        <w:rPr>
          <w:spacing w:val="-1"/>
        </w:rPr>
        <w:t>应设作业监护人，全过程掌握作业者作业期间的状况，与作业人规定明确的联</w:t>
      </w:r>
      <w:r>
        <w:rPr>
          <w:spacing w:val="-2"/>
        </w:rPr>
        <w:t>络信号，保持有</w:t>
      </w:r>
      <w:r>
        <w:t xml:space="preserve"> </w:t>
      </w:r>
      <w:r>
        <w:rPr>
          <w:spacing w:val="-1"/>
        </w:rPr>
        <w:t>效的作业、报警、撤离等信息沟通，保证在有限空间外持续进</w:t>
      </w:r>
      <w:r>
        <w:rPr>
          <w:spacing w:val="-2"/>
        </w:rPr>
        <w:t>行监护；</w:t>
      </w:r>
    </w:p>
    <w:p>
      <w:pPr>
        <w:pStyle w:val="BodyText"/>
        <w:spacing w:before="21" w:line="280" w:lineRule="exact"/>
        <w:ind w:left="409"/>
      </w:pPr>
      <w:r>
        <w:rPr>
          <w:spacing w:val="-1"/>
          <w:position w:val="4"/>
        </w:rPr>
        <w:t>d)</w:t>
      </w:r>
      <w:r>
        <w:rPr>
          <w:spacing w:val="111"/>
          <w:position w:val="4"/>
        </w:rPr>
        <w:t xml:space="preserve"> </w:t>
      </w:r>
      <w:r>
        <w:rPr>
          <w:spacing w:val="-1"/>
          <w:position w:val="4"/>
        </w:rPr>
        <w:t>有限空间的出入口内外应保持其畅通无阻，便于人员出入和抢救疏散。</w:t>
      </w:r>
    </w:p>
    <w:p>
      <w:pPr>
        <w:pStyle w:val="BodyText"/>
        <w:spacing w:line="219" w:lineRule="auto"/>
      </w:pPr>
      <w:r>
        <w:rPr>
          <w:rFonts w:ascii="Times New Roman" w:eastAsia="Times New Roman" w:hAnsi="Times New Roman" w:cs="Times New Roman"/>
        </w:rPr>
        <w:t xml:space="preserve">8.5    </w:t>
      </w:r>
      <w:r>
        <w:t>运行安全应符合但不限于以下要求：</w:t>
      </w:r>
    </w:p>
    <w:p>
      <w:pPr>
        <w:pStyle w:val="BodyText"/>
        <w:spacing w:before="31" w:line="211" w:lineRule="auto"/>
        <w:ind w:left="409"/>
      </w:pPr>
      <w:r>
        <w:rPr>
          <w:spacing w:val="-1"/>
        </w:rPr>
        <w:t>a)  制定地热系统运行管理规定，对人员、设备和运行等进行规范管理；</w:t>
      </w:r>
    </w:p>
    <w:p>
      <w:pPr>
        <w:pStyle w:val="BodyText"/>
        <w:spacing w:before="2" w:line="242" w:lineRule="auto"/>
        <w:ind w:left="839" w:right="20" w:hanging="430"/>
      </w:pPr>
      <w:r>
        <w:rPr>
          <w:spacing w:val="-2"/>
        </w:rPr>
        <w:t>b)  地热运行系统管理人员应进行岗前培训，强调地热流体具有温度</w:t>
      </w:r>
      <w:r>
        <w:rPr>
          <w:spacing w:val="-3"/>
        </w:rPr>
        <w:t>高、腐蚀性较强等特点，提高</w:t>
      </w:r>
      <w:r>
        <w:t xml:space="preserve"> </w:t>
      </w:r>
      <w:r>
        <w:rPr>
          <w:spacing w:val="-6"/>
        </w:rPr>
        <w:t>安全意识；</w:t>
      </w:r>
    </w:p>
    <w:p>
      <w:pPr>
        <w:pStyle w:val="BodyText"/>
        <w:spacing w:before="4" w:line="212" w:lineRule="auto"/>
        <w:ind w:left="409"/>
      </w:pPr>
      <w:r>
        <w:rPr>
          <w:rFonts w:ascii="Times New Roman" w:eastAsia="Times New Roman" w:hAnsi="Times New Roman" w:cs="Times New Roman"/>
          <w:spacing w:val="-1"/>
        </w:rPr>
        <w:t xml:space="preserve">c)     </w:t>
      </w:r>
      <w:r>
        <w:rPr>
          <w:spacing w:val="-1"/>
        </w:rPr>
        <w:t>设备、设施应按操作规程运行并定期维护</w:t>
      </w:r>
      <w:r>
        <w:rPr>
          <w:spacing w:val="-2"/>
        </w:rPr>
        <w:t>保养；</w:t>
      </w:r>
    </w:p>
    <w:p>
      <w:pPr>
        <w:pStyle w:val="BodyText"/>
        <w:spacing w:before="19" w:line="212" w:lineRule="auto"/>
        <w:ind w:left="409"/>
        <w:sectPr>
          <w:headerReference w:type="default" r:id="rId69"/>
          <w:footerReference w:type="default" r:id="rId70"/>
          <w:pgSz w:w="11910" w:h="16840"/>
          <w:pgMar w:top="400" w:right="1431" w:bottom="1305" w:left="1120" w:header="0" w:footer="1156" w:gutter="0"/>
          <w:pgNumType w:start="11"/>
          <w:cols w:space="708"/>
        </w:sectPr>
      </w:pPr>
      <w:r>
        <w:rPr>
          <w:rFonts w:ascii="Times New Roman" w:eastAsia="Times New Roman" w:hAnsi="Times New Roman" w:cs="Times New Roman"/>
        </w:rPr>
        <w:t xml:space="preserve">d)    </w:t>
      </w:r>
      <w:r>
        <w:t>地热流体处理间应强制通风。</w:t>
      </w:r>
    </w:p>
    <w:p>
      <w:pPr>
        <w:spacing w:before="287" w:line="221" w:lineRule="auto"/>
        <w:ind w:left="3"/>
        <w:rPr>
          <w:rFonts w:ascii="SimHei" w:eastAsia="SimHei" w:hAnsi="SimHei" w:cs="SimHei"/>
          <w:sz w:val="21"/>
          <w:szCs w:val="21"/>
        </w:rPr>
      </w:pPr>
      <w:r>
        <w:rPr>
          <w:rFonts w:ascii="SimHei" w:eastAsia="SimHei" w:hAnsi="SimHei" w:cs="SimHei"/>
          <w:b/>
          <w:bCs/>
          <w:spacing w:val="-4"/>
          <w:sz w:val="21"/>
          <w:szCs w:val="21"/>
        </w:rPr>
        <w:t>9</w:t>
      </w:r>
      <w:r>
        <w:rPr>
          <w:rFonts w:ascii="SimHei" w:eastAsia="SimHei" w:hAnsi="SimHei" w:cs="SimHei"/>
          <w:spacing w:val="72"/>
          <w:sz w:val="21"/>
          <w:szCs w:val="21"/>
        </w:rPr>
        <w:t xml:space="preserve"> </w:t>
      </w:r>
      <w:r>
        <w:rPr>
          <w:rFonts w:ascii="SimHei" w:eastAsia="SimHei" w:hAnsi="SimHei" w:cs="SimHei"/>
          <w:b/>
          <w:bCs/>
          <w:spacing w:val="-4"/>
          <w:sz w:val="21"/>
          <w:szCs w:val="21"/>
        </w:rPr>
        <w:t>开发利用评价</w:t>
      </w:r>
    </w:p>
    <w:p>
      <w:pPr>
        <w:spacing w:before="259" w:line="221" w:lineRule="auto"/>
        <w:ind w:left="3"/>
        <w:outlineLvl w:val="0"/>
        <w:rPr>
          <w:rFonts w:ascii="SimHei" w:eastAsia="SimHei" w:hAnsi="SimHei" w:cs="SimHei"/>
          <w:sz w:val="21"/>
          <w:szCs w:val="21"/>
        </w:rPr>
      </w:pPr>
      <w:r>
        <w:rPr>
          <w:rFonts w:ascii="SimHei" w:eastAsia="SimHei" w:hAnsi="SimHei" w:cs="SimHei"/>
          <w:b/>
          <w:bCs/>
          <w:spacing w:val="-4"/>
          <w:sz w:val="21"/>
          <w:szCs w:val="21"/>
        </w:rPr>
        <w:t>9.1</w:t>
      </w:r>
      <w:r>
        <w:rPr>
          <w:rFonts w:ascii="SimHei" w:eastAsia="SimHei" w:hAnsi="SimHei" w:cs="SimHei"/>
          <w:spacing w:val="84"/>
          <w:sz w:val="21"/>
          <w:szCs w:val="21"/>
        </w:rPr>
        <w:t xml:space="preserve"> </w:t>
      </w:r>
      <w:r>
        <w:rPr>
          <w:rFonts w:ascii="SimHei" w:eastAsia="SimHei" w:hAnsi="SimHei" w:cs="SimHei"/>
          <w:b/>
          <w:bCs/>
          <w:spacing w:val="-4"/>
          <w:sz w:val="21"/>
          <w:szCs w:val="21"/>
        </w:rPr>
        <w:t>数据统计</w:t>
      </w:r>
    </w:p>
    <w:p>
      <w:pPr>
        <w:pStyle w:val="BodyText"/>
        <w:spacing w:before="132" w:line="237" w:lineRule="auto"/>
        <w:ind w:right="43" w:firstLine="3"/>
      </w:pPr>
      <w:r>
        <w:rPr>
          <w:b/>
          <w:bCs/>
          <w:spacing w:val="-5"/>
        </w:rPr>
        <w:t>9.1.1</w:t>
      </w:r>
      <w:r>
        <w:rPr>
          <w:spacing w:val="96"/>
        </w:rPr>
        <w:t xml:space="preserve"> </w:t>
      </w:r>
      <w:r>
        <w:rPr>
          <w:spacing w:val="-5"/>
        </w:rPr>
        <w:t>按月统计开采量、用途及用量、回灌量、开采温度、回灌温度、换热前</w:t>
      </w:r>
      <w:r>
        <w:rPr>
          <w:spacing w:val="-6"/>
        </w:rPr>
        <w:t>后流体量、进出口温度，</w:t>
      </w:r>
      <w:r>
        <w:t xml:space="preserve"> </w:t>
      </w:r>
      <w:r>
        <w:rPr>
          <w:spacing w:val="-11"/>
        </w:rPr>
        <w:t>见附录</w:t>
      </w:r>
      <w:r>
        <w:rPr>
          <w:spacing w:val="-43"/>
        </w:rPr>
        <w:t xml:space="preserve"> </w:t>
      </w:r>
      <w:r>
        <w:rPr>
          <w:spacing w:val="-11"/>
        </w:rPr>
        <w:t>D。</w:t>
      </w:r>
    </w:p>
    <w:p>
      <w:pPr>
        <w:pStyle w:val="BodyText"/>
        <w:spacing w:before="32" w:line="232" w:lineRule="auto"/>
        <w:ind w:right="12"/>
      </w:pPr>
      <w:r>
        <w:rPr>
          <w:rFonts w:ascii="Arial" w:eastAsia="Arial" w:hAnsi="Arial" w:cs="Arial"/>
          <w:b/>
          <w:bCs/>
          <w:spacing w:val="1"/>
        </w:rPr>
        <w:t xml:space="preserve">9.1.2    </w:t>
      </w:r>
      <w:r>
        <w:rPr>
          <w:spacing w:val="1"/>
        </w:rPr>
        <w:t>按年统计热能利用率和地热流体回灌率，地热流体回灌率</w:t>
      </w:r>
      <w:r>
        <w:t xml:space="preserve">计算时，回灌井回扬维护等非利用的 </w:t>
      </w:r>
      <w:r>
        <w:rPr>
          <w:spacing w:val="-4"/>
        </w:rPr>
        <w:t>流体量不纳入开采量统计。</w:t>
      </w:r>
    </w:p>
    <w:p>
      <w:pPr>
        <w:spacing w:before="148" w:line="222" w:lineRule="auto"/>
        <w:ind w:left="3"/>
        <w:outlineLvl w:val="0"/>
        <w:rPr>
          <w:rFonts w:ascii="SimHei" w:eastAsia="SimHei" w:hAnsi="SimHei" w:cs="SimHei"/>
          <w:sz w:val="21"/>
          <w:szCs w:val="21"/>
        </w:rPr>
      </w:pPr>
      <w:r>
        <w:rPr>
          <w:rFonts w:ascii="SimHei" w:eastAsia="SimHei" w:hAnsi="SimHei" w:cs="SimHei"/>
          <w:b/>
          <w:bCs/>
          <w:spacing w:val="-1"/>
          <w:sz w:val="21"/>
          <w:szCs w:val="21"/>
        </w:rPr>
        <w:t>9.2</w:t>
      </w:r>
      <w:r>
        <w:rPr>
          <w:rFonts w:ascii="SimHei" w:eastAsia="SimHei" w:hAnsi="SimHei" w:cs="SimHei"/>
          <w:spacing w:val="72"/>
          <w:sz w:val="21"/>
          <w:szCs w:val="21"/>
        </w:rPr>
        <w:t xml:space="preserve"> </w:t>
      </w:r>
      <w:r>
        <w:rPr>
          <w:rFonts w:ascii="SimHei" w:eastAsia="SimHei" w:hAnsi="SimHei" w:cs="SimHei"/>
          <w:b/>
          <w:bCs/>
          <w:spacing w:val="-1"/>
          <w:sz w:val="21"/>
          <w:szCs w:val="21"/>
        </w:rPr>
        <w:t>计算评价</w:t>
      </w:r>
    </w:p>
    <w:p>
      <w:pPr>
        <w:pStyle w:val="BodyText"/>
        <w:spacing w:before="112" w:line="232" w:lineRule="auto"/>
        <w:ind w:right="39" w:firstLine="3"/>
      </w:pPr>
      <w:r>
        <w:rPr>
          <w:b/>
          <w:bCs/>
          <w:spacing w:val="-1"/>
        </w:rPr>
        <w:t>9.2.1</w:t>
      </w:r>
      <w:r>
        <w:rPr>
          <w:spacing w:val="110"/>
        </w:rPr>
        <w:t xml:space="preserve"> </w:t>
      </w:r>
      <w:r>
        <w:rPr>
          <w:spacing w:val="-1"/>
        </w:rPr>
        <w:t>综合分析年度地热资源开发利用情况，计算年度单位供暖面积用热量及用流体量、温泉理疗人</w:t>
      </w:r>
      <w:r>
        <w:t xml:space="preserve"> </w:t>
      </w:r>
      <w:r>
        <w:rPr>
          <w:spacing w:val="11"/>
        </w:rPr>
        <w:t>均耗流体(水)量等，计算公式见附录</w:t>
      </w:r>
      <w:r>
        <w:rPr>
          <w:rFonts w:ascii="Times New Roman" w:eastAsia="Times New Roman" w:hAnsi="Times New Roman" w:cs="Times New Roman"/>
          <w:spacing w:val="11"/>
        </w:rPr>
        <w:t>F</w:t>
      </w:r>
      <w:r>
        <w:rPr>
          <w:spacing w:val="11"/>
        </w:rPr>
        <w:t>。</w:t>
      </w:r>
    </w:p>
    <w:p>
      <w:pPr>
        <w:pStyle w:val="BodyText"/>
        <w:spacing w:before="20" w:line="218" w:lineRule="auto"/>
        <w:ind w:left="3"/>
      </w:pPr>
      <w:r>
        <w:rPr>
          <w:b/>
          <w:bCs/>
        </w:rPr>
        <w:t>9.2.2</w:t>
      </w:r>
      <w:r>
        <w:rPr>
          <w:spacing w:val="76"/>
        </w:rPr>
        <w:t xml:space="preserve"> </w:t>
      </w:r>
      <w:r>
        <w:t>评价资源利用水平、能效水平，分析实际利用</w:t>
      </w:r>
      <w:r>
        <w:rPr>
          <w:spacing w:val="-1"/>
        </w:rPr>
        <w:t>与设计指标的差异以及优化利用方向。</w:t>
      </w:r>
    </w:p>
    <w:p>
      <w:pPr>
        <w:spacing w:before="269" w:line="221" w:lineRule="auto"/>
        <w:ind w:left="3"/>
        <w:rPr>
          <w:rFonts w:ascii="SimHei" w:eastAsia="SimHei" w:hAnsi="SimHei" w:cs="SimHei"/>
          <w:sz w:val="21"/>
          <w:szCs w:val="21"/>
        </w:rPr>
      </w:pPr>
      <w:r>
        <w:rPr>
          <w:rFonts w:ascii="SimHei" w:eastAsia="SimHei" w:hAnsi="SimHei" w:cs="SimHei"/>
          <w:b/>
          <w:bCs/>
          <w:spacing w:val="-4"/>
          <w:sz w:val="21"/>
          <w:szCs w:val="21"/>
        </w:rPr>
        <w:t>10</w:t>
      </w:r>
      <w:r>
        <w:rPr>
          <w:rFonts w:ascii="SimHei" w:eastAsia="SimHei" w:hAnsi="SimHei" w:cs="SimHei"/>
          <w:spacing w:val="-4"/>
          <w:sz w:val="21"/>
          <w:szCs w:val="21"/>
        </w:rPr>
        <w:t xml:space="preserve">  </w:t>
      </w:r>
      <w:r>
        <w:rPr>
          <w:rFonts w:ascii="SimHei" w:eastAsia="SimHei" w:hAnsi="SimHei" w:cs="SimHei"/>
          <w:b/>
          <w:bCs/>
          <w:spacing w:val="-4"/>
          <w:sz w:val="21"/>
          <w:szCs w:val="21"/>
        </w:rPr>
        <w:t>报告编制和资料归档</w:t>
      </w:r>
    </w:p>
    <w:p>
      <w:pPr>
        <w:spacing w:line="221" w:lineRule="auto"/>
        <w:rPr>
          <w:rFonts w:ascii="SimHei" w:eastAsia="SimHei" w:hAnsi="SimHei" w:cs="SimHei"/>
          <w:sz w:val="21"/>
          <w:szCs w:val="21"/>
        </w:rPr>
      </w:pPr>
      <w:r>
        <w:rPr>
          <w:rFonts w:ascii="SimHei" w:eastAsia="SimHei" w:hAnsi="SimHei" w:cs="SimHei"/>
          <w:sz w:val="21"/>
          <w:szCs w:val="21"/>
        </w:rPr>
        <w:br/>
      </w:r>
      <w:r>
        <w:rPr>
          <w:rFonts w:ascii="SimHei" w:eastAsia="SimHei" w:hAnsi="SimHei" w:cs="SimHei"/>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1" w:history="1">
        <w:r>
          <w:rPr>
            <w:rFonts w:ascii="SimSun" w:eastAsia="SimSun" w:hAnsi="SimSun" w:cs="SimSun"/>
            <w:b/>
            <w:bCs/>
            <w:noProof w:val="0"/>
            <w:snapToGrid/>
            <w:color w:val="0000EE"/>
            <w:kern w:val="0"/>
            <w:sz w:val="30"/>
            <w:szCs w:val="30"/>
            <w:u w:val="single" w:color="0000EE"/>
          </w:rPr>
          <w:t>https://d.book118.com/238052000015006037</w:t>
        </w:r>
      </w:hyperlink>
    </w:p>
    <w:p>
      <w:pPr>
        <w:spacing w:line="221" w:lineRule="auto"/>
        <w:rPr>
          <w:rFonts w:ascii="SimHei" w:eastAsia="SimHei" w:hAnsi="SimHei" w:cs="SimHei"/>
          <w:sz w:val="21"/>
          <w:szCs w:val="21"/>
        </w:rPr>
      </w:pPr>
    </w:p>
    <w:sectPr>
      <w:headerReference w:type="default" r:id="rId72"/>
      <w:footerReference w:type="default" r:id="rId73"/>
      <w:type w:val="nextPage"/>
      <w:pgSz w:w="11910" w:h="16840"/>
      <w:pgMar w:top="400" w:right="1431" w:bottom="1305" w:left="1120" w:header="0" w:footer="1156"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5"/>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5"/>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209"/>
      <w:rPr>
        <w:sz w:val="14"/>
        <w:szCs w:val="14"/>
      </w:rPr>
    </w:pPr>
    <w:r>
      <w:rPr>
        <w:sz w:val="14"/>
        <w:szCs w:val="14"/>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209"/>
      <w:rPr>
        <w:sz w:val="14"/>
        <w:szCs w:val="14"/>
      </w:rPr>
    </w:pPr>
    <w:r>
      <w:rPr>
        <w:sz w:val="14"/>
        <w:szCs w:val="14"/>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9"/>
      <w:rPr>
        <w:sz w:val="15"/>
        <w:szCs w:val="15"/>
      </w:rPr>
    </w:pPr>
    <w:r>
      <w:rPr>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9"/>
      <w:rPr>
        <w:sz w:val="15"/>
        <w:szCs w:val="15"/>
      </w:rPr>
    </w:pPr>
    <w:r>
      <w:rPr>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01"/>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01"/>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8"/>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8"/>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89"/>
      <w:rPr>
        <w:sz w:val="15"/>
        <w:szCs w:val="15"/>
      </w:rPr>
    </w:pPr>
    <w:r>
      <w:rPr>
        <w:sz w:val="15"/>
        <w:szCs w:val="15"/>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89"/>
      <w:rPr>
        <w:sz w:val="15"/>
        <w:szCs w:val="15"/>
      </w:rPr>
    </w:pPr>
    <w:r>
      <w:rPr>
        <w:sz w:val="15"/>
        <w:szCs w:val="15"/>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3"/>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3"/>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95" w:lineRule="exact"/>
      <w:ind w:left="7689"/>
      <w:rPr>
        <w:rFonts w:ascii="Times New Roman" w:eastAsia="Times New Roman" w:hAnsi="Times New Roman" w:cs="Times New Roman"/>
        <w:sz w:val="15"/>
        <w:szCs w:val="15"/>
      </w:rPr>
    </w:pPr>
    <w:r>
      <w:rPr>
        <w:rFonts w:ascii="Times New Roman" w:eastAsia="Times New Roman" w:hAnsi="Times New Roman" w:cs="Times New Roman"/>
        <w:b/>
        <w:bCs/>
        <w:spacing w:val="-1"/>
        <w:position w:val="-2"/>
        <w:sz w:val="15"/>
        <w:szCs w:val="15"/>
      </w:rPr>
      <w:t>DZ/T</w:t>
    </w:r>
    <w:r>
      <w:rPr>
        <w:rFonts w:ascii="Times New Roman" w:eastAsia="Times New Roman" w:hAnsi="Times New Roman" w:cs="Times New Roman"/>
        <w:b/>
        <w:bCs/>
        <w:spacing w:val="6"/>
        <w:position w:val="-2"/>
        <w:sz w:val="15"/>
        <w:szCs w:val="15"/>
      </w:rPr>
      <w:t xml:space="preserve">     </w:t>
    </w:r>
    <w:r>
      <w:rPr>
        <w:rFonts w:ascii="Times New Roman" w:eastAsia="Times New Roman" w:hAnsi="Times New Roman" w:cs="Times New Roman"/>
        <w:b/>
        <w:bCs/>
        <w:spacing w:val="-1"/>
        <w:position w:val="-2"/>
        <w:sz w:val="15"/>
        <w:szCs w:val="15"/>
      </w:rPr>
      <w:t>XXXXX—XXXX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95" w:lineRule="exact"/>
      <w:ind w:left="7689"/>
      <w:rPr>
        <w:rFonts w:ascii="Times New Roman" w:eastAsia="Times New Roman" w:hAnsi="Times New Roman" w:cs="Times New Roman"/>
        <w:sz w:val="15"/>
        <w:szCs w:val="15"/>
      </w:rPr>
    </w:pPr>
    <w:r>
      <w:rPr>
        <w:rFonts w:ascii="Times New Roman" w:eastAsia="Times New Roman" w:hAnsi="Times New Roman" w:cs="Times New Roman"/>
        <w:b/>
        <w:bCs/>
        <w:spacing w:val="-1"/>
        <w:position w:val="-2"/>
        <w:sz w:val="15"/>
        <w:szCs w:val="15"/>
      </w:rPr>
      <w:t>DZ/T</w:t>
    </w:r>
    <w:r>
      <w:rPr>
        <w:rFonts w:ascii="Times New Roman" w:eastAsia="Times New Roman" w:hAnsi="Times New Roman" w:cs="Times New Roman"/>
        <w:b/>
        <w:bCs/>
        <w:spacing w:val="6"/>
        <w:position w:val="-2"/>
        <w:sz w:val="15"/>
        <w:szCs w:val="15"/>
      </w:rPr>
      <w:t xml:space="preserve">     </w:t>
    </w:r>
    <w:r>
      <w:rPr>
        <w:rFonts w:ascii="Times New Roman" w:eastAsia="Times New Roman" w:hAnsi="Times New Roman" w:cs="Times New Roman"/>
        <w:b/>
        <w:bCs/>
        <w:spacing w:val="-1"/>
        <w:position w:val="-2"/>
        <w:sz w:val="15"/>
        <w:szCs w:val="15"/>
      </w:rPr>
      <w:t>XXXXX—XXXX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6"/>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6"/>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header" Target="header2.xml" /><Relationship Id="rId14" Type="http://schemas.openxmlformats.org/officeDocument/2006/relationships/footer" Target="footer2.xml" /><Relationship Id="rId15" Type="http://schemas.openxmlformats.org/officeDocument/2006/relationships/header" Target="header3.xml" /><Relationship Id="rId16" Type="http://schemas.openxmlformats.org/officeDocument/2006/relationships/footer" Target="footer3.xml" /><Relationship Id="rId17" Type="http://schemas.openxmlformats.org/officeDocument/2006/relationships/header" Target="header4.xml" /><Relationship Id="rId18" Type="http://schemas.openxmlformats.org/officeDocument/2006/relationships/footer" Target="footer4.xml" /><Relationship Id="rId19" Type="http://schemas.openxmlformats.org/officeDocument/2006/relationships/hyperlink" Target="6.1.2.1" TargetMode="External" /><Relationship Id="rId2" Type="http://schemas.openxmlformats.org/officeDocument/2006/relationships/webSettings" Target="webSettings.xml" /><Relationship Id="rId20" Type="http://schemas.openxmlformats.org/officeDocument/2006/relationships/hyperlink" Target="6.1.2.2" TargetMode="External" /><Relationship Id="rId21" Type="http://schemas.openxmlformats.org/officeDocument/2006/relationships/hyperlink" Target="6.1.2.3" TargetMode="External" /><Relationship Id="rId22" Type="http://schemas.openxmlformats.org/officeDocument/2006/relationships/hyperlink" Target="6.1.2.4" TargetMode="External" /><Relationship Id="rId23" Type="http://schemas.openxmlformats.org/officeDocument/2006/relationships/hyperlink" Target="6.1.2.5" TargetMode="External" /><Relationship Id="rId24" Type="http://schemas.openxmlformats.org/officeDocument/2006/relationships/hyperlink" Target="6.1.3.1" TargetMode="External" /><Relationship Id="rId25" Type="http://schemas.openxmlformats.org/officeDocument/2006/relationships/hyperlink" Target="6.1.3.2" TargetMode="External" /><Relationship Id="rId26" Type="http://schemas.openxmlformats.org/officeDocument/2006/relationships/hyperlink" Target="6.1.3.3" TargetMode="External" /><Relationship Id="rId27" Type="http://schemas.openxmlformats.org/officeDocument/2006/relationships/hyperlink" Target="6.1.3.4" TargetMode="External" /><Relationship Id="rId28" Type="http://schemas.openxmlformats.org/officeDocument/2006/relationships/header" Target="header5.xml" /><Relationship Id="rId29" Type="http://schemas.openxmlformats.org/officeDocument/2006/relationships/footer" Target="footer5.xml" /><Relationship Id="rId3" Type="http://schemas.openxmlformats.org/officeDocument/2006/relationships/fontTable" Target="fontTable.xml" /><Relationship Id="rId30" Type="http://schemas.openxmlformats.org/officeDocument/2006/relationships/hyperlink" Target="6.1.4.1" TargetMode="External" /><Relationship Id="rId31" Type="http://schemas.openxmlformats.org/officeDocument/2006/relationships/hyperlink" Target="6.1.4.2" TargetMode="External" /><Relationship Id="rId32" Type="http://schemas.openxmlformats.org/officeDocument/2006/relationships/hyperlink" Target="6.2.1.1" TargetMode="External" /><Relationship Id="rId33" Type="http://schemas.openxmlformats.org/officeDocument/2006/relationships/hyperlink" Target="6.2.1.2" TargetMode="External" /><Relationship Id="rId34" Type="http://schemas.openxmlformats.org/officeDocument/2006/relationships/header" Target="header6.xml" /><Relationship Id="rId35" Type="http://schemas.openxmlformats.org/officeDocument/2006/relationships/footer" Target="footer6.xml" /><Relationship Id="rId36" Type="http://schemas.openxmlformats.org/officeDocument/2006/relationships/hyperlink" Target="6.2.1.3" TargetMode="External" /><Relationship Id="rId37" Type="http://schemas.openxmlformats.org/officeDocument/2006/relationships/hyperlink" Target="6.2.2.1" TargetMode="External" /><Relationship Id="rId38" Type="http://schemas.openxmlformats.org/officeDocument/2006/relationships/hyperlink" Target="6.2.2.2" TargetMode="External" /><Relationship Id="rId39" Type="http://schemas.openxmlformats.org/officeDocument/2006/relationships/hyperlink" Target="6.2.2.3" TargetMode="External" /><Relationship Id="rId4" Type="http://schemas.openxmlformats.org/officeDocument/2006/relationships/image" Target="media/image1.png" /><Relationship Id="rId40" Type="http://schemas.openxmlformats.org/officeDocument/2006/relationships/header" Target="header7.xml" /><Relationship Id="rId41" Type="http://schemas.openxmlformats.org/officeDocument/2006/relationships/footer" Target="footer7.xml" /><Relationship Id="rId42" Type="http://schemas.openxmlformats.org/officeDocument/2006/relationships/hyperlink" Target="6.2.2.4" TargetMode="External" /><Relationship Id="rId43" Type="http://schemas.openxmlformats.org/officeDocument/2006/relationships/image" Target="media/image8.png" /><Relationship Id="rId44" Type="http://schemas.openxmlformats.org/officeDocument/2006/relationships/hyperlink" Target="6.3.1.1" TargetMode="External" /><Relationship Id="rId45" Type="http://schemas.openxmlformats.org/officeDocument/2006/relationships/header" Target="header8.xml" /><Relationship Id="rId46" Type="http://schemas.openxmlformats.org/officeDocument/2006/relationships/footer" Target="footer8.xml" /><Relationship Id="rId47" Type="http://schemas.openxmlformats.org/officeDocument/2006/relationships/hyperlink" Target="6.3.1.2" TargetMode="External" /><Relationship Id="rId48" Type="http://schemas.openxmlformats.org/officeDocument/2006/relationships/image" Target="media/image9.png" /><Relationship Id="rId49" Type="http://schemas.openxmlformats.org/officeDocument/2006/relationships/image" Target="media/image10.png" /><Relationship Id="rId5" Type="http://schemas.openxmlformats.org/officeDocument/2006/relationships/image" Target="media/image2.png" /><Relationship Id="rId50" Type="http://schemas.openxmlformats.org/officeDocument/2006/relationships/image" Target="media/image11.png" /><Relationship Id="rId51" Type="http://schemas.openxmlformats.org/officeDocument/2006/relationships/image" Target="media/image12.png" /><Relationship Id="rId52" Type="http://schemas.openxmlformats.org/officeDocument/2006/relationships/image" Target="media/image13.png" /><Relationship Id="rId53" Type="http://schemas.openxmlformats.org/officeDocument/2006/relationships/image" Target="media/image14.png" /><Relationship Id="rId54" Type="http://schemas.openxmlformats.org/officeDocument/2006/relationships/image" Target="media/image15.png" /><Relationship Id="rId55" Type="http://schemas.openxmlformats.org/officeDocument/2006/relationships/hyperlink" Target="6.3.2.1" TargetMode="External" /><Relationship Id="rId56" Type="http://schemas.openxmlformats.org/officeDocument/2006/relationships/hyperlink" Target="6.3.2.2" TargetMode="External" /><Relationship Id="rId57" Type="http://schemas.openxmlformats.org/officeDocument/2006/relationships/hyperlink" Target="6.3.2.3" TargetMode="External" /><Relationship Id="rId58" Type="http://schemas.openxmlformats.org/officeDocument/2006/relationships/hyperlink" Target="6.3.2.4" TargetMode="External" /><Relationship Id="rId59" Type="http://schemas.openxmlformats.org/officeDocument/2006/relationships/hyperlink" Target="6.3.2.5" TargetMode="External" /><Relationship Id="rId6" Type="http://schemas.openxmlformats.org/officeDocument/2006/relationships/image" Target="media/image3.png" /><Relationship Id="rId60" Type="http://schemas.openxmlformats.org/officeDocument/2006/relationships/hyperlink" Target="6.3.2.6" TargetMode="External" /><Relationship Id="rId61" Type="http://schemas.openxmlformats.org/officeDocument/2006/relationships/hyperlink" Target="6.3.3.1" TargetMode="External" /><Relationship Id="rId62" Type="http://schemas.openxmlformats.org/officeDocument/2006/relationships/hyperlink" Target="6.3.3.2" TargetMode="External" /><Relationship Id="rId63" Type="http://schemas.openxmlformats.org/officeDocument/2006/relationships/image" Target="media/image16.png" /><Relationship Id="rId64" Type="http://schemas.openxmlformats.org/officeDocument/2006/relationships/header" Target="header9.xml" /><Relationship Id="rId65" Type="http://schemas.openxmlformats.org/officeDocument/2006/relationships/footer" Target="footer9.xml" /><Relationship Id="rId66" Type="http://schemas.openxmlformats.org/officeDocument/2006/relationships/image" Target="media/image17.png" /><Relationship Id="rId67" Type="http://schemas.openxmlformats.org/officeDocument/2006/relationships/header" Target="header10.xml" /><Relationship Id="rId68" Type="http://schemas.openxmlformats.org/officeDocument/2006/relationships/footer" Target="footer10.xml" /><Relationship Id="rId69" Type="http://schemas.openxmlformats.org/officeDocument/2006/relationships/header" Target="header11.xml" /><Relationship Id="rId7" Type="http://schemas.openxmlformats.org/officeDocument/2006/relationships/image" Target="media/image4.png" /><Relationship Id="rId70" Type="http://schemas.openxmlformats.org/officeDocument/2006/relationships/footer" Target="footer11.xml" /><Relationship Id="rId71" Type="http://schemas.openxmlformats.org/officeDocument/2006/relationships/hyperlink" Target="https://d.book118.com/238052000015006037" TargetMode="External" /><Relationship Id="rId72" Type="http://schemas.openxmlformats.org/officeDocument/2006/relationships/header" Target="header12.xml" /><Relationship Id="rId73" Type="http://schemas.openxmlformats.org/officeDocument/2006/relationships/footer" Target="footer12.xml" /><Relationship Id="rId74" Type="http://schemas.openxmlformats.org/officeDocument/2006/relationships/theme" Target="theme/theme1.xml" /><Relationship Id="rId75" Type="http://schemas.openxmlformats.org/officeDocument/2006/relationships/styles" Target="styles.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2024-02-20T22:27:22Z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2024-02-20T22:27:25Z</vt:filetime>
  </property>
  <property fmtid="{D5CDD505-2E9C-101B-9397-08002B2CF9AE}" pid="3" name="CRO">
    <vt:lpwstr>wqlLaW5nc29mdCBQREYgdG8gV1BTIDkw</vt:lpwstr>
  </property>
  <property fmtid="{D5CDD505-2E9C-101B-9397-08002B2CF9AE}" pid="4" name="UsrData">
    <vt:lpwstr>65d4b6c77a7039001fcf7d88wl</vt:lpwstr>
  </property>
</Properties>
</file>