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工业冷却塔项目投资建议书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0" w:history="1">
        <w:r>
          <w:rPr>
            <w:rFonts w:ascii="仿宋" w:eastAsia="仿宋" w:hAnsi="仿宋" w:cs="仿宋" w:hint="eastAsia"/>
            <w:lang w:eastAsia="zh-CN"/>
          </w:rPr>
          <w:t>一、社交媒体与在线营销</w:t>
        </w:r>
        <w:r>
          <w:tab/>
        </w:r>
        <w:r>
          <w:fldChar w:fldCharType="begin"/>
        </w:r>
        <w:r>
          <w:instrText xml:space="preserve"> PAGEREF _Toc21270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9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8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_Toc5058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_Toc8210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(一)、工业冷却塔项目选址原则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3" w:history="1">
        <w:r>
          <w:rPr>
            <w:rFonts w:ascii="仿宋" w:eastAsia="仿宋" w:hAnsi="仿宋" w:cs="仿宋" w:hint="eastAsia"/>
            <w:lang w:eastAsia="zh-CN"/>
          </w:rPr>
          <w:t>(五)、工业冷却塔项目选址综合评价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_Toc3301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_Toc19512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9" w:history="1">
        <w:r>
          <w:rPr>
            <w:rFonts w:ascii="仿宋" w:eastAsia="仿宋" w:hAnsi="仿宋" w:cs="仿宋" w:hint="eastAsia"/>
            <w:lang w:eastAsia="zh-CN"/>
          </w:rPr>
          <w:t>四、工业冷却塔选址方案分析</w:t>
        </w:r>
        <w:r>
          <w:tab/>
        </w:r>
        <w:r>
          <w:fldChar w:fldCharType="begin"/>
        </w:r>
        <w:r>
          <w:instrText xml:space="preserve"> PAGEREF _Toc29059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eastAsia="zh-CN"/>
          </w:rPr>
          <w:t>(一)、工业冷却塔选址影响因素</w:t>
        </w:r>
        <w:r>
          <w:tab/>
        </w:r>
        <w:r>
          <w:fldChar w:fldCharType="begin"/>
        </w:r>
        <w:r>
          <w:instrText xml:space="preserve"> PAGEREF _Toc16271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(二)、工业冷却塔选址原则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3" w:history="1">
        <w:r>
          <w:rPr>
            <w:rFonts w:ascii="仿宋" w:eastAsia="仿宋" w:hAnsi="仿宋" w:cs="仿宋" w:hint="eastAsia"/>
            <w:lang w:eastAsia="zh-CN"/>
          </w:rPr>
          <w:t>(三)、消费习惯对工业冷却塔选址的影响</w:t>
        </w:r>
        <w:r>
          <w:tab/>
        </w:r>
        <w:r>
          <w:fldChar w:fldCharType="begin"/>
        </w:r>
        <w:r>
          <w:instrText xml:space="preserve"> PAGEREF _Toc25933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0" w:history="1">
        <w:r>
          <w:rPr>
            <w:rFonts w:ascii="仿宋" w:eastAsia="仿宋" w:hAnsi="仿宋" w:cs="仿宋" w:hint="eastAsia"/>
            <w:lang w:eastAsia="zh-CN"/>
          </w:rPr>
          <w:t>(四)、消费能力对工业冷却塔选址的影响</w:t>
        </w:r>
        <w:r>
          <w:tab/>
        </w:r>
        <w:r>
          <w:fldChar w:fldCharType="begin"/>
        </w:r>
        <w:r>
          <w:instrText xml:space="preserve"> PAGEREF _Toc26150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(五)、经营成本对工业冷却塔选址的影响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4" w:history="1">
        <w:r>
          <w:rPr>
            <w:rFonts w:ascii="仿宋" w:eastAsia="仿宋" w:hAnsi="仿宋" w:cs="仿宋" w:hint="eastAsia"/>
            <w:lang w:eastAsia="zh-CN"/>
          </w:rPr>
          <w:t>(六)、交通条件对工业冷却塔选址的影响</w:t>
        </w:r>
        <w:r>
          <w:tab/>
        </w:r>
        <w:r>
          <w:fldChar w:fldCharType="begin"/>
        </w:r>
        <w:r>
          <w:instrText xml:space="preserve"> PAGEREF _Toc12914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6" w:history="1">
        <w:r>
          <w:rPr>
            <w:rFonts w:ascii="仿宋" w:eastAsia="仿宋" w:hAnsi="仿宋" w:cs="仿宋" w:hint="eastAsia"/>
            <w:lang w:eastAsia="zh-CN"/>
          </w:rPr>
          <w:t>五、工业冷却塔行业行业特征</w:t>
        </w:r>
        <w:r>
          <w:tab/>
        </w:r>
        <w:r>
          <w:fldChar w:fldCharType="begin"/>
        </w:r>
        <w:r>
          <w:instrText xml:space="preserve"> PAGEREF _Toc24156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_Toc1838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2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6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_Toc27546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" w:history="1">
        <w:r>
          <w:rPr>
            <w:rFonts w:ascii="仿宋" w:eastAsia="仿宋" w:hAnsi="仿宋" w:cs="仿宋" w:hint="eastAsia"/>
            <w:lang w:eastAsia="zh-CN"/>
          </w:rPr>
          <w:t>六、行业前景及市场预测</w:t>
        </w:r>
        <w:r>
          <w:tab/>
        </w:r>
        <w:r>
          <w:fldChar w:fldCharType="begin"/>
        </w:r>
        <w:r>
          <w:instrText xml:space="preserve"> PAGEREF _Toc1671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_Toc23158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0" w:history="1">
        <w:r>
          <w:rPr>
            <w:rFonts w:ascii="仿宋" w:eastAsia="仿宋" w:hAnsi="仿宋" w:cs="仿宋" w:hint="eastAsia"/>
            <w:lang w:eastAsia="zh-CN"/>
          </w:rPr>
          <w:t>七、建设背景及必要性分析</w:t>
        </w:r>
        <w:r>
          <w:tab/>
        </w:r>
        <w:r>
          <w:fldChar w:fldCharType="begin"/>
        </w:r>
        <w:r>
          <w:instrText xml:space="preserve"> PAGEREF _Toc28840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(一)、工业冷却塔项目承办单位背景分析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_Toc4780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5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(五)、工业冷却塔项目必要性分析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八、工业冷却塔项目承办单位基本情况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_Toc11024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76" w:history="1">
        <w:r>
          <w:rPr>
            <w:rFonts w:ascii="仿宋" w:eastAsia="仿宋" w:hAnsi="仿宋" w:cs="仿宋" w:hint="eastAsia"/>
            <w:lang w:eastAsia="zh-CN"/>
          </w:rPr>
          <w:t>九、信息技术与数字化转型</w:t>
        </w:r>
        <w:r>
          <w:tab/>
        </w:r>
        <w:r>
          <w:fldChar w:fldCharType="begin"/>
        </w:r>
        <w:r>
          <w:instrText xml:space="preserve"> PAGEREF _Toc4476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6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_Toc16356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0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_Toc31010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" w:history="1">
        <w:r>
          <w:rPr>
            <w:rFonts w:ascii="仿宋" w:eastAsia="仿宋" w:hAnsi="仿宋" w:cs="仿宋" w:hint="eastAsia"/>
            <w:lang w:eastAsia="zh-CN"/>
          </w:rPr>
          <w:t>十、财务管理与资金运作</w:t>
        </w:r>
        <w:r>
          <w:tab/>
        </w:r>
        <w:r>
          <w:fldChar w:fldCharType="begin"/>
        </w:r>
        <w:r>
          <w:instrText xml:space="preserve"> PAGEREF _Toc442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5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_Toc20135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9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_Toc29269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2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_Toc26392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3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_Toc11223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8" w:history="1">
        <w:r>
          <w:rPr>
            <w:rFonts w:ascii="仿宋" w:eastAsia="仿宋" w:hAnsi="仿宋" w:cs="仿宋" w:hint="eastAsia"/>
            <w:lang w:eastAsia="zh-CN"/>
          </w:rPr>
          <w:t>十一、工业冷却塔项目投资方案分析</w:t>
        </w:r>
        <w:r>
          <w:tab/>
        </w:r>
        <w:r>
          <w:fldChar w:fldCharType="begin"/>
        </w:r>
        <w:r>
          <w:instrText xml:space="preserve"> PAGEREF _Toc27958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(一)、工业冷却塔项目估算说明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0" w:history="1">
        <w:r>
          <w:rPr>
            <w:rFonts w:ascii="仿宋" w:eastAsia="仿宋" w:hAnsi="仿宋" w:cs="仿宋" w:hint="eastAsia"/>
            <w:lang w:eastAsia="zh-CN"/>
          </w:rPr>
          <w:t>(二)、工业冷却塔项目总投资估算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_Toc15148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十二、行业趋势与未来发展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3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_Toc16843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_Toc23765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eastAsia="zh-CN"/>
          </w:rPr>
          <w:t>十三、工业冷却塔项目实施进度</w:t>
        </w:r>
        <w:r>
          <w:tab/>
        </w:r>
        <w:r>
          <w:fldChar w:fldCharType="begin"/>
        </w:r>
        <w:r>
          <w:instrText xml:space="preserve"> PAGEREF _Toc30412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_Toc32340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_Toc25443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_Toc3444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_Toc24305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_Toc17833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5" w:history="1">
        <w:r>
          <w:rPr>
            <w:rFonts w:ascii="仿宋" w:eastAsia="仿宋" w:hAnsi="仿宋" w:cs="仿宋" w:hint="eastAsia"/>
            <w:lang w:eastAsia="zh-CN"/>
          </w:rPr>
          <w:t>(六)、工业冷却塔项目实施保障</w:t>
        </w:r>
        <w:r>
          <w:tab/>
        </w:r>
        <w:r>
          <w:fldChar w:fldCharType="begin"/>
        </w:r>
        <w:r>
          <w:instrText xml:space="preserve"> PAGEREF _Toc6665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2" w:history="1">
        <w:r>
          <w:rPr>
            <w:rFonts w:ascii="仿宋" w:eastAsia="仿宋" w:hAnsi="仿宋" w:cs="仿宋" w:hint="eastAsia"/>
            <w:lang w:eastAsia="zh-CN"/>
          </w:rPr>
          <w:t>十四、SWOT分析说明</w:t>
        </w:r>
        <w:r>
          <w:tab/>
        </w:r>
        <w:r>
          <w:fldChar w:fldCharType="begin"/>
        </w:r>
        <w:r>
          <w:instrText xml:space="preserve"> PAGEREF _Toc3392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_Toc28685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_Toc23376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_Toc27214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eastAsia="zh-CN"/>
          </w:rPr>
          <w:t>十五、跨部门协作与团队建设方案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3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2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_Toc22792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十六、工业冷却塔行业供应链管理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_Toc21373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8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_Toc23828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5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_Toc30085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4" w:history="1">
        <w:r>
          <w:rPr>
            <w:rFonts w:ascii="仿宋" w:eastAsia="仿宋" w:hAnsi="仿宋" w:cs="仿宋" w:hint="eastAsia"/>
            <w:lang w:eastAsia="zh-CN"/>
          </w:rPr>
          <w:t>十七、资金筹措与投资分析</w:t>
        </w:r>
        <w:r>
          <w:tab/>
        </w:r>
        <w:r>
          <w:fldChar w:fldCharType="begin"/>
        </w:r>
        <w:r>
          <w:instrText xml:space="preserve"> PAGEREF _Toc21354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2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_Toc29132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十八、社会责任与可持续发展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3" w:history="1">
        <w:r>
          <w:rPr>
            <w:rFonts w:ascii="仿宋" w:eastAsia="仿宋" w:hAnsi="仿宋" w:cs="仿宋" w:hint="eastAsia"/>
            <w:lang w:eastAsia="zh-CN"/>
          </w:rPr>
          <w:t>(三)、工业冷却塔项目对可持续发展的贡献</w:t>
        </w:r>
        <w:r>
          <w:tab/>
        </w:r>
        <w:r>
          <w:fldChar w:fldCharType="begin"/>
        </w:r>
        <w:r>
          <w:instrText xml:space="preserve"> PAGEREF _Toc18423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1" w:history="1">
        <w:r>
          <w:rPr>
            <w:rFonts w:ascii="仿宋" w:eastAsia="仿宋" w:hAnsi="仿宋" w:cs="仿宋" w:hint="eastAsia"/>
            <w:lang w:eastAsia="zh-CN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_Toc7951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8" w:history="1">
        <w:r>
          <w:rPr>
            <w:rFonts w:ascii="仿宋" w:eastAsia="仿宋" w:hAnsi="仿宋" w:cs="仿宋" w:hint="eastAsia"/>
            <w:lang w:eastAsia="zh-CN"/>
          </w:rPr>
          <w:t>十九、战略合作伙伴</w:t>
        </w:r>
        <w:r>
          <w:tab/>
        </w:r>
        <w:r>
          <w:fldChar w:fldCharType="begin"/>
        </w:r>
        <w:r>
          <w:instrText xml:space="preserve"> PAGEREF _Toc22138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_Toc32336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8" w:history="1">
        <w:r>
          <w:rPr>
            <w:rFonts w:ascii="仿宋" w:eastAsia="仿宋" w:hAnsi="仿宋" w:cs="仿宋" w:hint="eastAsia"/>
            <w:lang w:eastAsia="zh-CN"/>
          </w:rPr>
          <w:t>(二)、合作工业冷却塔项目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二十、战略与业务计划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3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_Toc17553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2" w:history="1">
        <w:r>
          <w:rPr>
            <w:rFonts w:ascii="仿宋" w:eastAsia="仿宋" w:hAnsi="仿宋" w:cs="仿宋" w:hint="eastAsia"/>
            <w:lang w:eastAsia="zh-CN"/>
          </w:rPr>
          <w:t>二十一、合规与风险管理</w:t>
        </w:r>
        <w:r>
          <w:tab/>
        </w:r>
        <w:r>
          <w:fldChar w:fldCharType="begin"/>
        </w:r>
        <w:r>
          <w:instrText xml:space="preserve"> PAGEREF _Toc27842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6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_Toc3336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3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_Toc29943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8" w:history="1">
        <w:r>
          <w:rPr>
            <w:rFonts w:ascii="仿宋" w:eastAsia="仿宋" w:hAnsi="仿宋" w:cs="仿宋" w:hint="eastAsia"/>
            <w:lang w:eastAsia="zh-CN"/>
          </w:rPr>
          <w:t>二十二危机管理与应急响应</w:t>
        </w:r>
        <w:r>
          <w:tab/>
        </w:r>
        <w:r>
          <w:fldChar w:fldCharType="begin"/>
        </w:r>
        <w:r>
          <w:instrText xml:space="preserve"> PAGEREF _Toc22648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6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_Toc31926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8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_Toc18498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0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_Toc3520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70"/>
      <w:r>
        <w:rPr>
          <w:rFonts w:ascii="仿宋" w:eastAsia="仿宋" w:hAnsi="仿宋" w:cs="仿宋" w:hint="eastAsia"/>
          <w:sz w:val="28"/>
          <w:lang w:eastAsia="zh-CN"/>
        </w:rPr>
        <w:t>一、社交媒体与在线营销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70"/>
      <w:r>
        <w:rPr>
          <w:rFonts w:ascii="仿宋" w:eastAsia="仿宋" w:hAnsi="仿宋" w:cs="仿宋" w:hint="eastAsia"/>
          <w:lang w:eastAsia="zh-CN"/>
        </w:rPr>
        <w:t>(一)、社交媒体策略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社交媒体平台选择：确定适合业务目标的社交媒体平台，例如XXXX等。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明确定义目标受众，包括年龄、兴趣、地理位置等，以便定制内容。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制定内容发布计划，包括帖子类型、频率、关键词等。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确定如何与受众互动，包括回应评论、私信、在线活动等。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09"/>
      <w:r>
        <w:rPr>
          <w:rFonts w:ascii="仿宋" w:eastAsia="仿宋" w:hAnsi="仿宋" w:cs="仿宋" w:hint="eastAsia"/>
          <w:sz w:val="28"/>
          <w:lang w:eastAsia="zh-CN"/>
        </w:rPr>
        <w:t>(二)、在线广告与内容营销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选择适当的网络广告渠道，如xxx和社交媒体广告等。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制定能够吸引目标受众的广告文案、图像和视频等创意内容。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确定广告预算并有效管理广告支出。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https://d.book118.com/238073005120006042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工业冷却塔项目投资建议书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工业冷却塔项目投资建议书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工业冷却塔项目投资建议书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工业冷却塔项目投资建议书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工业冷却塔项目投资建议书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B51D3C"/>
    <w:rsid w:val="4593521B"/>
    <w:rsid w:val="57B51D3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807300512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2024-02-24T16:41:00Z</dcterms:created>
  <dcterms:modified xsi:type="dcterms:W3CDTF">2024-02-24T16:42:02Z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062C201743774DEC98CED8C856676233_11</vt:lpwstr>
  </property>
  <property fmtid="{D5CDD505-2E9C-101B-9397-08002B2CF9AE}" pid="3" name="KSOProductBuildVer">
    <vt:lpwstr>2052-12.1.0.16250</vt:lpwstr>
  </property>
</Properties>
</file>