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97" w:line="244" w:lineRule="auto"/>
        <w:ind w:left="3446" w:right="2294" w:hanging="1192"/>
        <w:outlineLvl w:val="0"/>
        <w:rPr>
          <w:sz w:val="31"/>
          <w:szCs w:val="31"/>
        </w:rPr>
      </w:pPr>
      <w:r>
        <w:rPr>
          <w:spacing w:val="7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乐清湾大桥及接线工程第</w:t>
      </w:r>
      <w:r>
        <w:rPr>
          <w:spacing w:val="-59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01</w:t>
      </w:r>
      <w:r>
        <w:rPr>
          <w:spacing w:val="-59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标段</w:t>
      </w:r>
      <w:r>
        <w:rPr>
          <w:sz w:val="31"/>
          <w:szCs w:val="31"/>
        </w:rPr>
        <w:t xml:space="preserve"> </w:t>
      </w:r>
      <w:r>
        <w:rPr>
          <w:spacing w:val="9"/>
          <w:sz w:val="31"/>
          <w:szCs w:val="31"/>
          <w14:textOutline w14:w="4051">
            <w14:solidFill>
              <w14:srgbClr w14:val="000000"/>
            </w14:solidFill>
            <w14:prstDash w14:val="solid"/>
            <w14:miter w14:lim="10"/>
          </w14:textOutline>
        </w:rPr>
        <w:t>钢便桥施工方案</w:t>
      </w:r>
    </w:p>
    <w:p>
      <w:pPr>
        <w:pStyle w:val="BodyText"/>
        <w:spacing w:before="93" w:line="442" w:lineRule="exact"/>
        <w:ind w:left="60"/>
        <w:rPr>
          <w:sz w:val="28"/>
          <w:szCs w:val="28"/>
        </w:rPr>
      </w:pPr>
      <w:r>
        <w:rPr>
          <w:spacing w:val="-2"/>
          <w:position w:val="1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spacing w:val="-2"/>
          <w:position w:val="11"/>
          <w:sz w:val="28"/>
          <w:szCs w:val="28"/>
        </w:rPr>
        <w:t xml:space="preserve"> </w:t>
      </w:r>
      <w:r>
        <w:rPr>
          <w:spacing w:val="-2"/>
          <w:position w:val="1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编制依据及规范标准</w:t>
      </w:r>
    </w:p>
    <w:p>
      <w:pPr>
        <w:pStyle w:val="BodyText"/>
        <w:spacing w:before="1" w:line="219" w:lineRule="auto"/>
        <w:ind w:left="612"/>
        <w:rPr>
          <w:sz w:val="28"/>
          <w:szCs w:val="28"/>
        </w:rPr>
      </w:pP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1.1</w:t>
      </w:r>
      <w:r>
        <w:rPr>
          <w:spacing w:val="-51"/>
          <w:sz w:val="28"/>
          <w:szCs w:val="28"/>
        </w:rPr>
        <w:t xml:space="preserve"> </w:t>
      </w: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编制依据</w:t>
      </w:r>
    </w:p>
    <w:p>
      <w:pPr>
        <w:pStyle w:val="BodyText"/>
        <w:spacing w:before="140" w:line="440" w:lineRule="exact"/>
        <w:ind w:left="524"/>
      </w:pPr>
      <w:r>
        <w:rPr>
          <w:spacing w:val="-7"/>
          <w:position w:val="14"/>
        </w:rPr>
        <w:t>（1）《乐清湾大桥及接线工程第</w:t>
      </w:r>
      <w:r>
        <w:rPr>
          <w:spacing w:val="-33"/>
          <w:position w:val="14"/>
        </w:rPr>
        <w:t xml:space="preserve"> </w:t>
      </w:r>
      <w:r>
        <w:rPr>
          <w:spacing w:val="-7"/>
          <w:position w:val="14"/>
        </w:rPr>
        <w:t>01</w:t>
      </w:r>
      <w:r>
        <w:rPr>
          <w:spacing w:val="-49"/>
          <w:position w:val="14"/>
        </w:rPr>
        <w:t xml:space="preserve"> </w:t>
      </w:r>
      <w:r>
        <w:rPr>
          <w:spacing w:val="-7"/>
          <w:position w:val="14"/>
        </w:rPr>
        <w:t>标段施工设计图》</w:t>
      </w:r>
    </w:p>
    <w:p>
      <w:pPr>
        <w:pStyle w:val="BodyText"/>
        <w:spacing w:before="1" w:line="220" w:lineRule="auto"/>
        <w:ind w:left="524"/>
      </w:pPr>
      <w:r>
        <w:rPr>
          <w:spacing w:val="-2"/>
        </w:rPr>
        <w:t>（2）现行施工设计标准</w:t>
      </w:r>
    </w:p>
    <w:p>
      <w:pPr>
        <w:pStyle w:val="BodyText"/>
        <w:spacing w:before="154" w:line="220" w:lineRule="auto"/>
        <w:ind w:left="524"/>
      </w:pPr>
      <w:r>
        <w:rPr>
          <w:spacing w:val="-2"/>
        </w:rPr>
        <w:t>（3）现行施工安全技术标准</w:t>
      </w:r>
    </w:p>
    <w:p>
      <w:pPr>
        <w:pStyle w:val="BodyText"/>
        <w:spacing w:before="153" w:line="439" w:lineRule="exact"/>
        <w:ind w:left="524"/>
      </w:pPr>
      <w:r>
        <w:rPr>
          <w:spacing w:val="-5"/>
          <w:position w:val="14"/>
        </w:rPr>
        <w:t>（4）公路施工手册《桥涵》（人民交通出版社</w:t>
      </w:r>
      <w:r>
        <w:rPr>
          <w:spacing w:val="-47"/>
          <w:position w:val="14"/>
        </w:rPr>
        <w:t xml:space="preserve"> </w:t>
      </w:r>
      <w:r>
        <w:rPr>
          <w:spacing w:val="-5"/>
          <w:position w:val="14"/>
        </w:rPr>
        <w:t>200</w:t>
      </w:r>
      <w:r>
        <w:rPr>
          <w:spacing w:val="-6"/>
          <w:position w:val="14"/>
        </w:rPr>
        <w:t>0.10）</w:t>
      </w:r>
    </w:p>
    <w:p>
      <w:pPr>
        <w:pStyle w:val="BodyText"/>
        <w:spacing w:line="220" w:lineRule="auto"/>
        <w:ind w:left="524"/>
      </w:pPr>
      <w:r>
        <w:rPr>
          <w:spacing w:val="-2"/>
        </w:rPr>
        <w:t>（5）施工技术调查</w:t>
      </w:r>
    </w:p>
    <w:p>
      <w:pPr>
        <w:pStyle w:val="BodyText"/>
        <w:spacing w:before="155" w:line="220" w:lineRule="auto"/>
        <w:ind w:left="524"/>
      </w:pPr>
      <w:r>
        <w:rPr>
          <w:spacing w:val="-2"/>
        </w:rPr>
        <w:t>（6）现场踏勘及测量</w:t>
      </w:r>
    </w:p>
    <w:p>
      <w:pPr>
        <w:pStyle w:val="BodyText"/>
        <w:spacing w:before="118" w:line="221" w:lineRule="auto"/>
        <w:ind w:left="612"/>
        <w:rPr>
          <w:sz w:val="28"/>
          <w:szCs w:val="28"/>
        </w:rPr>
      </w:pP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1.2</w:t>
      </w:r>
      <w:r>
        <w:rPr>
          <w:spacing w:val="14"/>
          <w:sz w:val="28"/>
          <w:szCs w:val="28"/>
        </w:rPr>
        <w:t xml:space="preserve"> </w:t>
      </w: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规范标准</w:t>
      </w:r>
    </w:p>
    <w:p>
      <w:pPr>
        <w:pStyle w:val="BodyText"/>
        <w:spacing w:before="138" w:line="219" w:lineRule="auto"/>
        <w:ind w:left="524"/>
      </w:pPr>
      <w:r>
        <w:rPr>
          <w:spacing w:val="-5"/>
        </w:rPr>
        <w:t>（1）《公路桥涵设计通用规范》JTG D60-2004；</w:t>
      </w:r>
    </w:p>
    <w:p>
      <w:pPr>
        <w:pStyle w:val="BodyText"/>
        <w:spacing w:before="158" w:line="439" w:lineRule="exact"/>
        <w:ind w:left="524"/>
      </w:pPr>
      <w:r>
        <w:rPr>
          <w:spacing w:val="-5"/>
          <w:position w:val="15"/>
        </w:rPr>
        <w:t>（2）《公路桥涵地基与基础设计规范》JTG D63-2007；</w:t>
      </w:r>
    </w:p>
    <w:p>
      <w:pPr>
        <w:pStyle w:val="BodyText"/>
        <w:spacing w:line="220" w:lineRule="auto"/>
        <w:ind w:left="524"/>
      </w:pPr>
      <w:r>
        <w:rPr>
          <w:spacing w:val="-16"/>
        </w:rPr>
        <w:t>（3）《钢结构设计手册》（第二版</w:t>
      </w:r>
      <w:r>
        <w:rPr>
          <w:spacing w:val="-62"/>
          <w:w w:val="97"/>
        </w:rPr>
        <w:t>）；</w:t>
      </w:r>
    </w:p>
    <w:p>
      <w:pPr>
        <w:pStyle w:val="BodyText"/>
        <w:spacing w:before="153" w:line="442" w:lineRule="exact"/>
        <w:ind w:left="524"/>
      </w:pPr>
      <w:r>
        <w:rPr>
          <w:spacing w:val="-6"/>
          <w:position w:val="15"/>
        </w:rPr>
        <w:t>（4）《港口工程荷载规范》JTJ215-98；</w:t>
      </w:r>
    </w:p>
    <w:p>
      <w:pPr>
        <w:pStyle w:val="BodyText"/>
        <w:spacing w:before="1" w:line="218" w:lineRule="auto"/>
        <w:ind w:left="524"/>
      </w:pPr>
      <w:r>
        <w:rPr>
          <w:spacing w:val="-6"/>
        </w:rPr>
        <w:t>（5）《港口工程桩基规范》JTJ254-98；</w:t>
      </w:r>
    </w:p>
    <w:p>
      <w:pPr>
        <w:pStyle w:val="BodyText"/>
        <w:spacing w:before="155" w:line="439" w:lineRule="exact"/>
        <w:ind w:left="524"/>
      </w:pPr>
      <w:r>
        <w:rPr>
          <w:spacing w:val="-8"/>
          <w:position w:val="14"/>
        </w:rPr>
        <w:t>（6）《装配式公路钢桥多用途使用手册》，2004 年</w:t>
      </w:r>
      <w:r>
        <w:rPr>
          <w:spacing w:val="-33"/>
          <w:position w:val="14"/>
        </w:rPr>
        <w:t xml:space="preserve"> </w:t>
      </w:r>
      <w:r>
        <w:rPr>
          <w:spacing w:val="-8"/>
          <w:position w:val="14"/>
        </w:rPr>
        <w:t>1</w:t>
      </w:r>
      <w:r>
        <w:rPr>
          <w:spacing w:val="-45"/>
          <w:position w:val="14"/>
        </w:rPr>
        <w:t xml:space="preserve"> </w:t>
      </w:r>
      <w:r>
        <w:rPr>
          <w:spacing w:val="-8"/>
          <w:position w:val="14"/>
        </w:rPr>
        <w:t>月，人民交通出</w:t>
      </w:r>
      <w:r>
        <w:rPr>
          <w:spacing w:val="-9"/>
          <w:position w:val="14"/>
        </w:rPr>
        <w:t>版社；</w:t>
      </w:r>
    </w:p>
    <w:p>
      <w:pPr>
        <w:pStyle w:val="BodyText"/>
        <w:spacing w:before="1" w:line="218" w:lineRule="auto"/>
        <w:ind w:left="524"/>
      </w:pPr>
      <w:r>
        <w:rPr>
          <w:spacing w:val="-5"/>
        </w:rPr>
        <w:t>（7）《公路桥涵施工技术规范》JTJ041－200</w:t>
      </w:r>
      <w:r>
        <w:rPr>
          <w:spacing w:val="-6"/>
        </w:rPr>
        <w:t>0；</w:t>
      </w:r>
    </w:p>
    <w:p>
      <w:pPr>
        <w:pStyle w:val="BodyText"/>
        <w:spacing w:before="157" w:line="439" w:lineRule="exact"/>
        <w:ind w:left="524"/>
      </w:pPr>
      <w:r>
        <w:rPr>
          <w:spacing w:val="-6"/>
          <w:position w:val="15"/>
        </w:rPr>
        <w:t>（8）《施工现场临时用电安全技术规范》</w:t>
      </w:r>
      <w:r>
        <w:rPr>
          <w:spacing w:val="-65"/>
          <w:position w:val="15"/>
        </w:rPr>
        <w:t xml:space="preserve"> </w:t>
      </w:r>
      <w:r>
        <w:rPr>
          <w:spacing w:val="-6"/>
          <w:position w:val="15"/>
        </w:rPr>
        <w:t>(JGJ46-2005)；</w:t>
      </w:r>
    </w:p>
    <w:p>
      <w:pPr>
        <w:pStyle w:val="BodyText"/>
        <w:spacing w:before="1" w:line="220" w:lineRule="auto"/>
        <w:ind w:left="524"/>
      </w:pPr>
      <w:r>
        <w:rPr>
          <w:spacing w:val="-10"/>
        </w:rPr>
        <w:t>（9）《钢结构设计规范》（GB50017-2003)；</w:t>
      </w:r>
    </w:p>
    <w:p>
      <w:pPr>
        <w:pStyle w:val="BodyText"/>
        <w:spacing w:before="152" w:line="220" w:lineRule="auto"/>
        <w:ind w:left="524"/>
      </w:pPr>
      <w:r>
        <w:rPr>
          <w:spacing w:val="-8"/>
        </w:rPr>
        <w:t>（10）《路桥施工计算手册》</w:t>
      </w:r>
      <w:r>
        <w:rPr>
          <w:spacing w:val="-65"/>
        </w:rPr>
        <w:t xml:space="preserve"> </w:t>
      </w:r>
      <w:r>
        <w:rPr>
          <w:spacing w:val="-8"/>
        </w:rPr>
        <w:t>(人民交通出版社)。</w:t>
      </w:r>
    </w:p>
    <w:p>
      <w:pPr>
        <w:pStyle w:val="BodyText"/>
        <w:spacing w:before="120" w:line="221" w:lineRule="auto"/>
        <w:ind w:left="612"/>
        <w:rPr>
          <w:sz w:val="28"/>
          <w:szCs w:val="28"/>
        </w:rPr>
      </w:pP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1.3</w:t>
      </w:r>
      <w:r>
        <w:rPr>
          <w:spacing w:val="21"/>
          <w:sz w:val="28"/>
          <w:szCs w:val="28"/>
        </w:rPr>
        <w:t xml:space="preserve"> </w:t>
      </w:r>
      <w:r>
        <w:rPr>
          <w:spacing w:val="-6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编制原则</w:t>
      </w:r>
    </w:p>
    <w:p>
      <w:pPr>
        <w:pStyle w:val="BodyText"/>
        <w:spacing w:before="140" w:line="439" w:lineRule="exact"/>
        <w:ind w:left="524"/>
      </w:pPr>
      <w:r>
        <w:rPr>
          <w:spacing w:val="1"/>
          <w:position w:val="14"/>
        </w:rPr>
        <w:t>（1）充分考虑钢便桥施工的工程特点和施工环境，采用稳妥、可靠、高效的施工</w:t>
      </w:r>
    </w:p>
    <w:p>
      <w:pPr>
        <w:pStyle w:val="BodyText"/>
        <w:spacing w:line="220" w:lineRule="auto"/>
        <w:ind w:left="39"/>
      </w:pPr>
      <w:r>
        <w:t>技术方案，尽量减少人员、环境对施工带来的影响，确</w:t>
      </w:r>
      <w:r>
        <w:rPr>
          <w:spacing w:val="-1"/>
        </w:rPr>
        <w:t>保安全、顺利、快速完成。</w:t>
      </w:r>
    </w:p>
    <w:p>
      <w:pPr>
        <w:pStyle w:val="BodyText"/>
        <w:spacing w:before="156" w:line="220" w:lineRule="auto"/>
        <w:jc w:val="right"/>
      </w:pPr>
      <w:r>
        <w:rPr>
          <w:spacing w:val="-3"/>
        </w:rPr>
        <w:t>（2）充分利用近年来我公司类似工程的施工经验，因地制宜地优选施工技术方案。</w:t>
      </w:r>
    </w:p>
    <w:p>
      <w:pPr>
        <w:pStyle w:val="BodyText"/>
        <w:spacing w:before="153" w:line="439" w:lineRule="exact"/>
        <w:ind w:left="524"/>
      </w:pPr>
      <w:r>
        <w:rPr>
          <w:spacing w:val="1"/>
          <w:position w:val="14"/>
        </w:rPr>
        <w:t>（3）合理统筹安排，充分利用现有的人力、设备资源，注意环境保护，提高资源</w:t>
      </w:r>
    </w:p>
    <w:p>
      <w:pPr>
        <w:pStyle w:val="BodyText"/>
        <w:spacing w:line="220" w:lineRule="auto"/>
        <w:ind w:left="39"/>
      </w:pPr>
      <w:r>
        <w:rPr>
          <w:spacing w:val="-3"/>
        </w:rPr>
        <w:t>利用率。</w:t>
      </w:r>
    </w:p>
    <w:p>
      <w:pPr>
        <w:pStyle w:val="BodyText"/>
        <w:spacing w:before="120" w:line="221" w:lineRule="auto"/>
        <w:ind w:left="43"/>
        <w:rPr>
          <w:sz w:val="28"/>
          <w:szCs w:val="28"/>
        </w:rPr>
      </w:pP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spacing w:val="18"/>
          <w:sz w:val="28"/>
          <w:szCs w:val="28"/>
        </w:rPr>
        <w:t xml:space="preserve"> </w:t>
      </w:r>
      <w:r>
        <w:rPr>
          <w:spacing w:val="-5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工程概述</w:t>
      </w:r>
    </w:p>
    <w:p>
      <w:pPr>
        <w:pStyle w:val="BodyText"/>
        <w:spacing w:before="104" w:line="221" w:lineRule="auto"/>
        <w:ind w:left="583"/>
        <w:rPr>
          <w:sz w:val="28"/>
          <w:szCs w:val="28"/>
        </w:rPr>
        <w:sectPr>
          <w:headerReference w:type="default" r:id="rId4"/>
          <w:pgSz w:w="11906" w:h="16838"/>
          <w:pgMar w:top="1711" w:right="1328" w:bottom="0" w:left="1389" w:header="1395" w:footer="0" w:gutter="0"/>
          <w:cols w:space="708"/>
        </w:sect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2.1</w:t>
      </w:r>
      <w:r>
        <w:rPr>
          <w:spacing w:val="18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工程概况</w:t>
      </w:r>
    </w:p>
    <w:p>
      <w:pPr>
        <w:pStyle w:val="BodyText"/>
        <w:spacing w:before="140" w:line="441" w:lineRule="exact"/>
        <w:ind w:left="519"/>
      </w:pPr>
      <w:r>
        <w:rPr>
          <w:spacing w:val="-2"/>
          <w:position w:val="15"/>
        </w:rPr>
        <w:t>浙江省乐清湾大桥及接线工程路线起自温岭市城南，经玉环沙门、芦浦，通过茅埏</w:t>
      </w:r>
    </w:p>
    <w:p>
      <w:pPr>
        <w:pStyle w:val="BodyText"/>
        <w:spacing w:before="1" w:line="220" w:lineRule="auto"/>
        <w:ind w:left="56"/>
      </w:pPr>
      <w:r>
        <w:rPr>
          <w:spacing w:val="-1"/>
        </w:rPr>
        <w:t>岛跨越乐清湾，止于乐清市南塘，接已建成通车的甬台温高速公路，全长约</w:t>
      </w:r>
      <w:r>
        <w:rPr>
          <w:spacing w:val="-27"/>
        </w:rPr>
        <w:t xml:space="preserve"> </w:t>
      </w:r>
      <w:r>
        <w:rPr>
          <w:spacing w:val="-1"/>
        </w:rPr>
        <w:t>38 km。项</w:t>
      </w:r>
    </w:p>
    <w:p>
      <w:pPr>
        <w:pStyle w:val="BodyText"/>
        <w:spacing w:before="251"/>
        <w:ind w:left="2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position w:val="-15"/>
          <w:sz w:val="18"/>
          <w:szCs w:val="18"/>
        </w:rPr>
        <w:drawing>
          <wp:inline distT="0" distB="0" distL="0" distR="0">
            <wp:extent cx="286511" cy="27431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511" cy="27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中铁四局集团第二工程有限公司</w:t>
      </w:r>
      <w:r>
        <w:rPr>
          <w:spacing w:val="1"/>
          <w:sz w:val="18"/>
          <w:szCs w:val="18"/>
        </w:rPr>
        <w:t xml:space="preserve">                    </w:t>
      </w:r>
      <w:r>
        <w:rPr>
          <w:sz w:val="18"/>
          <w:szCs w:val="18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spacing w:val="-2"/>
          <w:position w:val="-6"/>
          <w:sz w:val="18"/>
          <w:szCs w:val="18"/>
        </w:rPr>
        <w:t>1</w:t>
      </w:r>
    </w:p>
    <w:p>
      <w:pPr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6"/>
          <w:type w:val="nextPage"/>
          <w:pgSz w:w="11906" w:h="16838"/>
          <w:pgMar w:top="1711" w:right="1328" w:bottom="0" w:left="1389" w:header="1395" w:footer="0" w:gutter="0"/>
          <w:pgNumType w:start="2"/>
          <w:cols w:space="708"/>
          <w:titlePg w:val="0"/>
        </w:sectPr>
      </w:pPr>
    </w:p>
    <w:p>
      <w:pPr>
        <w:pStyle w:val="BodyText"/>
        <w:spacing w:before="266" w:line="338" w:lineRule="auto"/>
        <w:ind w:left="38" w:right="49" w:firstLine="45"/>
        <w:jc w:val="both"/>
      </w:pPr>
      <w:r>
        <w:rPr>
          <w:spacing w:val="-3"/>
        </w:rPr>
        <w:t>目地处浙江东南沿海丘陵平原及岛屿区，主要位于陆域，部分跨海域及岛屿。陆域主要</w:t>
      </w:r>
      <w:r>
        <w:rPr>
          <w:spacing w:val="7"/>
        </w:rPr>
        <w:t xml:space="preserve"> </w:t>
      </w:r>
      <w:r>
        <w:rPr>
          <w:spacing w:val="-1"/>
        </w:rPr>
        <w:t>地貌类型为侵蚀剥蚀丘陵和海积平原，部分为坡洪积斜地；海域主要地</w:t>
      </w:r>
      <w:r>
        <w:rPr>
          <w:spacing w:val="-2"/>
        </w:rPr>
        <w:t>貌类型为潮滩、</w:t>
      </w:r>
    </w:p>
    <w:p>
      <w:pPr>
        <w:pStyle w:val="BodyText"/>
        <w:spacing w:line="219" w:lineRule="auto"/>
        <w:ind w:left="41"/>
      </w:pPr>
      <w:r>
        <w:rPr>
          <w:spacing w:val="-1"/>
        </w:rPr>
        <w:t>水下浅滩，靠近茅唌岛附近局部形成水下深潭。</w:t>
      </w:r>
    </w:p>
    <w:p>
      <w:pPr>
        <w:pStyle w:val="BodyText"/>
        <w:spacing w:before="158" w:line="338" w:lineRule="auto"/>
        <w:ind w:left="41" w:right="62" w:firstLine="478"/>
      </w:pPr>
      <w:r>
        <w:t>浙江省乐清湾大桥及接线工程施工便道设于线路前进方</w:t>
      </w:r>
      <w:r>
        <w:rPr>
          <w:spacing w:val="-1"/>
        </w:rPr>
        <w:t>向的右侧，在</w:t>
      </w:r>
      <w:r>
        <w:rPr>
          <w:spacing w:val="-45"/>
        </w:rPr>
        <w:t xml:space="preserve"> </w:t>
      </w:r>
      <w:r>
        <w:rPr>
          <w:spacing w:val="-1"/>
        </w:rPr>
        <w:t>K208+653.6m</w:t>
      </w:r>
      <w:r>
        <w:t xml:space="preserve"> </w:t>
      </w:r>
      <w:r>
        <w:rPr>
          <w:spacing w:val="-4"/>
        </w:rPr>
        <w:t>（桐丽河）及</w:t>
      </w:r>
      <w:r>
        <w:rPr>
          <w:spacing w:val="-42"/>
        </w:rPr>
        <w:t xml:space="preserve"> </w:t>
      </w:r>
      <w:r>
        <w:rPr>
          <w:spacing w:val="-4"/>
        </w:rPr>
        <w:t>K208+976.3m（翻身河）处有人工河横穿线路。桐丽河河宽约</w:t>
      </w:r>
      <w:r>
        <w:rPr>
          <w:spacing w:val="-33"/>
        </w:rPr>
        <w:t xml:space="preserve"> </w:t>
      </w:r>
      <w:r>
        <w:rPr>
          <w:spacing w:val="-4"/>
        </w:rPr>
        <w:t>12</w:t>
      </w:r>
      <w:r>
        <w:rPr>
          <w:spacing w:val="-51"/>
        </w:rPr>
        <w:t xml:space="preserve"> </w:t>
      </w:r>
      <w:r>
        <w:rPr>
          <w:spacing w:val="-4"/>
        </w:rPr>
        <w:t>米，与施</w:t>
      </w:r>
      <w:r>
        <w:t xml:space="preserve"> </w:t>
      </w:r>
      <w:r>
        <w:rPr>
          <w:spacing w:val="-2"/>
        </w:rPr>
        <w:t>工便道线路前进方向成 162</w:t>
      </w:r>
      <w:r>
        <w:rPr>
          <w:spacing w:val="-89"/>
        </w:rPr>
        <w:t xml:space="preserve"> </w:t>
      </w:r>
      <w:r>
        <w:rPr>
          <w:spacing w:val="-2"/>
        </w:rPr>
        <w:t>°夹角；翻身河河宽约 16 米，与施</w:t>
      </w:r>
      <w:r>
        <w:rPr>
          <w:spacing w:val="-3"/>
        </w:rPr>
        <w:t>工便道线路前进方向成</w:t>
      </w:r>
    </w:p>
    <w:p>
      <w:pPr>
        <w:pStyle w:val="BodyText"/>
        <w:spacing w:line="219" w:lineRule="auto"/>
        <w:ind w:left="55"/>
      </w:pPr>
      <w:r>
        <w:rPr>
          <w:spacing w:val="-2"/>
        </w:rPr>
        <w:t>102</w:t>
      </w:r>
      <w:r>
        <w:rPr>
          <w:spacing w:val="-76"/>
        </w:rPr>
        <w:t xml:space="preserve"> </w:t>
      </w:r>
      <w:r>
        <w:rPr>
          <w:spacing w:val="-2"/>
        </w:rPr>
        <w:t>°夹角。为满足施工要求，贯通施工便道，需沿左线外侧在河中搭设便桥。</w:t>
      </w:r>
    </w:p>
    <w:p>
      <w:pPr>
        <w:pStyle w:val="BodyText"/>
        <w:spacing w:before="154" w:line="439" w:lineRule="exact"/>
        <w:jc w:val="right"/>
      </w:pPr>
      <w:r>
        <w:rPr>
          <w:spacing w:val="7"/>
          <w:position w:val="14"/>
        </w:rPr>
        <w:t>便桥采用钢管桩基础+</w:t>
      </w:r>
      <w:r>
        <w:rPr>
          <w:position w:val="14"/>
        </w:rPr>
        <w:t>ZB</w:t>
      </w:r>
      <w:r>
        <w:rPr>
          <w:spacing w:val="7"/>
          <w:position w:val="14"/>
        </w:rPr>
        <w:t>-200 型装配式贝雷</w:t>
      </w:r>
      <w:r>
        <w:rPr>
          <w:spacing w:val="6"/>
          <w:position w:val="14"/>
        </w:rPr>
        <w:t>梁钢桥。跨桐丽河钢便桥桥跨布置：</w:t>
      </w:r>
    </w:p>
    <w:p>
      <w:pPr>
        <w:pStyle w:val="BodyText"/>
        <w:spacing w:line="219" w:lineRule="auto"/>
        <w:ind w:left="44"/>
      </w:pPr>
      <w:r>
        <w:rPr>
          <w:spacing w:val="-1"/>
        </w:rPr>
        <w:t>（1.5+12+12+12+1.5）m，总长</w:t>
      </w:r>
      <w:r>
        <w:rPr>
          <w:spacing w:val="-34"/>
        </w:rPr>
        <w:t xml:space="preserve"> </w:t>
      </w:r>
      <w:r>
        <w:rPr>
          <w:spacing w:val="-1"/>
        </w:rPr>
        <w:t>39m，跨翻身河钢便桥采用跨度(1.5)。</w:t>
      </w:r>
    </w:p>
    <w:p>
      <w:pPr>
        <w:pStyle w:val="BodyText"/>
        <w:spacing w:before="157" w:line="219" w:lineRule="auto"/>
        <w:ind w:left="519"/>
      </w:pPr>
      <w:r>
        <w:rPr>
          <w:spacing w:val="-7"/>
        </w:rPr>
        <w:t>便桥详细结构、尺寸见附图《施工便桥结构图》。</w:t>
      </w:r>
    </w:p>
    <w:p>
      <w:pPr>
        <w:pStyle w:val="BodyText"/>
        <w:spacing w:before="118" w:line="221" w:lineRule="auto"/>
        <w:ind w:left="590"/>
        <w:outlineLvl w:val="0"/>
        <w:rPr>
          <w:sz w:val="28"/>
          <w:szCs w:val="28"/>
        </w:rPr>
      </w:pP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2.2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气象及水文</w:t>
      </w:r>
    </w:p>
    <w:p>
      <w:pPr>
        <w:pStyle w:val="BodyText"/>
        <w:spacing w:before="140" w:line="441" w:lineRule="exact"/>
        <w:ind w:right="59"/>
        <w:jc w:val="right"/>
      </w:pPr>
      <w:r>
        <w:rPr>
          <w:spacing w:val="-1"/>
          <w:position w:val="15"/>
        </w:rPr>
        <w:t>本项目位于浙江东南沿海，属亚热带季风气候，7-9</w:t>
      </w:r>
      <w:r>
        <w:rPr>
          <w:spacing w:val="-20"/>
          <w:position w:val="15"/>
        </w:rPr>
        <w:t xml:space="preserve"> </w:t>
      </w:r>
      <w:r>
        <w:rPr>
          <w:spacing w:val="-1"/>
          <w:position w:val="15"/>
        </w:rPr>
        <w:t>月台风期台风较为频繁，其风</w:t>
      </w:r>
    </w:p>
    <w:p>
      <w:pPr>
        <w:pStyle w:val="BodyText"/>
        <w:spacing w:line="220" w:lineRule="auto"/>
        <w:ind w:left="42"/>
      </w:pPr>
      <w:r>
        <w:rPr>
          <w:spacing w:val="-4"/>
        </w:rPr>
        <w:t>力一般为</w:t>
      </w:r>
      <w:r>
        <w:rPr>
          <w:spacing w:val="-48"/>
        </w:rPr>
        <w:t xml:space="preserve"> </w:t>
      </w:r>
      <w:r>
        <w:rPr>
          <w:spacing w:val="-4"/>
        </w:rPr>
        <w:t>8-12</w:t>
      </w:r>
      <w:r>
        <w:rPr>
          <w:spacing w:val="-47"/>
        </w:rPr>
        <w:t xml:space="preserve"> </w:t>
      </w:r>
      <w:r>
        <w:rPr>
          <w:spacing w:val="-4"/>
        </w:rPr>
        <w:t>级。</w:t>
      </w:r>
    </w:p>
    <w:p>
      <w:pPr>
        <w:pStyle w:val="BodyText"/>
        <w:spacing w:before="119" w:line="221" w:lineRule="auto"/>
        <w:ind w:left="599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2.3</w:t>
      </w:r>
      <w:r>
        <w:rPr>
          <w:spacing w:val="18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工程地质</w:t>
      </w:r>
    </w:p>
    <w:p>
      <w:pPr>
        <w:pStyle w:val="BodyText"/>
        <w:spacing w:before="138" w:line="339" w:lineRule="auto"/>
        <w:ind w:left="38" w:right="62" w:firstLine="480"/>
      </w:pPr>
      <w:r>
        <w:rPr>
          <w:spacing w:val="2"/>
        </w:rPr>
        <w:t>桥址区上部以海相淤泥及软-流塑状黏土为主，中部分布</w:t>
      </w:r>
      <w:r>
        <w:rPr>
          <w:spacing w:val="1"/>
        </w:rPr>
        <w:t>坡洪积含角砾粉质粘土、</w:t>
      </w:r>
      <w:r>
        <w:t xml:space="preserve"> </w:t>
      </w:r>
      <w:r>
        <w:rPr>
          <w:spacing w:val="-2"/>
        </w:rPr>
        <w:t>含黏性土角砾、可塑粉质粘土及海积软塑黏土等，呈互层状分布，局部夹透镜体，下部</w:t>
      </w:r>
    </w:p>
    <w:p>
      <w:pPr>
        <w:pStyle w:val="BodyText"/>
        <w:spacing w:line="219" w:lineRule="auto"/>
        <w:ind w:left="41"/>
      </w:pPr>
      <w:r>
        <w:rPr>
          <w:spacing w:val="-1"/>
        </w:rPr>
        <w:t>为厚层状坡洪积含角砾粉质黏土及含黏性土角砾等。</w:t>
      </w:r>
    </w:p>
    <w:p>
      <w:pPr>
        <w:pStyle w:val="BodyText"/>
        <w:spacing w:before="119" w:line="221" w:lineRule="auto"/>
        <w:ind w:left="595"/>
        <w:outlineLvl w:val="0"/>
        <w:rPr>
          <w:sz w:val="28"/>
          <w:szCs w:val="28"/>
        </w:rPr>
      </w:pP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2.4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主要技术标准</w:t>
      </w:r>
    </w:p>
    <w:p>
      <w:pPr>
        <w:pStyle w:val="BodyText"/>
        <w:spacing w:before="142" w:line="217" w:lineRule="auto"/>
        <w:ind w:left="522"/>
      </w:pPr>
      <w:r>
        <w:rPr>
          <w:spacing w:val="-2"/>
        </w:rPr>
        <w:t>设计荷载：50t</w:t>
      </w:r>
      <w:r>
        <w:rPr>
          <w:spacing w:val="-41"/>
        </w:rPr>
        <w:t xml:space="preserve"> </w:t>
      </w:r>
      <w:r>
        <w:rPr>
          <w:spacing w:val="-2"/>
        </w:rPr>
        <w:t>汽车荷载,100t</w:t>
      </w:r>
      <w:r>
        <w:rPr>
          <w:spacing w:val="-47"/>
        </w:rPr>
        <w:t xml:space="preserve"> </w:t>
      </w:r>
      <w:r>
        <w:rPr>
          <w:spacing w:val="-2"/>
        </w:rPr>
        <w:t>履带吊荷载</w:t>
      </w:r>
    </w:p>
    <w:p>
      <w:pPr>
        <w:pStyle w:val="BodyText"/>
        <w:spacing w:before="157" w:line="220" w:lineRule="auto"/>
        <w:ind w:left="519"/>
      </w:pPr>
      <w:r>
        <w:rPr>
          <w:spacing w:val="-1"/>
        </w:rPr>
        <w:t>便桥类型：三排单层加强型贝雷梁，下承式</w:t>
      </w:r>
    </w:p>
    <w:p>
      <w:pPr>
        <w:pStyle w:val="BodyText"/>
        <w:spacing w:before="153" w:line="221" w:lineRule="auto"/>
        <w:ind w:left="518"/>
      </w:pPr>
      <w:r>
        <w:rPr>
          <w:spacing w:val="-2"/>
        </w:rPr>
        <w:t>桥面净宽：7.0m</w:t>
      </w:r>
    </w:p>
    <w:p>
      <w:pPr>
        <w:pStyle w:val="BodyText"/>
        <w:spacing w:before="155" w:line="219" w:lineRule="auto"/>
        <w:ind w:left="518"/>
      </w:pPr>
      <w:r>
        <w:rPr>
          <w:spacing w:val="-1"/>
        </w:rPr>
        <w:t>桥跨布置：跨桐丽河</w:t>
      </w:r>
      <w:r>
        <w:rPr>
          <w:spacing w:val="-33"/>
        </w:rPr>
        <w:t xml:space="preserve"> </w:t>
      </w:r>
      <w:r>
        <w:rPr>
          <w:spacing w:val="-1"/>
        </w:rPr>
        <w:t>1.5+12+12+</w:t>
      </w:r>
      <w:r>
        <w:rPr>
          <w:spacing w:val="-2"/>
        </w:rPr>
        <w:t>12+1.5m，跨翻身河</w:t>
      </w:r>
      <w:r>
        <w:rPr>
          <w:spacing w:val="-33"/>
        </w:rPr>
        <w:t xml:space="preserve"> </w:t>
      </w:r>
      <w:r>
        <w:rPr>
          <w:spacing w:val="-2"/>
        </w:rPr>
        <w:t>1.5+15+1.5m</w:t>
      </w:r>
    </w:p>
    <w:p>
      <w:pPr>
        <w:pStyle w:val="BodyText"/>
        <w:spacing w:before="154" w:line="220" w:lineRule="auto"/>
        <w:ind w:left="519"/>
      </w:pPr>
      <w:r>
        <w:t>便桥中心对应线路里程：跨桐丽河：K208+653</w:t>
      </w:r>
      <w:r>
        <w:rPr>
          <w:spacing w:val="-1"/>
        </w:rPr>
        <w:t>.6，跨翻身河</w:t>
      </w:r>
      <w:r>
        <w:rPr>
          <w:spacing w:val="-55"/>
        </w:rPr>
        <w:t xml:space="preserve"> </w:t>
      </w:r>
      <w:r>
        <w:rPr>
          <w:spacing w:val="-1"/>
        </w:rPr>
        <w:t>K208+976.3</w:t>
      </w:r>
    </w:p>
    <w:p>
      <w:pPr>
        <w:pStyle w:val="BodyText"/>
        <w:spacing w:before="153" w:line="220" w:lineRule="auto"/>
        <w:ind w:left="519"/>
      </w:pPr>
      <w:r>
        <w:rPr>
          <w:spacing w:val="-2"/>
        </w:rPr>
        <w:t>便桥中心距线路左线中心距离：跨桐丽河</w:t>
      </w:r>
      <w:r>
        <w:rPr>
          <w:spacing w:val="-29"/>
        </w:rPr>
        <w:t xml:space="preserve"> </w:t>
      </w:r>
      <w:r>
        <w:rPr>
          <w:spacing w:val="-2"/>
        </w:rPr>
        <w:t>14.33m，跨翻身河</w:t>
      </w:r>
      <w:r>
        <w:rPr>
          <w:spacing w:val="-33"/>
        </w:rPr>
        <w:t xml:space="preserve"> </w:t>
      </w:r>
      <w:r>
        <w:rPr>
          <w:spacing w:val="-2"/>
        </w:rPr>
        <w:t>13.42m</w:t>
      </w:r>
    </w:p>
    <w:p>
      <w:pPr>
        <w:pStyle w:val="BodyText"/>
        <w:spacing w:before="120" w:line="221" w:lineRule="auto"/>
        <w:ind w:left="595"/>
        <w:outlineLvl w:val="0"/>
        <w:rPr>
          <w:sz w:val="28"/>
          <w:szCs w:val="28"/>
        </w:rPr>
      </w:pP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2.5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3568">
            <w14:solidFill>
              <w14:srgbClr w14:val="000000"/>
            </w14:solidFill>
            <w14:prstDash w14:val="solid"/>
            <w14:miter w14:lim="10"/>
          </w14:textOutline>
        </w:rPr>
        <w:t>主要工程数量</w:t>
      </w:r>
    </w:p>
    <w:p>
      <w:pPr>
        <w:pStyle w:val="BodyText"/>
        <w:spacing w:before="140" w:line="220" w:lineRule="auto"/>
        <w:ind w:left="517"/>
      </w:pPr>
      <w:r>
        <w:rPr>
          <w:spacing w:val="-1"/>
        </w:rPr>
        <w:t>施工便桥主要工程数量表见表-1；</w:t>
      </w:r>
    </w:p>
    <w:p>
      <w:pPr>
        <w:pStyle w:val="BodyText"/>
        <w:spacing w:before="40" w:line="220" w:lineRule="auto"/>
        <w:ind w:left="2972"/>
      </w:pPr>
      <w:r>
        <w:rPr>
          <w:spacing w:val="-1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spacing w:val="-40"/>
        </w:rPr>
        <w:t xml:space="preserve"> </w:t>
      </w:r>
      <w:r>
        <w:rPr>
          <w:spacing w:val="-1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2-1</w:t>
      </w:r>
      <w:r>
        <w:rPr>
          <w:spacing w:val="-1"/>
        </w:rPr>
        <w:t xml:space="preserve"> </w:t>
      </w:r>
      <w:r>
        <w:rPr>
          <w:spacing w:val="-1"/>
          <w14:textOutline w14:w="3048">
            <w14:solidFill>
              <w14:srgbClr w14:val="000000"/>
            </w14:solidFill>
            <w14:prstDash w14:val="solid"/>
            <w14:miter w14:lim="10"/>
          </w14:textOutline>
        </w:rPr>
        <w:t>施工便桥主要工程数量</w:t>
      </w:r>
    </w:p>
    <w:tbl>
      <w:tblPr>
        <w:tblStyle w:val="TableNormal0"/>
        <w:tblW w:w="8644" w:type="dxa"/>
        <w:tblInd w:w="3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0"/>
        <w:gridCol w:w="2003"/>
        <w:gridCol w:w="2519"/>
        <w:gridCol w:w="899"/>
        <w:gridCol w:w="899"/>
        <w:gridCol w:w="1624"/>
      </w:tblGrid>
      <w:tr>
        <w:tblPrEx>
          <w:tblW w:w="8644" w:type="dxa"/>
          <w:tblInd w:w="3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1"/>
        </w:trPr>
        <w:tc>
          <w:tcPr>
            <w:tcW w:w="700" w:type="dxa"/>
            <w:vAlign w:val="top"/>
          </w:tcPr>
          <w:p>
            <w:pPr>
              <w:pStyle w:val="TableText"/>
              <w:spacing w:before="125" w:line="223" w:lineRule="auto"/>
              <w:ind w:left="143"/>
            </w:pPr>
            <w:r>
              <w:rPr>
                <w:spacing w:val="-2"/>
              </w:rPr>
              <w:t>序号</w:t>
            </w:r>
          </w:p>
        </w:tc>
        <w:tc>
          <w:tcPr>
            <w:tcW w:w="2003" w:type="dxa"/>
            <w:vAlign w:val="top"/>
          </w:tcPr>
          <w:p>
            <w:pPr>
              <w:pStyle w:val="TableText"/>
              <w:spacing w:before="125" w:line="223" w:lineRule="auto"/>
              <w:ind w:left="796"/>
            </w:pPr>
            <w:r>
              <w:rPr>
                <w:spacing w:val="-3"/>
              </w:rPr>
              <w:t>名称</w:t>
            </w:r>
          </w:p>
        </w:tc>
        <w:tc>
          <w:tcPr>
            <w:tcW w:w="2519" w:type="dxa"/>
            <w:vAlign w:val="top"/>
          </w:tcPr>
          <w:p>
            <w:pPr>
              <w:pStyle w:val="TableText"/>
              <w:spacing w:before="125" w:line="221" w:lineRule="auto"/>
              <w:ind w:left="1054"/>
            </w:pPr>
            <w:r>
              <w:rPr>
                <w:spacing w:val="-2"/>
              </w:rPr>
              <w:t>规格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25" w:line="222" w:lineRule="auto"/>
              <w:ind w:left="245"/>
            </w:pPr>
            <w:r>
              <w:rPr>
                <w:spacing w:val="-2"/>
              </w:rPr>
              <w:t>单位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25" w:line="221" w:lineRule="auto"/>
              <w:ind w:left="246"/>
            </w:pPr>
            <w:r>
              <w:rPr>
                <w:spacing w:val="-2"/>
              </w:rPr>
              <w:t>数量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spacing w:before="125" w:line="223" w:lineRule="auto"/>
              <w:ind w:left="608"/>
            </w:pPr>
            <w:r>
              <w:rPr>
                <w:spacing w:val="-3"/>
              </w:rPr>
              <w:t>备注</w:t>
            </w:r>
          </w:p>
        </w:tc>
      </w:tr>
      <w:tr>
        <w:tblPrEx>
          <w:tblW w:w="8644" w:type="dxa"/>
          <w:tblInd w:w="386" w:type="dxa"/>
          <w:tblLayout w:type="fixed"/>
        </w:tblPrEx>
        <w:trPr>
          <w:trHeight w:val="459"/>
        </w:trPr>
        <w:tc>
          <w:tcPr>
            <w:tcW w:w="700" w:type="dxa"/>
            <w:vAlign w:val="top"/>
          </w:tcPr>
          <w:p>
            <w:pPr>
              <w:pStyle w:val="TableText"/>
              <w:spacing w:before="155" w:line="184" w:lineRule="auto"/>
              <w:ind w:left="318"/>
            </w:pPr>
            <w:r>
              <w:t>1</w:t>
            </w:r>
          </w:p>
        </w:tc>
        <w:tc>
          <w:tcPr>
            <w:tcW w:w="2003" w:type="dxa"/>
            <w:vAlign w:val="top"/>
          </w:tcPr>
          <w:p>
            <w:pPr>
              <w:pStyle w:val="TableText"/>
              <w:spacing w:before="122" w:line="221" w:lineRule="auto"/>
              <w:ind w:left="337"/>
            </w:pPr>
            <w:r>
              <w:rPr>
                <w:spacing w:val="-6"/>
              </w:rPr>
              <w:t>φ630*8mm</w:t>
            </w:r>
            <w:r>
              <w:rPr>
                <w:spacing w:val="-40"/>
              </w:rPr>
              <w:t xml:space="preserve"> </w:t>
            </w:r>
            <w:r>
              <w:rPr>
                <w:spacing w:val="-6"/>
              </w:rPr>
              <w:t>钢管</w:t>
            </w:r>
          </w:p>
        </w:tc>
        <w:tc>
          <w:tcPr>
            <w:tcW w:w="2519" w:type="dxa"/>
            <w:vAlign w:val="top"/>
          </w:tcPr>
          <w:p>
            <w:pPr>
              <w:pStyle w:val="TableText"/>
              <w:spacing w:before="155" w:line="184" w:lineRule="auto"/>
              <w:ind w:left="1122"/>
            </w:pPr>
            <w:r>
              <w:rPr>
                <w:spacing w:val="-5"/>
              </w:rPr>
              <w:t>12m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22" w:line="222" w:lineRule="auto"/>
              <w:ind w:left="349"/>
            </w:pPr>
            <w:r>
              <w:t>根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55" w:line="184" w:lineRule="auto"/>
              <w:ind w:left="366"/>
            </w:pPr>
            <w:r>
              <w:rPr>
                <w:spacing w:val="-6"/>
              </w:rPr>
              <w:t>12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spacing w:before="122" w:line="221" w:lineRule="auto"/>
              <w:ind w:left="500"/>
            </w:pPr>
            <w:r>
              <w:rPr>
                <w:spacing w:val="-2"/>
              </w:rPr>
              <w:t>挡土墩</w:t>
            </w:r>
          </w:p>
        </w:tc>
      </w:tr>
    </w:tbl>
    <w:p>
      <w:pPr>
        <w:sectPr>
          <w:headerReference w:type="default" r:id="rId7"/>
          <w:pgSz w:w="11906" w:h="16838"/>
          <w:pgMar w:top="1711" w:right="1352" w:bottom="0" w:left="1389" w:header="1395" w:footer="0" w:gutter="0"/>
          <w:pgNumType w:start="3"/>
          <w:cols w:space="708"/>
        </w:sectPr>
      </w:pPr>
    </w:p>
    <w:tbl>
      <w:tblPr>
        <w:tblStyle w:val="TableNormal1"/>
        <w:tblW w:w="8644" w:type="dxa"/>
        <w:tblInd w:w="3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0"/>
        <w:gridCol w:w="2003"/>
        <w:gridCol w:w="2519"/>
        <w:gridCol w:w="899"/>
        <w:gridCol w:w="899"/>
        <w:gridCol w:w="1624"/>
      </w:tblGrid>
      <w:tr>
        <w:tblPrEx>
          <w:tblW w:w="8644" w:type="dxa"/>
          <w:tblInd w:w="3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7"/>
        </w:trPr>
        <w:tc>
          <w:tcPr>
            <w:tcW w:w="700" w:type="dxa"/>
            <w:vAlign w:val="top"/>
          </w:tcPr>
          <w:p>
            <w:pPr>
              <w:pStyle w:val="TableText"/>
              <w:spacing w:before="157" w:line="184" w:lineRule="auto"/>
              <w:ind w:left="305"/>
            </w:pPr>
            <w:r>
              <w:t>2</w:t>
            </w:r>
          </w:p>
        </w:tc>
        <w:tc>
          <w:tcPr>
            <w:tcW w:w="2003" w:type="dxa"/>
            <w:vAlign w:val="top"/>
          </w:tcPr>
          <w:p>
            <w:pPr>
              <w:pStyle w:val="TableText"/>
              <w:spacing w:before="124" w:line="221" w:lineRule="auto"/>
              <w:ind w:left="287"/>
            </w:pPr>
            <w:r>
              <w:rPr>
                <w:spacing w:val="-6"/>
              </w:rPr>
              <w:t>φ800*10mm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钢管</w:t>
            </w:r>
          </w:p>
        </w:tc>
        <w:tc>
          <w:tcPr>
            <w:tcW w:w="2519" w:type="dxa"/>
            <w:vAlign w:val="top"/>
          </w:tcPr>
          <w:p>
            <w:pPr>
              <w:pStyle w:val="TableText"/>
              <w:spacing w:before="157" w:line="184" w:lineRule="auto"/>
              <w:ind w:left="1122"/>
            </w:pPr>
            <w:r>
              <w:rPr>
                <w:spacing w:val="-5"/>
              </w:rPr>
              <w:t>12m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24" w:line="222" w:lineRule="auto"/>
              <w:ind w:left="349"/>
            </w:pPr>
            <w:r>
              <w:t>根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57" w:line="184" w:lineRule="auto"/>
              <w:ind w:left="353"/>
            </w:pPr>
            <w:r>
              <w:rPr>
                <w:spacing w:val="-3"/>
              </w:rPr>
              <w:t>20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spacing w:before="124" w:line="222" w:lineRule="auto"/>
              <w:ind w:left="397"/>
            </w:pPr>
            <w:r>
              <w:rPr>
                <w:spacing w:val="-2"/>
              </w:rPr>
              <w:t>支墩基础</w:t>
            </w:r>
          </w:p>
        </w:tc>
      </w:tr>
      <w:tr>
        <w:tblPrEx>
          <w:tblW w:w="8644" w:type="dxa"/>
          <w:tblInd w:w="386" w:type="dxa"/>
          <w:tblLayout w:type="fixed"/>
        </w:tblPrEx>
        <w:trPr>
          <w:trHeight w:val="462"/>
        </w:trPr>
        <w:tc>
          <w:tcPr>
            <w:tcW w:w="700" w:type="dxa"/>
            <w:vAlign w:val="top"/>
          </w:tcPr>
          <w:p>
            <w:pPr>
              <w:pStyle w:val="TableText"/>
              <w:spacing w:before="158" w:line="184" w:lineRule="auto"/>
              <w:ind w:left="307"/>
            </w:pPr>
            <w:r>
              <w:t>3</w:t>
            </w:r>
          </w:p>
        </w:tc>
        <w:tc>
          <w:tcPr>
            <w:tcW w:w="2003" w:type="dxa"/>
            <w:vAlign w:val="top"/>
          </w:tcPr>
          <w:p>
            <w:pPr>
              <w:pStyle w:val="TableText"/>
              <w:spacing w:before="125" w:line="221" w:lineRule="auto"/>
              <w:ind w:left="464"/>
            </w:pPr>
            <w:r>
              <w:rPr>
                <w:spacing w:val="-4"/>
              </w:rPr>
              <w:t>I40a</w:t>
            </w:r>
            <w:r>
              <w:rPr>
                <w:spacing w:val="-43"/>
              </w:rPr>
              <w:t xml:space="preserve"> </w:t>
            </w:r>
            <w:r>
              <w:rPr>
                <w:spacing w:val="-4"/>
              </w:rPr>
              <w:t>工字钢</w:t>
            </w:r>
          </w:p>
        </w:tc>
        <w:tc>
          <w:tcPr>
            <w:tcW w:w="2519" w:type="dxa"/>
            <w:vAlign w:val="top"/>
          </w:tcPr>
          <w:p>
            <w:pPr>
              <w:pStyle w:val="TableText"/>
              <w:spacing w:before="158" w:line="184" w:lineRule="auto"/>
              <w:ind w:left="1160"/>
            </w:pPr>
            <w:r>
              <w:rPr>
                <w:spacing w:val="-2"/>
              </w:rPr>
              <w:t>9m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25" w:line="222" w:lineRule="auto"/>
              <w:ind w:left="349"/>
            </w:pPr>
            <w:r>
              <w:t>根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157" w:line="185" w:lineRule="auto"/>
              <w:ind w:left="366"/>
            </w:pPr>
            <w:r>
              <w:rPr>
                <w:spacing w:val="-6"/>
              </w:rPr>
              <w:t>10</w:t>
            </w:r>
          </w:p>
        </w:tc>
        <w:tc>
          <w:tcPr>
            <w:tcW w:w="1624" w:type="dxa"/>
            <w:vAlign w:val="top"/>
          </w:tcPr>
          <w:p>
            <w:pPr>
              <w:pStyle w:val="TableText"/>
              <w:spacing w:before="125" w:line="221" w:lineRule="auto"/>
              <w:ind w:left="397"/>
            </w:pPr>
            <w:r>
              <w:rPr>
                <w:spacing w:val="-2"/>
              </w:rPr>
              <w:t>桩顶横梁</w:t>
            </w:r>
          </w:p>
        </w:tc>
      </w:tr>
    </w:tbl>
    <w:p>
      <w:pPr>
        <w:pStyle w:val="BodyText"/>
        <w:spacing w:before="113"/>
        <w:ind w:left="2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position w:val="-15"/>
          <w:sz w:val="18"/>
          <w:szCs w:val="18"/>
        </w:rPr>
        <w:drawing>
          <wp:inline distT="0" distB="0" distL="0" distR="0">
            <wp:extent cx="286511" cy="27431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511" cy="27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sz w:val="18"/>
          <w:szCs w:val="18"/>
        </w:rPr>
        <w:t xml:space="preserve"> </w:t>
      </w:r>
      <w:r>
        <w:rPr>
          <w:sz w:val="18"/>
          <w:szCs w:val="18"/>
        </w:rPr>
        <w:t xml:space="preserve">中铁四局集团第二工程有限公司                                     </w:t>
      </w:r>
      <w:r>
        <w:rPr>
          <w:spacing w:val="-1"/>
          <w:sz w:val="18"/>
          <w:szCs w:val="18"/>
        </w:rPr>
        <w:t xml:space="preserve">                       </w:t>
      </w:r>
      <w:r>
        <w:rPr>
          <w:rFonts w:ascii="Times New Roman" w:eastAsia="Times New Roman" w:hAnsi="Times New Roman" w:cs="Times New Roman"/>
          <w:spacing w:val="-1"/>
          <w:position w:val="-6"/>
          <w:sz w:val="18"/>
          <w:szCs w:val="18"/>
        </w:rPr>
        <w:t>2</w:t>
      </w:r>
    </w:p>
    <w:p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/>
      </w:r>
      <w:r>
        <w:rPr>
          <w:rFonts w:ascii="Times New Roman" w:eastAsia="Times New Roman" w:hAnsi="Times New Roman" w:cs="Times New Roman"/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https://d.book118.com/238111140101006042</w:t>
        </w:r>
      </w:hyperlink>
    </w:p>
    <w:p>
      <w:pPr>
        <w:rPr>
          <w:rFonts w:ascii="Times New Roman" w:eastAsia="Times New Roman" w:hAnsi="Times New Roman" w:cs="Times New Roman"/>
          <w:sz w:val="18"/>
          <w:szCs w:val="18"/>
        </w:rPr>
      </w:pPr>
    </w:p>
    <w:sectPr>
      <w:headerReference w:type="default" r:id="rId9"/>
      <w:type w:val="nextPage"/>
      <w:pgSz w:w="11906" w:h="16838"/>
      <w:pgMar w:top="1711" w:right="1352" w:bottom="0" w:left="1389" w:header="1395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0" w:lineRule="auto"/>
      <w:ind w:left="41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4.85pt;height:12.75pt;margin-top:-1pt;margin-left:385.09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0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  <w14:textOutline w14:w="2286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钢便桥施工方案</w:t>
                </w:r>
              </w:p>
            </w:txbxContent>
          </v:textbox>
        </v:shape>
      </w:pic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乐清湾大桥及接线工程第</w:t>
    </w:r>
    <w:r>
      <w:rPr>
        <w:spacing w:val="-24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01</w:t>
    </w:r>
    <w:r>
      <w:rPr>
        <w:spacing w:val="-35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标段</w:t>
    </w:r>
  </w:p>
  <w:p>
    <w:pPr>
      <w:spacing w:before="12" w:line="78" w:lineRule="exact"/>
    </w:pPr>
    <w:r>
      <w:rPr>
        <w:position w:val="-1"/>
      </w:rPr>
      <w:drawing>
        <wp:inline distT="0" distB="0" distL="0" distR="0">
          <wp:extent cx="5795771" cy="50038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795771" cy="500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0" w:lineRule="auto"/>
      <w:ind w:left="41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4.85pt;height:12.75pt;margin-top:-1pt;margin-left:385.09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0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  <w14:textOutline w14:w="2286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钢便桥施工方案</w:t>
                </w:r>
              </w:p>
            </w:txbxContent>
          </v:textbox>
        </v:shape>
      </w:pic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乐清湾大桥及接线工程第</w:t>
    </w:r>
    <w:r>
      <w:rPr>
        <w:spacing w:val="-24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01</w:t>
    </w:r>
    <w:r>
      <w:rPr>
        <w:spacing w:val="-35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标段</w:t>
    </w:r>
  </w:p>
  <w:p>
    <w:pPr>
      <w:spacing w:before="12" w:line="78" w:lineRule="exact"/>
    </w:pPr>
    <w:r>
      <w:rPr>
        <w:position w:val="-1"/>
      </w:rPr>
      <w:drawing>
        <wp:inline distT="0" distB="0" distL="0" distR="0">
          <wp:extent cx="5795771" cy="50038"/>
          <wp:effectExtent l="0" t="0" r="0" b="0"/>
          <wp:docPr id="14128471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8471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795771" cy="500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0" w:lineRule="auto"/>
      <w:ind w:left="41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4.85pt;height:12.75pt;margin-top:-1pt;margin-left:385.09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0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  <w14:textOutline w14:w="2286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钢便桥施工方案</w:t>
                </w:r>
              </w:p>
            </w:txbxContent>
          </v:textbox>
        </v:shape>
      </w:pic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乐清湾大桥及接线工程第</w:t>
    </w:r>
    <w:r>
      <w:rPr>
        <w:spacing w:val="-24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01</w:t>
    </w:r>
    <w:r>
      <w:rPr>
        <w:spacing w:val="-35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标段</w:t>
    </w:r>
  </w:p>
  <w:p>
    <w:pPr>
      <w:spacing w:before="12" w:line="78" w:lineRule="exact"/>
    </w:pPr>
    <w:r>
      <w:rPr>
        <w:position w:val="-1"/>
      </w:rPr>
      <w:drawing>
        <wp:inline distT="0" distB="0" distL="0" distR="0">
          <wp:extent cx="5795771" cy="50038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795771" cy="500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0" w:lineRule="auto"/>
      <w:ind w:left="41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4.85pt;height:12.75pt;margin-top:-1pt;margin-left:385.09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0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  <w14:textOutline w14:w="2286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钢便桥施工方案</w:t>
                </w:r>
              </w:p>
            </w:txbxContent>
          </v:textbox>
        </v:shape>
      </w:pic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乐清湾大桥及接线工程第</w:t>
    </w:r>
    <w:r>
      <w:rPr>
        <w:spacing w:val="-24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01</w:t>
    </w:r>
    <w:r>
      <w:rPr>
        <w:spacing w:val="-35"/>
        <w:sz w:val="18"/>
        <w:szCs w:val="18"/>
      </w:rPr>
      <w:t xml:space="preserve"> </w:t>
    </w:r>
    <w:r>
      <w:rPr>
        <w:spacing w:val="-2"/>
        <w:sz w:val="18"/>
        <w:szCs w:val="18"/>
        <w14:textOutline w14:w="2286">
          <w14:solidFill>
            <w14:srgbClr w14:val="000000"/>
          </w14:solidFill>
          <w14:prstDash w14:val="solid"/>
          <w14:miter w14:lim="10"/>
        </w14:textOutline>
      </w:rPr>
      <w:t>标段</w:t>
    </w:r>
  </w:p>
  <w:p>
    <w:pPr>
      <w:spacing w:before="12" w:line="78" w:lineRule="exact"/>
    </w:pPr>
    <w:r>
      <w:rPr>
        <w:position w:val="-1"/>
      </w:rPr>
      <w:drawing>
        <wp:inline distT="0" distB="0" distL="0" distR="0">
          <wp:extent cx="5795771" cy="50038"/>
          <wp:effectExtent l="0" t="0" r="0" b="0"/>
          <wp:docPr id="63304730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304730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795771" cy="500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jpeg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yperlink" Target="https://d.book118.com/238111140101006042" TargetMode="Externa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2015-04-25T16:51:06Z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2024-03-05T12:43:29Z</vt:filetime>
  </property>
  <property fmtid="{D5CDD505-2E9C-101B-9397-08002B2CF9AE}" pid="3" name="CRO">
    <vt:lpwstr>wqlLaW5nc29mdCBQREYgdG8gV1BTIDkw</vt:lpwstr>
  </property>
</Properties>
</file>