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脱模油行业相关公司筹备报告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5" w:history="1">
        <w:r>
          <w:rPr>
            <w:rFonts w:ascii="仿宋" w:eastAsia="仿宋" w:hAnsi="仿宋" w:cs="仿宋" w:hint="eastAsia"/>
            <w:lang w:eastAsia="zh-CN"/>
          </w:rPr>
          <w:t>一、脱模油项目概况</w:t>
        </w:r>
        <w:r>
          <w:tab/>
        </w:r>
        <w:r>
          <w:fldChar w:fldCharType="begin"/>
        </w:r>
        <w:r>
          <w:instrText xml:space="preserve"> PAGEREF _Toc9235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(二)、脱模油项目提出的理由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(三)、脱模油项目选址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(六)、脱模油项目投资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(七)、脱模油项目进度规划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_Toc28290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(九)、脱模油项目综合评价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_Toc5468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_Toc14816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_Toc20286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五、脱模油筹建公司基本信息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_Toc29808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(一)、脱模油项目背景分析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(二)、脱模油项目建设必要性分析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_Toc13835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_Toc5524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_Toc12446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(五)、脱模油项目总投资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八、脱模油项目风险分析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1" w:history="1">
        <w:r>
          <w:rPr>
            <w:rFonts w:ascii="仿宋" w:eastAsia="仿宋" w:hAnsi="仿宋" w:cs="仿宋" w:hint="eastAsia"/>
            <w:lang w:eastAsia="zh-CN"/>
          </w:rPr>
          <w:t>(一)、脱模油项目风险分析</w:t>
        </w:r>
        <w:r>
          <w:tab/>
        </w:r>
        <w:r>
          <w:fldChar w:fldCharType="begin"/>
        </w:r>
        <w:r>
          <w:instrText xml:space="preserve"> PAGEREF _Toc16321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(二)、脱模油项目风险对策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1" w:history="1">
        <w:r>
          <w:rPr>
            <w:rFonts w:ascii="仿宋" w:eastAsia="仿宋" w:hAnsi="仿宋" w:cs="仿宋" w:hint="eastAsia"/>
            <w:lang w:eastAsia="zh-CN"/>
          </w:rPr>
          <w:t>(一)、脱模油项目进度安排</w:t>
        </w:r>
        <w:r>
          <w:tab/>
        </w:r>
        <w:r>
          <w:fldChar w:fldCharType="begin"/>
        </w:r>
        <w:r>
          <w:instrText xml:space="preserve"> PAGEREF _Toc5491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8" w:history="1">
        <w:r>
          <w:rPr>
            <w:rFonts w:ascii="仿宋" w:eastAsia="仿宋" w:hAnsi="仿宋" w:cs="仿宋" w:hint="eastAsia"/>
            <w:lang w:eastAsia="zh-CN"/>
          </w:rPr>
          <w:t>(二)、脱模油项目实施保障措施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(一)、社会责任脱模油项目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_Toc20872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_Toc15319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3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35"/>
      <w:r>
        <w:rPr>
          <w:rFonts w:ascii="仿宋" w:eastAsia="仿宋" w:hAnsi="仿宋" w:cs="仿宋" w:hint="eastAsia"/>
          <w:sz w:val="28"/>
          <w:lang w:eastAsia="zh-CN"/>
        </w:rPr>
        <w:t>一、脱模油项目概况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8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390"/>
      <w:r>
        <w:rPr>
          <w:rFonts w:ascii="仿宋" w:eastAsia="仿宋" w:hAnsi="仿宋" w:cs="仿宋" w:hint="eastAsia"/>
          <w:sz w:val="28"/>
          <w:lang w:eastAsia="zh-CN"/>
        </w:rPr>
        <w:t>(二)、脱模油项目提出的理由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脱模油项目提出的理由可能包括以下几个方面：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市场需求：随着人们对生活品质的追求，对脱模油的需求也在不断增加。市场上对于高品质、符合个性化需求的脱模油需求量大，因此脱模油项目可以满足这一市场需求。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利润空间：脱模油行业的利润空间较大，通过生产和销售高品质的脱模油，可以获得可观的利润。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创新和发展：脱模油行业是一个不断创新和发展的行业，随着人们生活方式和审美观念的改变，对脱模油的需求也在不断变化。因此，在脱模油行业创业可以不断探索新的设计、材料和技术，以满足客户的需求。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环保和可持续发展：人们越来越关注环保和可持续发展，脱模油行业也开始注重环保和可持续性发展。通过使用环保材料和生产工艺，脱模油项目可以减少对环境的影响，并提高产品的可持续性。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个人兴趣和激情：一些人可能对脱模油设计和制造有着浓厚的兴趣和激情，他们希望通过自己的努力和创新，提供更好的脱模油产品和服务，满足消费者的需求。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脱模油项目的理由可能因具体情况而异，不同的脱模油项目可能有不同的原因和背景。因此，在选择脱模油项目时，我们需要根据自己的实际情况和需求来综合考虑各种因素，并选择最适合自己的脱模油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33"/>
      <w:r>
        <w:rPr>
          <w:rFonts w:ascii="仿宋" w:eastAsia="仿宋" w:hAnsi="仿宋" w:cs="仿宋" w:hint="eastAsia"/>
          <w:sz w:val="28"/>
          <w:lang w:eastAsia="zh-CN"/>
        </w:rPr>
        <w:t>(三)、脱模油项目选址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该脱模油项目计划选址于xx园区，占地面积约XXX亩。所选地理位置得天独厚，交通便捷，同时享有完善的电力、供水、排水、通讯等公用设施，非常适合本脱模油项目的建设需求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9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https://d.book118.com/238133056107006032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脱模油行业相关公司筹备报告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脱模油行业相关公司筹备报告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脱模油行业相关公司筹备报告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脱模油行业相关公司筹备报告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脱模油行业相关公司筹备报告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133056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2024-01-19T19:27:00Z</dcterms:created>
  <dcterms:modified xsi:type="dcterms:W3CDTF">2024-01-19T19:27:47Z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37D4E7DD0083485FAA7837D709B48F12_11</vt:lpwstr>
  </property>
  <property fmtid="{D5CDD505-2E9C-101B-9397-08002B2CF9AE}" pid="3" name="KSOProductBuildVer">
    <vt:lpwstr>2052-12.1.0.16120</vt:lpwstr>
  </property>
</Properties>
</file>