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超细氮化硅项目规划设计方案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19" w:history="1">
        <w:r>
          <w:rPr>
            <w:rFonts w:ascii="仿宋" w:eastAsia="仿宋" w:hAnsi="仿宋" w:cs="仿宋" w:hint="eastAsia"/>
            <w:lang w:eastAsia="zh-CN"/>
          </w:rPr>
          <w:t>前言</w:t>
        </w:r>
        <w:r>
          <w:tab/>
        </w:r>
        <w:r>
          <w:fldChar w:fldCharType="begin"/>
        </w:r>
        <w:r>
          <w:instrText xml:space="preserve"> PAGEREF _Toc30319 \h </w:instrText>
        </w:r>
        <w:r>
          <w:fldChar w:fldCharType="separate"/>
        </w:r>
        <w:r>
          <w:t>3</w:t>
        </w:r>
        <w:r>
          <w:fldChar w:fldCharType="end"/>
        </w:r>
      </w:hyperlink>
    </w:p>
    <w:p>
      <w:pPr>
        <w:pStyle w:val="TOC1"/>
        <w:tabs>
          <w:tab w:val="right" w:leader="dot" w:pos="8306"/>
        </w:tabs>
      </w:pPr>
      <w:hyperlink w:anchor="_Toc3730" w:history="1">
        <w:r>
          <w:rPr>
            <w:rFonts w:ascii="仿宋" w:eastAsia="仿宋" w:hAnsi="仿宋" w:cs="仿宋" w:hint="eastAsia"/>
            <w:lang w:eastAsia="zh-CN"/>
          </w:rPr>
          <w:t>一、超细氮化硅项目绩效评估</w:t>
        </w:r>
        <w:r>
          <w:tab/>
        </w:r>
        <w:r>
          <w:fldChar w:fldCharType="begin"/>
        </w:r>
        <w:r>
          <w:instrText xml:space="preserve"> PAGEREF _Toc3730 \h </w:instrText>
        </w:r>
        <w:r>
          <w:fldChar w:fldCharType="separate"/>
        </w:r>
        <w:r>
          <w:t>3</w:t>
        </w:r>
        <w:r>
          <w:fldChar w:fldCharType="end"/>
        </w:r>
      </w:hyperlink>
    </w:p>
    <w:p>
      <w:pPr>
        <w:pStyle w:val="TOC2"/>
        <w:tabs>
          <w:tab w:val="right" w:leader="dot" w:pos="8306"/>
        </w:tabs>
      </w:pPr>
      <w:hyperlink w:anchor="_Toc10150" w:history="1">
        <w:r>
          <w:rPr>
            <w:rFonts w:ascii="仿宋" w:eastAsia="仿宋" w:hAnsi="仿宋" w:cs="仿宋" w:hint="eastAsia"/>
            <w:lang w:eastAsia="zh-CN"/>
          </w:rPr>
          <w:t>(一)、绩效评估指标</w:t>
        </w:r>
        <w:r>
          <w:tab/>
        </w:r>
        <w:r>
          <w:fldChar w:fldCharType="begin"/>
        </w:r>
        <w:r>
          <w:instrText xml:space="preserve"> PAGEREF _Toc10150 \h </w:instrText>
        </w:r>
        <w:r>
          <w:fldChar w:fldCharType="separate"/>
        </w:r>
        <w:r>
          <w:t>3</w:t>
        </w:r>
        <w:r>
          <w:fldChar w:fldCharType="end"/>
        </w:r>
      </w:hyperlink>
    </w:p>
    <w:p>
      <w:pPr>
        <w:pStyle w:val="TOC2"/>
        <w:tabs>
          <w:tab w:val="right" w:leader="dot" w:pos="8306"/>
        </w:tabs>
      </w:pPr>
      <w:hyperlink w:anchor="_Toc14944" w:history="1">
        <w:r>
          <w:rPr>
            <w:rFonts w:ascii="仿宋" w:eastAsia="仿宋" w:hAnsi="仿宋" w:cs="仿宋" w:hint="eastAsia"/>
            <w:lang w:eastAsia="zh-CN"/>
          </w:rPr>
          <w:t>(二)、绩效评估方法</w:t>
        </w:r>
        <w:r>
          <w:tab/>
        </w:r>
        <w:r>
          <w:fldChar w:fldCharType="begin"/>
        </w:r>
        <w:r>
          <w:instrText xml:space="preserve"> PAGEREF _Toc14944 \h </w:instrText>
        </w:r>
        <w:r>
          <w:fldChar w:fldCharType="separate"/>
        </w:r>
        <w:r>
          <w:t>4</w:t>
        </w:r>
        <w:r>
          <w:fldChar w:fldCharType="end"/>
        </w:r>
      </w:hyperlink>
    </w:p>
    <w:p>
      <w:pPr>
        <w:pStyle w:val="TOC2"/>
        <w:tabs>
          <w:tab w:val="right" w:leader="dot" w:pos="8306"/>
        </w:tabs>
      </w:pPr>
      <w:hyperlink w:anchor="_Toc8448" w:history="1">
        <w:r>
          <w:rPr>
            <w:rFonts w:ascii="仿宋" w:eastAsia="仿宋" w:hAnsi="仿宋" w:cs="仿宋" w:hint="eastAsia"/>
            <w:lang w:eastAsia="zh-CN"/>
          </w:rPr>
          <w:t>(三)、绩效评估周期</w:t>
        </w:r>
        <w:r>
          <w:tab/>
        </w:r>
        <w:r>
          <w:fldChar w:fldCharType="begin"/>
        </w:r>
        <w:r>
          <w:instrText xml:space="preserve"> PAGEREF _Toc8448 \h </w:instrText>
        </w:r>
        <w:r>
          <w:fldChar w:fldCharType="separate"/>
        </w:r>
        <w:r>
          <w:t>5</w:t>
        </w:r>
        <w:r>
          <w:fldChar w:fldCharType="end"/>
        </w:r>
      </w:hyperlink>
    </w:p>
    <w:p>
      <w:pPr>
        <w:pStyle w:val="TOC1"/>
        <w:tabs>
          <w:tab w:val="right" w:leader="dot" w:pos="8306"/>
        </w:tabs>
      </w:pPr>
      <w:hyperlink w:anchor="_Toc9897" w:history="1">
        <w:r>
          <w:rPr>
            <w:rFonts w:ascii="仿宋" w:eastAsia="仿宋" w:hAnsi="仿宋" w:cs="仿宋" w:hint="eastAsia"/>
            <w:lang w:eastAsia="zh-CN"/>
          </w:rPr>
          <w:t>二、超细氮化硅项目概论</w:t>
        </w:r>
        <w:r>
          <w:tab/>
        </w:r>
        <w:r>
          <w:fldChar w:fldCharType="begin"/>
        </w:r>
        <w:r>
          <w:instrText xml:space="preserve"> PAGEREF _Toc9897 \h </w:instrText>
        </w:r>
        <w:r>
          <w:fldChar w:fldCharType="separate"/>
        </w:r>
        <w:r>
          <w:t>6</w:t>
        </w:r>
        <w:r>
          <w:fldChar w:fldCharType="end"/>
        </w:r>
      </w:hyperlink>
    </w:p>
    <w:p>
      <w:pPr>
        <w:pStyle w:val="TOC2"/>
        <w:tabs>
          <w:tab w:val="right" w:leader="dot" w:pos="8306"/>
        </w:tabs>
      </w:pPr>
      <w:hyperlink w:anchor="_Toc26433" w:history="1">
        <w:r>
          <w:rPr>
            <w:rFonts w:ascii="仿宋" w:eastAsia="仿宋" w:hAnsi="仿宋" w:cs="仿宋" w:hint="eastAsia"/>
            <w:lang w:eastAsia="zh-CN"/>
          </w:rPr>
          <w:t>(一)、超细氮化硅项目概况</w:t>
        </w:r>
        <w:r>
          <w:tab/>
        </w:r>
        <w:r>
          <w:fldChar w:fldCharType="begin"/>
        </w:r>
        <w:r>
          <w:instrText xml:space="preserve"> PAGEREF _Toc26433 \h </w:instrText>
        </w:r>
        <w:r>
          <w:fldChar w:fldCharType="separate"/>
        </w:r>
        <w:r>
          <w:t>6</w:t>
        </w:r>
        <w:r>
          <w:fldChar w:fldCharType="end"/>
        </w:r>
      </w:hyperlink>
    </w:p>
    <w:p>
      <w:pPr>
        <w:pStyle w:val="TOC2"/>
        <w:tabs>
          <w:tab w:val="right" w:leader="dot" w:pos="8306"/>
        </w:tabs>
      </w:pPr>
      <w:hyperlink w:anchor="_Toc30256" w:history="1">
        <w:r>
          <w:rPr>
            <w:rFonts w:ascii="仿宋" w:eastAsia="仿宋" w:hAnsi="仿宋" w:cs="仿宋" w:hint="eastAsia"/>
            <w:lang w:eastAsia="zh-CN"/>
          </w:rPr>
          <w:t>(二)、超细氮化硅项目目标</w:t>
        </w:r>
        <w:r>
          <w:tab/>
        </w:r>
        <w:r>
          <w:fldChar w:fldCharType="begin"/>
        </w:r>
        <w:r>
          <w:instrText xml:space="preserve"> PAGEREF _Toc30256 \h </w:instrText>
        </w:r>
        <w:r>
          <w:fldChar w:fldCharType="separate"/>
        </w:r>
        <w:r>
          <w:t>8</w:t>
        </w:r>
        <w:r>
          <w:fldChar w:fldCharType="end"/>
        </w:r>
      </w:hyperlink>
    </w:p>
    <w:p>
      <w:pPr>
        <w:pStyle w:val="TOC2"/>
        <w:tabs>
          <w:tab w:val="right" w:leader="dot" w:pos="8306"/>
        </w:tabs>
      </w:pPr>
      <w:hyperlink w:anchor="_Toc18156" w:history="1">
        <w:r>
          <w:rPr>
            <w:rFonts w:ascii="仿宋" w:eastAsia="仿宋" w:hAnsi="仿宋" w:cs="仿宋" w:hint="eastAsia"/>
            <w:lang w:eastAsia="zh-CN"/>
          </w:rPr>
          <w:t>(三)、超细氮化硅项目提出的理由</w:t>
        </w:r>
        <w:r>
          <w:tab/>
        </w:r>
        <w:r>
          <w:fldChar w:fldCharType="begin"/>
        </w:r>
        <w:r>
          <w:instrText xml:space="preserve"> PAGEREF _Toc18156 \h </w:instrText>
        </w:r>
        <w:r>
          <w:fldChar w:fldCharType="separate"/>
        </w:r>
        <w:r>
          <w:t>9</w:t>
        </w:r>
        <w:r>
          <w:fldChar w:fldCharType="end"/>
        </w:r>
      </w:hyperlink>
    </w:p>
    <w:p>
      <w:pPr>
        <w:pStyle w:val="TOC2"/>
        <w:tabs>
          <w:tab w:val="right" w:leader="dot" w:pos="8306"/>
        </w:tabs>
      </w:pPr>
      <w:hyperlink w:anchor="_Toc19729" w:history="1">
        <w:r>
          <w:rPr>
            <w:rFonts w:ascii="仿宋" w:eastAsia="仿宋" w:hAnsi="仿宋" w:cs="仿宋" w:hint="eastAsia"/>
            <w:lang w:eastAsia="zh-CN"/>
          </w:rPr>
          <w:t>(四)、超细氮化硅项目意义</w:t>
        </w:r>
        <w:r>
          <w:tab/>
        </w:r>
        <w:r>
          <w:fldChar w:fldCharType="begin"/>
        </w:r>
        <w:r>
          <w:instrText xml:space="preserve"> PAGEREF _Toc19729 \h </w:instrText>
        </w:r>
        <w:r>
          <w:fldChar w:fldCharType="separate"/>
        </w:r>
        <w:r>
          <w:t>11</w:t>
        </w:r>
        <w:r>
          <w:fldChar w:fldCharType="end"/>
        </w:r>
      </w:hyperlink>
    </w:p>
    <w:p>
      <w:pPr>
        <w:pStyle w:val="TOC2"/>
        <w:tabs>
          <w:tab w:val="right" w:leader="dot" w:pos="8306"/>
        </w:tabs>
      </w:pPr>
      <w:hyperlink w:anchor="_Toc16070" w:history="1">
        <w:r>
          <w:rPr>
            <w:rFonts w:ascii="仿宋" w:eastAsia="仿宋" w:hAnsi="仿宋" w:cs="仿宋" w:hint="eastAsia"/>
            <w:lang w:eastAsia="zh-CN"/>
          </w:rPr>
          <w:t>(五)、超细氮化硅项目背景</w:t>
        </w:r>
        <w:r>
          <w:tab/>
        </w:r>
        <w:r>
          <w:fldChar w:fldCharType="begin"/>
        </w:r>
        <w:r>
          <w:instrText xml:space="preserve"> PAGEREF _Toc16070 \h </w:instrText>
        </w:r>
        <w:r>
          <w:fldChar w:fldCharType="separate"/>
        </w:r>
        <w:r>
          <w:t>12</w:t>
        </w:r>
        <w:r>
          <w:fldChar w:fldCharType="end"/>
        </w:r>
      </w:hyperlink>
    </w:p>
    <w:p>
      <w:pPr>
        <w:pStyle w:val="TOC1"/>
        <w:tabs>
          <w:tab w:val="right" w:leader="dot" w:pos="8306"/>
        </w:tabs>
      </w:pPr>
      <w:hyperlink w:anchor="_Toc21931" w:history="1">
        <w:r>
          <w:rPr>
            <w:rFonts w:ascii="仿宋" w:eastAsia="仿宋" w:hAnsi="仿宋" w:cs="仿宋" w:hint="eastAsia"/>
            <w:lang w:eastAsia="zh-CN"/>
          </w:rPr>
          <w:t>三、超细氮化硅项目选址可行性分析</w:t>
        </w:r>
        <w:r>
          <w:tab/>
        </w:r>
        <w:r>
          <w:fldChar w:fldCharType="begin"/>
        </w:r>
        <w:r>
          <w:instrText xml:space="preserve"> PAGEREF _Toc21931 \h </w:instrText>
        </w:r>
        <w:r>
          <w:fldChar w:fldCharType="separate"/>
        </w:r>
        <w:r>
          <w:t>13</w:t>
        </w:r>
        <w:r>
          <w:fldChar w:fldCharType="end"/>
        </w:r>
      </w:hyperlink>
    </w:p>
    <w:p>
      <w:pPr>
        <w:pStyle w:val="TOC2"/>
        <w:tabs>
          <w:tab w:val="right" w:leader="dot" w:pos="8306"/>
        </w:tabs>
      </w:pPr>
      <w:hyperlink w:anchor="_Toc9114" w:history="1">
        <w:r>
          <w:rPr>
            <w:rFonts w:ascii="仿宋" w:eastAsia="仿宋" w:hAnsi="仿宋" w:cs="仿宋" w:hint="eastAsia"/>
            <w:lang w:eastAsia="zh-CN"/>
          </w:rPr>
          <w:t>(一)、超细氮化硅项目选址</w:t>
        </w:r>
        <w:r>
          <w:tab/>
        </w:r>
        <w:r>
          <w:fldChar w:fldCharType="begin"/>
        </w:r>
        <w:r>
          <w:instrText xml:space="preserve"> PAGEREF _Toc9114 \h </w:instrText>
        </w:r>
        <w:r>
          <w:fldChar w:fldCharType="separate"/>
        </w:r>
        <w:r>
          <w:t>13</w:t>
        </w:r>
        <w:r>
          <w:fldChar w:fldCharType="end"/>
        </w:r>
      </w:hyperlink>
    </w:p>
    <w:p>
      <w:pPr>
        <w:pStyle w:val="TOC2"/>
        <w:tabs>
          <w:tab w:val="right" w:leader="dot" w:pos="8306"/>
        </w:tabs>
      </w:pPr>
      <w:hyperlink w:anchor="_Toc15844" w:history="1">
        <w:r>
          <w:rPr>
            <w:rFonts w:ascii="仿宋" w:eastAsia="仿宋" w:hAnsi="仿宋" w:cs="仿宋" w:hint="eastAsia"/>
            <w:lang w:eastAsia="zh-CN"/>
          </w:rPr>
          <w:t>(二)、用地控制指标</w:t>
        </w:r>
        <w:r>
          <w:tab/>
        </w:r>
        <w:r>
          <w:fldChar w:fldCharType="begin"/>
        </w:r>
        <w:r>
          <w:instrText xml:space="preserve"> PAGEREF _Toc15844 \h </w:instrText>
        </w:r>
        <w:r>
          <w:fldChar w:fldCharType="separate"/>
        </w:r>
        <w:r>
          <w:t>13</w:t>
        </w:r>
        <w:r>
          <w:fldChar w:fldCharType="end"/>
        </w:r>
      </w:hyperlink>
    </w:p>
    <w:p>
      <w:pPr>
        <w:pStyle w:val="TOC2"/>
        <w:tabs>
          <w:tab w:val="right" w:leader="dot" w:pos="8306"/>
        </w:tabs>
      </w:pPr>
      <w:hyperlink w:anchor="_Toc28407" w:history="1">
        <w:r>
          <w:rPr>
            <w:rFonts w:ascii="仿宋" w:eastAsia="仿宋" w:hAnsi="仿宋" w:cs="仿宋" w:hint="eastAsia"/>
            <w:lang w:eastAsia="zh-CN"/>
          </w:rPr>
          <w:t>(三)、节约用地措施</w:t>
        </w:r>
        <w:r>
          <w:tab/>
        </w:r>
        <w:r>
          <w:fldChar w:fldCharType="begin"/>
        </w:r>
        <w:r>
          <w:instrText xml:space="preserve"> PAGEREF _Toc28407 \h </w:instrText>
        </w:r>
        <w:r>
          <w:fldChar w:fldCharType="separate"/>
        </w:r>
        <w:r>
          <w:t>15</w:t>
        </w:r>
        <w:r>
          <w:fldChar w:fldCharType="end"/>
        </w:r>
      </w:hyperlink>
    </w:p>
    <w:p>
      <w:pPr>
        <w:pStyle w:val="TOC2"/>
        <w:tabs>
          <w:tab w:val="right" w:leader="dot" w:pos="8306"/>
        </w:tabs>
      </w:pPr>
      <w:hyperlink w:anchor="_Toc30557" w:history="1">
        <w:r>
          <w:rPr>
            <w:rFonts w:ascii="仿宋" w:eastAsia="仿宋" w:hAnsi="仿宋" w:cs="仿宋" w:hint="eastAsia"/>
            <w:lang w:eastAsia="zh-CN"/>
          </w:rPr>
          <w:t>(四)、总图布置方案</w:t>
        </w:r>
        <w:r>
          <w:tab/>
        </w:r>
        <w:r>
          <w:fldChar w:fldCharType="begin"/>
        </w:r>
        <w:r>
          <w:instrText xml:space="preserve"> PAGEREF _Toc30557 \h </w:instrText>
        </w:r>
        <w:r>
          <w:fldChar w:fldCharType="separate"/>
        </w:r>
        <w:r>
          <w:t>16</w:t>
        </w:r>
        <w:r>
          <w:fldChar w:fldCharType="end"/>
        </w:r>
      </w:hyperlink>
    </w:p>
    <w:p>
      <w:pPr>
        <w:pStyle w:val="TOC2"/>
        <w:tabs>
          <w:tab w:val="right" w:leader="dot" w:pos="8306"/>
        </w:tabs>
      </w:pPr>
      <w:hyperlink w:anchor="_Toc30972" w:history="1">
        <w:r>
          <w:rPr>
            <w:rFonts w:ascii="仿宋" w:eastAsia="仿宋" w:hAnsi="仿宋" w:cs="仿宋" w:hint="eastAsia"/>
            <w:lang w:eastAsia="zh-CN"/>
          </w:rPr>
          <w:t>(五)、选址综合评价</w:t>
        </w:r>
        <w:r>
          <w:tab/>
        </w:r>
        <w:r>
          <w:fldChar w:fldCharType="begin"/>
        </w:r>
        <w:r>
          <w:instrText xml:space="preserve"> PAGEREF _Toc30972 \h </w:instrText>
        </w:r>
        <w:r>
          <w:fldChar w:fldCharType="separate"/>
        </w:r>
        <w:r>
          <w:t>17</w:t>
        </w:r>
        <w:r>
          <w:fldChar w:fldCharType="end"/>
        </w:r>
      </w:hyperlink>
    </w:p>
    <w:p>
      <w:pPr>
        <w:pStyle w:val="TOC1"/>
        <w:tabs>
          <w:tab w:val="right" w:leader="dot" w:pos="8306"/>
        </w:tabs>
      </w:pPr>
      <w:hyperlink w:anchor="_Toc6813" w:history="1">
        <w:r>
          <w:rPr>
            <w:rFonts w:ascii="仿宋" w:eastAsia="仿宋" w:hAnsi="仿宋" w:cs="仿宋" w:hint="eastAsia"/>
            <w:lang w:eastAsia="zh-CN"/>
          </w:rPr>
          <w:t>四、超细氮化硅项目土建工程</w:t>
        </w:r>
        <w:r>
          <w:tab/>
        </w:r>
        <w:r>
          <w:fldChar w:fldCharType="begin"/>
        </w:r>
        <w:r>
          <w:instrText xml:space="preserve"> PAGEREF _Toc6813 \h </w:instrText>
        </w:r>
        <w:r>
          <w:fldChar w:fldCharType="separate"/>
        </w:r>
        <w:r>
          <w:t>18</w:t>
        </w:r>
        <w:r>
          <w:fldChar w:fldCharType="end"/>
        </w:r>
      </w:hyperlink>
    </w:p>
    <w:p>
      <w:pPr>
        <w:pStyle w:val="TOC2"/>
        <w:tabs>
          <w:tab w:val="right" w:leader="dot" w:pos="8306"/>
        </w:tabs>
      </w:pPr>
      <w:hyperlink w:anchor="_Toc7537" w:history="1">
        <w:r>
          <w:rPr>
            <w:rFonts w:ascii="仿宋" w:eastAsia="仿宋" w:hAnsi="仿宋" w:cs="仿宋" w:hint="eastAsia"/>
            <w:lang w:eastAsia="zh-CN"/>
          </w:rPr>
          <w:t>(一)、建筑工程设计原则</w:t>
        </w:r>
        <w:r>
          <w:tab/>
        </w:r>
        <w:r>
          <w:fldChar w:fldCharType="begin"/>
        </w:r>
        <w:r>
          <w:instrText xml:space="preserve"> PAGEREF _Toc7537 \h </w:instrText>
        </w:r>
        <w:r>
          <w:fldChar w:fldCharType="separate"/>
        </w:r>
        <w:r>
          <w:t>18</w:t>
        </w:r>
        <w:r>
          <w:fldChar w:fldCharType="end"/>
        </w:r>
      </w:hyperlink>
    </w:p>
    <w:p>
      <w:pPr>
        <w:pStyle w:val="TOC2"/>
        <w:tabs>
          <w:tab w:val="right" w:leader="dot" w:pos="8306"/>
        </w:tabs>
      </w:pPr>
      <w:hyperlink w:anchor="_Toc3130" w:history="1">
        <w:r>
          <w:rPr>
            <w:rFonts w:ascii="仿宋" w:eastAsia="仿宋" w:hAnsi="仿宋" w:cs="仿宋" w:hint="eastAsia"/>
            <w:lang w:eastAsia="zh-CN"/>
          </w:rPr>
          <w:t>(二)、土建工程设计年限及安全等级</w:t>
        </w:r>
        <w:r>
          <w:tab/>
        </w:r>
        <w:r>
          <w:fldChar w:fldCharType="begin"/>
        </w:r>
        <w:r>
          <w:instrText xml:space="preserve"> PAGEREF _Toc3130 \h </w:instrText>
        </w:r>
        <w:r>
          <w:fldChar w:fldCharType="separate"/>
        </w:r>
        <w:r>
          <w:t>19</w:t>
        </w:r>
        <w:r>
          <w:fldChar w:fldCharType="end"/>
        </w:r>
      </w:hyperlink>
    </w:p>
    <w:p>
      <w:pPr>
        <w:pStyle w:val="TOC2"/>
        <w:tabs>
          <w:tab w:val="right" w:leader="dot" w:pos="8306"/>
        </w:tabs>
      </w:pPr>
      <w:hyperlink w:anchor="_Toc3776" w:history="1">
        <w:r>
          <w:rPr>
            <w:rFonts w:ascii="仿宋" w:eastAsia="仿宋" w:hAnsi="仿宋" w:cs="仿宋" w:hint="eastAsia"/>
            <w:lang w:eastAsia="zh-CN"/>
          </w:rPr>
          <w:t>(三)、建筑工程设计总体要求</w:t>
        </w:r>
        <w:r>
          <w:tab/>
        </w:r>
        <w:r>
          <w:fldChar w:fldCharType="begin"/>
        </w:r>
        <w:r>
          <w:instrText xml:space="preserve"> PAGEREF _Toc3776 \h </w:instrText>
        </w:r>
        <w:r>
          <w:fldChar w:fldCharType="separate"/>
        </w:r>
        <w:r>
          <w:t>20</w:t>
        </w:r>
        <w:r>
          <w:fldChar w:fldCharType="end"/>
        </w:r>
      </w:hyperlink>
    </w:p>
    <w:p>
      <w:pPr>
        <w:pStyle w:val="TOC2"/>
        <w:tabs>
          <w:tab w:val="right" w:leader="dot" w:pos="8306"/>
        </w:tabs>
      </w:pPr>
      <w:hyperlink w:anchor="_Toc15485" w:history="1">
        <w:r>
          <w:rPr>
            <w:rFonts w:ascii="仿宋" w:eastAsia="仿宋" w:hAnsi="仿宋" w:cs="仿宋" w:hint="eastAsia"/>
            <w:lang w:eastAsia="zh-CN"/>
          </w:rPr>
          <w:t>(四)、土建工程建设指标</w:t>
        </w:r>
        <w:r>
          <w:tab/>
        </w:r>
        <w:r>
          <w:fldChar w:fldCharType="begin"/>
        </w:r>
        <w:r>
          <w:instrText xml:space="preserve"> PAGEREF _Toc15485 \h </w:instrText>
        </w:r>
        <w:r>
          <w:fldChar w:fldCharType="separate"/>
        </w:r>
        <w:r>
          <w:t>21</w:t>
        </w:r>
        <w:r>
          <w:fldChar w:fldCharType="end"/>
        </w:r>
      </w:hyperlink>
    </w:p>
    <w:p>
      <w:pPr>
        <w:pStyle w:val="TOC1"/>
        <w:tabs>
          <w:tab w:val="right" w:leader="dot" w:pos="8306"/>
        </w:tabs>
      </w:pPr>
      <w:hyperlink w:anchor="_Toc28036" w:history="1">
        <w:r>
          <w:rPr>
            <w:rFonts w:ascii="仿宋" w:eastAsia="仿宋" w:hAnsi="仿宋" w:cs="仿宋" w:hint="eastAsia"/>
            <w:lang w:eastAsia="zh-CN"/>
          </w:rPr>
          <w:t>五、超细氮化硅项目危机管理</w:t>
        </w:r>
        <w:r>
          <w:tab/>
        </w:r>
        <w:r>
          <w:fldChar w:fldCharType="begin"/>
        </w:r>
        <w:r>
          <w:instrText xml:space="preserve"> PAGEREF _Toc28036 \h </w:instrText>
        </w:r>
        <w:r>
          <w:fldChar w:fldCharType="separate"/>
        </w:r>
        <w:r>
          <w:t>21</w:t>
        </w:r>
        <w:r>
          <w:fldChar w:fldCharType="end"/>
        </w:r>
      </w:hyperlink>
    </w:p>
    <w:p>
      <w:pPr>
        <w:pStyle w:val="TOC2"/>
        <w:tabs>
          <w:tab w:val="right" w:leader="dot" w:pos="8306"/>
        </w:tabs>
      </w:pPr>
      <w:hyperlink w:anchor="_Toc23846" w:history="1">
        <w:r>
          <w:rPr>
            <w:rFonts w:ascii="仿宋" w:eastAsia="仿宋" w:hAnsi="仿宋" w:cs="仿宋" w:hint="eastAsia"/>
            <w:lang w:eastAsia="zh-CN"/>
          </w:rPr>
          <w:t>(一)、危机预警与识别</w:t>
        </w:r>
        <w:r>
          <w:tab/>
        </w:r>
        <w:r>
          <w:fldChar w:fldCharType="begin"/>
        </w:r>
        <w:r>
          <w:instrText xml:space="preserve"> PAGEREF _Toc23846 \h </w:instrText>
        </w:r>
        <w:r>
          <w:fldChar w:fldCharType="separate"/>
        </w:r>
        <w:r>
          <w:t>21</w:t>
        </w:r>
        <w:r>
          <w:fldChar w:fldCharType="end"/>
        </w:r>
      </w:hyperlink>
    </w:p>
    <w:p>
      <w:pPr>
        <w:pStyle w:val="TOC2"/>
        <w:tabs>
          <w:tab w:val="right" w:leader="dot" w:pos="8306"/>
        </w:tabs>
      </w:pPr>
      <w:hyperlink w:anchor="_Toc12747" w:history="1">
        <w:r>
          <w:rPr>
            <w:rFonts w:ascii="仿宋" w:eastAsia="仿宋" w:hAnsi="仿宋" w:cs="仿宋" w:hint="eastAsia"/>
            <w:lang w:eastAsia="zh-CN"/>
          </w:rPr>
          <w:t>(二)、危机应对与恢复</w:t>
        </w:r>
        <w:r>
          <w:tab/>
        </w:r>
        <w:r>
          <w:fldChar w:fldCharType="begin"/>
        </w:r>
        <w:r>
          <w:instrText xml:space="preserve"> PAGEREF _Toc12747 \h </w:instrText>
        </w:r>
        <w:r>
          <w:fldChar w:fldCharType="separate"/>
        </w:r>
        <w:r>
          <w:t>22</w:t>
        </w:r>
        <w:r>
          <w:fldChar w:fldCharType="end"/>
        </w:r>
      </w:hyperlink>
    </w:p>
    <w:p>
      <w:pPr>
        <w:pStyle w:val="TOC1"/>
        <w:tabs>
          <w:tab w:val="right" w:leader="dot" w:pos="8306"/>
        </w:tabs>
      </w:pPr>
      <w:hyperlink w:anchor="_Toc1582" w:history="1">
        <w:r>
          <w:rPr>
            <w:rFonts w:ascii="仿宋" w:eastAsia="仿宋" w:hAnsi="仿宋" w:cs="仿宋" w:hint="eastAsia"/>
            <w:lang w:eastAsia="zh-CN"/>
          </w:rPr>
          <w:t>六、超细氮化硅项目可持续发展</w:t>
        </w:r>
        <w:r>
          <w:tab/>
        </w:r>
        <w:r>
          <w:fldChar w:fldCharType="begin"/>
        </w:r>
        <w:r>
          <w:instrText xml:space="preserve"> PAGEREF _Toc1582 \h </w:instrText>
        </w:r>
        <w:r>
          <w:fldChar w:fldCharType="separate"/>
        </w:r>
        <w:r>
          <w:t>24</w:t>
        </w:r>
        <w:r>
          <w:fldChar w:fldCharType="end"/>
        </w:r>
      </w:hyperlink>
    </w:p>
    <w:p>
      <w:pPr>
        <w:pStyle w:val="TOC2"/>
        <w:tabs>
          <w:tab w:val="right" w:leader="dot" w:pos="8306"/>
        </w:tabs>
      </w:pPr>
      <w:hyperlink w:anchor="_Toc6978" w:history="1">
        <w:r>
          <w:rPr>
            <w:rFonts w:ascii="仿宋" w:eastAsia="仿宋" w:hAnsi="仿宋" w:cs="仿宋" w:hint="eastAsia"/>
            <w:lang w:eastAsia="zh-CN"/>
          </w:rPr>
          <w:t>(一)、可持续战略与实践</w:t>
        </w:r>
        <w:r>
          <w:tab/>
        </w:r>
        <w:r>
          <w:fldChar w:fldCharType="begin"/>
        </w:r>
        <w:r>
          <w:instrText xml:space="preserve"> PAGEREF _Toc6978 \h </w:instrText>
        </w:r>
        <w:r>
          <w:fldChar w:fldCharType="separate"/>
        </w:r>
        <w:r>
          <w:t>24</w:t>
        </w:r>
        <w:r>
          <w:fldChar w:fldCharType="end"/>
        </w:r>
      </w:hyperlink>
    </w:p>
    <w:p>
      <w:pPr>
        <w:pStyle w:val="TOC2"/>
        <w:tabs>
          <w:tab w:val="right" w:leader="dot" w:pos="8306"/>
        </w:tabs>
      </w:pPr>
      <w:hyperlink w:anchor="_Toc18875" w:history="1">
        <w:r>
          <w:rPr>
            <w:rFonts w:ascii="仿宋" w:eastAsia="仿宋" w:hAnsi="仿宋" w:cs="仿宋" w:hint="eastAsia"/>
            <w:lang w:eastAsia="zh-CN"/>
          </w:rPr>
          <w:t>(二)、环保与社会责任</w:t>
        </w:r>
        <w:r>
          <w:tab/>
        </w:r>
        <w:r>
          <w:fldChar w:fldCharType="begin"/>
        </w:r>
        <w:r>
          <w:instrText xml:space="preserve"> PAGEREF _Toc18875 \h </w:instrText>
        </w:r>
        <w:r>
          <w:fldChar w:fldCharType="separate"/>
        </w:r>
        <w:r>
          <w:t>24</w:t>
        </w:r>
        <w:r>
          <w:fldChar w:fldCharType="end"/>
        </w:r>
      </w:hyperlink>
    </w:p>
    <w:p>
      <w:pPr>
        <w:pStyle w:val="TOC1"/>
        <w:tabs>
          <w:tab w:val="right" w:leader="dot" w:pos="8306"/>
        </w:tabs>
      </w:pPr>
      <w:hyperlink w:anchor="_Toc18403" w:history="1">
        <w:r>
          <w:rPr>
            <w:rFonts w:ascii="仿宋" w:eastAsia="仿宋" w:hAnsi="仿宋" w:cs="仿宋" w:hint="eastAsia"/>
            <w:lang w:eastAsia="zh-CN"/>
          </w:rPr>
          <w:t>七、超细氮化硅项目人力资源培养与发展</w:t>
        </w:r>
        <w:r>
          <w:tab/>
        </w:r>
        <w:r>
          <w:fldChar w:fldCharType="begin"/>
        </w:r>
        <w:r>
          <w:instrText xml:space="preserve"> PAGEREF _Toc18403 \h </w:instrText>
        </w:r>
        <w:r>
          <w:fldChar w:fldCharType="separate"/>
        </w:r>
        <w:r>
          <w:t>25</w:t>
        </w:r>
        <w:r>
          <w:fldChar w:fldCharType="end"/>
        </w:r>
      </w:hyperlink>
    </w:p>
    <w:p>
      <w:pPr>
        <w:pStyle w:val="TOC2"/>
        <w:tabs>
          <w:tab w:val="right" w:leader="dot" w:pos="8306"/>
        </w:tabs>
      </w:pPr>
      <w:hyperlink w:anchor="_Toc30887" w:history="1">
        <w:r>
          <w:rPr>
            <w:rFonts w:ascii="仿宋" w:eastAsia="仿宋" w:hAnsi="仿宋" w:cs="仿宋" w:hint="eastAsia"/>
            <w:lang w:eastAsia="zh-CN"/>
          </w:rPr>
          <w:t>(一)、人才需求与规划</w:t>
        </w:r>
        <w:r>
          <w:tab/>
        </w:r>
        <w:r>
          <w:fldChar w:fldCharType="begin"/>
        </w:r>
        <w:r>
          <w:instrText xml:space="preserve"> PAGEREF _Toc30887 \h </w:instrText>
        </w:r>
        <w:r>
          <w:fldChar w:fldCharType="separate"/>
        </w:r>
        <w:r>
          <w:t>25</w:t>
        </w:r>
        <w:r>
          <w:fldChar w:fldCharType="end"/>
        </w:r>
      </w:hyperlink>
    </w:p>
    <w:p>
      <w:pPr>
        <w:pStyle w:val="TOC2"/>
        <w:tabs>
          <w:tab w:val="right" w:leader="dot" w:pos="8306"/>
        </w:tabs>
      </w:pPr>
      <w:hyperlink w:anchor="_Toc19670" w:history="1">
        <w:r>
          <w:rPr>
            <w:rFonts w:ascii="仿宋" w:eastAsia="仿宋" w:hAnsi="仿宋" w:cs="仿宋" w:hint="eastAsia"/>
            <w:lang w:eastAsia="zh-CN"/>
          </w:rPr>
          <w:t>(二)、培训与发展计划</w:t>
        </w:r>
        <w:r>
          <w:tab/>
        </w:r>
        <w:r>
          <w:fldChar w:fldCharType="begin"/>
        </w:r>
        <w:r>
          <w:instrText xml:space="preserve"> PAGEREF _Toc19670 \h </w:instrText>
        </w:r>
        <w:r>
          <w:fldChar w:fldCharType="separate"/>
        </w:r>
        <w:r>
          <w:t>26</w:t>
        </w:r>
        <w:r>
          <w:fldChar w:fldCharType="end"/>
        </w:r>
      </w:hyperlink>
    </w:p>
    <w:p>
      <w:pPr>
        <w:pStyle w:val="TOC1"/>
        <w:tabs>
          <w:tab w:val="right" w:leader="dot" w:pos="8306"/>
        </w:tabs>
      </w:pPr>
      <w:hyperlink w:anchor="_Toc9286" w:history="1">
        <w:r>
          <w:rPr>
            <w:rFonts w:ascii="仿宋" w:eastAsia="仿宋" w:hAnsi="仿宋" w:cs="仿宋" w:hint="eastAsia"/>
            <w:lang w:eastAsia="zh-CN"/>
          </w:rPr>
          <w:t>八、超细氮化硅项目计划安排</w:t>
        </w:r>
        <w:r>
          <w:tab/>
        </w:r>
        <w:r>
          <w:fldChar w:fldCharType="begin"/>
        </w:r>
        <w:r>
          <w:instrText xml:space="preserve"> PAGEREF _Toc9286 \h </w:instrText>
        </w:r>
        <w:r>
          <w:fldChar w:fldCharType="separate"/>
        </w:r>
        <w:r>
          <w:t>26</w:t>
        </w:r>
        <w:r>
          <w:fldChar w:fldCharType="end"/>
        </w:r>
      </w:hyperlink>
    </w:p>
    <w:p>
      <w:pPr>
        <w:pStyle w:val="TOC2"/>
        <w:tabs>
          <w:tab w:val="right" w:leader="dot" w:pos="8306"/>
        </w:tabs>
      </w:pPr>
      <w:hyperlink w:anchor="_Toc19371" w:history="1">
        <w:r>
          <w:rPr>
            <w:rFonts w:ascii="仿宋" w:eastAsia="仿宋" w:hAnsi="仿宋" w:cs="仿宋" w:hint="eastAsia"/>
            <w:lang w:eastAsia="zh-CN"/>
          </w:rPr>
          <w:t>(一)、建设周期</w:t>
        </w:r>
        <w:r>
          <w:tab/>
        </w:r>
        <w:r>
          <w:fldChar w:fldCharType="begin"/>
        </w:r>
        <w:r>
          <w:instrText xml:space="preserve"> PAGEREF _Toc19371 \h </w:instrText>
        </w:r>
        <w:r>
          <w:fldChar w:fldCharType="separate"/>
        </w:r>
        <w:r>
          <w:t>26</w:t>
        </w:r>
        <w:r>
          <w:fldChar w:fldCharType="end"/>
        </w:r>
      </w:hyperlink>
    </w:p>
    <w:p>
      <w:pPr>
        <w:pStyle w:val="TOC2"/>
        <w:tabs>
          <w:tab w:val="right" w:leader="dot" w:pos="8306"/>
        </w:tabs>
      </w:pPr>
      <w:hyperlink w:anchor="_Toc3919" w:history="1">
        <w:r>
          <w:rPr>
            <w:rFonts w:ascii="仿宋" w:eastAsia="仿宋" w:hAnsi="仿宋" w:cs="仿宋" w:hint="eastAsia"/>
            <w:lang w:eastAsia="zh-CN"/>
          </w:rPr>
          <w:t>(二)、建设进度</w:t>
        </w:r>
        <w:r>
          <w:tab/>
        </w:r>
        <w:r>
          <w:fldChar w:fldCharType="begin"/>
        </w:r>
        <w:r>
          <w:instrText xml:space="preserve"> PAGEREF _Toc3919 \h </w:instrText>
        </w:r>
        <w:r>
          <w:fldChar w:fldCharType="separate"/>
        </w:r>
        <w:r>
          <w:t>27</w:t>
        </w:r>
        <w:r>
          <w:fldChar w:fldCharType="end"/>
        </w:r>
      </w:hyperlink>
    </w:p>
    <w:p>
      <w:pPr>
        <w:pStyle w:val="TOC2"/>
        <w:tabs>
          <w:tab w:val="right" w:leader="dot" w:pos="8306"/>
        </w:tabs>
      </w:pPr>
      <w:hyperlink w:anchor="_Toc3608" w:history="1">
        <w:r>
          <w:rPr>
            <w:rFonts w:ascii="仿宋" w:eastAsia="仿宋" w:hAnsi="仿宋" w:cs="仿宋" w:hint="eastAsia"/>
            <w:lang w:eastAsia="zh-CN"/>
          </w:rPr>
          <w:t>(三)、进度安排注意事项</w:t>
        </w:r>
        <w:r>
          <w:tab/>
        </w:r>
        <w:r>
          <w:fldChar w:fldCharType="begin"/>
        </w:r>
        <w:r>
          <w:instrText xml:space="preserve"> PAGEREF _Toc3608 \h </w:instrText>
        </w:r>
        <w:r>
          <w:fldChar w:fldCharType="separate"/>
        </w:r>
        <w:r>
          <w:t>28</w:t>
        </w:r>
        <w:r>
          <w:fldChar w:fldCharType="end"/>
        </w:r>
      </w:hyperlink>
    </w:p>
    <w:p>
      <w:pPr>
        <w:pStyle w:val="TOC2"/>
        <w:tabs>
          <w:tab w:val="right" w:leader="dot" w:pos="8306"/>
        </w:tabs>
      </w:pPr>
      <w:hyperlink w:anchor="_Toc3858" w:history="1">
        <w:r>
          <w:rPr>
            <w:rFonts w:ascii="仿宋" w:eastAsia="仿宋" w:hAnsi="仿宋" w:cs="仿宋" w:hint="eastAsia"/>
            <w:lang w:eastAsia="zh-CN"/>
          </w:rPr>
          <w:t>(四)、人力资源配置</w:t>
        </w:r>
        <w:r>
          <w:tab/>
        </w:r>
        <w:r>
          <w:fldChar w:fldCharType="begin"/>
        </w:r>
        <w:r>
          <w:instrText xml:space="preserve"> PAGEREF _Toc3858 \h </w:instrText>
        </w:r>
        <w:r>
          <w:fldChar w:fldCharType="separate"/>
        </w:r>
        <w:r>
          <w:t>30</w:t>
        </w:r>
        <w:r>
          <w:fldChar w:fldCharType="end"/>
        </w:r>
      </w:hyperlink>
    </w:p>
    <w:p>
      <w:pPr>
        <w:pStyle w:val="TOC1"/>
        <w:tabs>
          <w:tab w:val="right" w:leader="dot" w:pos="8306"/>
        </w:tabs>
      </w:pPr>
      <w:hyperlink w:anchor="_Toc17621" w:history="1">
        <w:r>
          <w:rPr>
            <w:rFonts w:ascii="仿宋" w:eastAsia="仿宋" w:hAnsi="仿宋" w:cs="仿宋" w:hint="eastAsia"/>
            <w:lang w:eastAsia="zh-CN"/>
          </w:rPr>
          <w:t>九、超细氮化硅项目创新与研发</w:t>
        </w:r>
        <w:r>
          <w:tab/>
        </w:r>
        <w:r>
          <w:fldChar w:fldCharType="begin"/>
        </w:r>
        <w:r>
          <w:instrText xml:space="preserve"> PAGEREF _Toc17621 \h </w:instrText>
        </w:r>
        <w:r>
          <w:fldChar w:fldCharType="separate"/>
        </w:r>
        <w:r>
          <w:t>30</w:t>
        </w:r>
        <w:r>
          <w:fldChar w:fldCharType="end"/>
        </w:r>
      </w:hyperlink>
    </w:p>
    <w:p>
      <w:pPr>
        <w:pStyle w:val="TOC2"/>
        <w:tabs>
          <w:tab w:val="right" w:leader="dot" w:pos="8306"/>
        </w:tabs>
      </w:pPr>
      <w:hyperlink w:anchor="_Toc10085" w:history="1">
        <w:r>
          <w:rPr>
            <w:rFonts w:ascii="仿宋" w:eastAsia="仿宋" w:hAnsi="仿宋" w:cs="仿宋" w:hint="eastAsia"/>
            <w:lang w:eastAsia="zh-CN"/>
          </w:rPr>
          <w:t>(一)、创新策略与方向</w:t>
        </w:r>
        <w:r>
          <w:tab/>
        </w:r>
        <w:r>
          <w:fldChar w:fldCharType="begin"/>
        </w:r>
        <w:r>
          <w:instrText xml:space="preserve"> PAGEREF _Toc10085 \h </w:instrText>
        </w:r>
        <w:r>
          <w:fldChar w:fldCharType="separate"/>
        </w:r>
        <w:r>
          <w:t>30</w:t>
        </w:r>
        <w:r>
          <w:fldChar w:fldCharType="end"/>
        </w:r>
      </w:hyperlink>
    </w:p>
    <w:p>
      <w:pPr>
        <w:pStyle w:val="TOC2"/>
        <w:tabs>
          <w:tab w:val="right" w:leader="dot" w:pos="8306"/>
        </w:tabs>
      </w:pPr>
      <w:hyperlink w:anchor="_Toc10846" w:history="1">
        <w:r>
          <w:rPr>
            <w:rFonts w:ascii="仿宋" w:eastAsia="仿宋" w:hAnsi="仿宋" w:cs="仿宋" w:hint="eastAsia"/>
            <w:lang w:eastAsia="zh-CN"/>
          </w:rPr>
          <w:t>(二)、研发规划与投入</w:t>
        </w:r>
        <w:r>
          <w:tab/>
        </w:r>
        <w:r>
          <w:fldChar w:fldCharType="begin"/>
        </w:r>
        <w:r>
          <w:instrText xml:space="preserve"> PAGEREF _Toc10846 \h </w:instrText>
        </w:r>
        <w:r>
          <w:fldChar w:fldCharType="separate"/>
        </w:r>
        <w:r>
          <w:t>32</w:t>
        </w:r>
        <w:r>
          <w:fldChar w:fldCharType="end"/>
        </w:r>
      </w:hyperlink>
    </w:p>
    <w:p>
      <w:pPr>
        <w:pStyle w:val="TOC1"/>
        <w:tabs>
          <w:tab w:val="right" w:leader="dot" w:pos="8306"/>
        </w:tabs>
      </w:pPr>
      <w:hyperlink w:anchor="_Toc16106" w:history="1">
        <w:r>
          <w:rPr>
            <w:rFonts w:ascii="仿宋" w:eastAsia="仿宋" w:hAnsi="仿宋" w:cs="仿宋" w:hint="eastAsia"/>
            <w:lang w:eastAsia="zh-CN"/>
          </w:rPr>
          <w:t>十、超细氮化硅项目财务管理</w:t>
        </w:r>
        <w:r>
          <w:tab/>
        </w:r>
        <w:r>
          <w:fldChar w:fldCharType="begin"/>
        </w:r>
        <w:r>
          <w:instrText xml:space="preserve"> PAGEREF _Toc16106 \h </w:instrText>
        </w:r>
        <w:r>
          <w:fldChar w:fldCharType="separate"/>
        </w:r>
        <w:r>
          <w:t>34</w:t>
        </w:r>
        <w:r>
          <w:fldChar w:fldCharType="end"/>
        </w:r>
      </w:hyperlink>
    </w:p>
    <w:p>
      <w:pPr>
        <w:pStyle w:val="TOC2"/>
        <w:tabs>
          <w:tab w:val="right" w:leader="dot" w:pos="8306"/>
        </w:tabs>
      </w:pPr>
      <w:hyperlink w:anchor="_Toc4243" w:history="1">
        <w:r>
          <w:rPr>
            <w:rFonts w:ascii="仿宋" w:eastAsia="仿宋" w:hAnsi="仿宋" w:cs="仿宋" w:hint="eastAsia"/>
            <w:lang w:eastAsia="zh-CN"/>
          </w:rPr>
          <w:t>(一)、资金需求大</w:t>
        </w:r>
        <w:r>
          <w:tab/>
        </w:r>
        <w:r>
          <w:fldChar w:fldCharType="begin"/>
        </w:r>
        <w:r>
          <w:instrText xml:space="preserve"> PAGEREF _Toc4243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67" w:history="1">
        <w:r>
          <w:rPr>
            <w:rFonts w:ascii="仿宋" w:eastAsia="仿宋" w:hAnsi="仿宋" w:cs="仿宋" w:hint="eastAsia"/>
            <w:lang w:eastAsia="zh-CN"/>
          </w:rPr>
          <w:t>(二)、研发周期长</w:t>
        </w:r>
        <w:r>
          <w:tab/>
        </w:r>
        <w:r>
          <w:fldChar w:fldCharType="begin"/>
        </w:r>
        <w:r>
          <w:instrText xml:space="preserve"> PAGEREF _Toc30367 \h </w:instrText>
        </w:r>
        <w:r>
          <w:fldChar w:fldCharType="separate"/>
        </w:r>
        <w:r>
          <w:t>35</w:t>
        </w:r>
        <w:r>
          <w:fldChar w:fldCharType="end"/>
        </w:r>
      </w:hyperlink>
    </w:p>
    <w:p>
      <w:pPr>
        <w:pStyle w:val="TOC2"/>
        <w:tabs>
          <w:tab w:val="right" w:leader="dot" w:pos="8306"/>
        </w:tabs>
      </w:pPr>
      <w:hyperlink w:anchor="_Toc22676" w:history="1">
        <w:r>
          <w:rPr>
            <w:rFonts w:ascii="仿宋" w:eastAsia="仿宋" w:hAnsi="仿宋" w:cs="仿宋" w:hint="eastAsia"/>
            <w:lang w:eastAsia="zh-CN"/>
          </w:rPr>
          <w:t>(三)、市场风险大</w:t>
        </w:r>
        <w:r>
          <w:tab/>
        </w:r>
        <w:r>
          <w:fldChar w:fldCharType="begin"/>
        </w:r>
        <w:r>
          <w:instrText xml:space="preserve"> PAGEREF _Toc22676 \h </w:instrText>
        </w:r>
        <w:r>
          <w:fldChar w:fldCharType="separate"/>
        </w:r>
        <w:r>
          <w:t>36</w:t>
        </w:r>
        <w:r>
          <w:fldChar w:fldCharType="end"/>
        </w:r>
      </w:hyperlink>
    </w:p>
    <w:p>
      <w:pPr>
        <w:pStyle w:val="TOC2"/>
        <w:tabs>
          <w:tab w:val="right" w:leader="dot" w:pos="8306"/>
        </w:tabs>
      </w:pPr>
      <w:hyperlink w:anchor="_Toc18137" w:history="1">
        <w:r>
          <w:rPr>
            <w:rFonts w:ascii="仿宋" w:eastAsia="仿宋" w:hAnsi="仿宋" w:cs="仿宋" w:hint="eastAsia"/>
            <w:lang w:eastAsia="zh-CN"/>
          </w:rPr>
          <w:t>(四)、利润率高</w:t>
        </w:r>
        <w:r>
          <w:tab/>
        </w:r>
        <w:r>
          <w:fldChar w:fldCharType="begin"/>
        </w:r>
        <w:r>
          <w:instrText xml:space="preserve"> PAGEREF _Toc18137 \h </w:instrText>
        </w:r>
        <w:r>
          <w:fldChar w:fldCharType="separate"/>
        </w:r>
        <w:r>
          <w:t>39</w:t>
        </w:r>
        <w:r>
          <w:fldChar w:fldCharType="end"/>
        </w:r>
      </w:hyperlink>
    </w:p>
    <w:p>
      <w:pPr>
        <w:pStyle w:val="TOC1"/>
        <w:tabs>
          <w:tab w:val="right" w:leader="dot" w:pos="8306"/>
        </w:tabs>
      </w:pPr>
      <w:hyperlink w:anchor="_Toc3662" w:history="1">
        <w:r>
          <w:rPr>
            <w:rFonts w:ascii="仿宋" w:eastAsia="仿宋" w:hAnsi="仿宋" w:cs="仿宋" w:hint="eastAsia"/>
            <w:lang w:eastAsia="zh-CN"/>
          </w:rPr>
          <w:t>十一、超细氮化硅项目环境影响分析</w:t>
        </w:r>
        <w:r>
          <w:tab/>
        </w:r>
        <w:r>
          <w:fldChar w:fldCharType="begin"/>
        </w:r>
        <w:r>
          <w:instrText xml:space="preserve"> PAGEREF _Toc3662 \h </w:instrText>
        </w:r>
        <w:r>
          <w:fldChar w:fldCharType="separate"/>
        </w:r>
        <w:r>
          <w:t>41</w:t>
        </w:r>
        <w:r>
          <w:fldChar w:fldCharType="end"/>
        </w:r>
      </w:hyperlink>
    </w:p>
    <w:p>
      <w:pPr>
        <w:pStyle w:val="TOC2"/>
        <w:tabs>
          <w:tab w:val="right" w:leader="dot" w:pos="8306"/>
        </w:tabs>
      </w:pPr>
      <w:hyperlink w:anchor="_Toc21777" w:history="1">
        <w:r>
          <w:rPr>
            <w:rFonts w:ascii="仿宋" w:eastAsia="仿宋" w:hAnsi="仿宋" w:cs="仿宋" w:hint="eastAsia"/>
            <w:lang w:eastAsia="zh-CN"/>
          </w:rPr>
          <w:t>(一)、建设区域环境质量现状</w:t>
        </w:r>
        <w:r>
          <w:tab/>
        </w:r>
        <w:r>
          <w:fldChar w:fldCharType="begin"/>
        </w:r>
        <w:r>
          <w:instrText xml:space="preserve"> PAGEREF _Toc21777 \h </w:instrText>
        </w:r>
        <w:r>
          <w:fldChar w:fldCharType="separate"/>
        </w:r>
        <w:r>
          <w:t>41</w:t>
        </w:r>
        <w:r>
          <w:fldChar w:fldCharType="end"/>
        </w:r>
      </w:hyperlink>
    </w:p>
    <w:p>
      <w:pPr>
        <w:pStyle w:val="TOC2"/>
        <w:tabs>
          <w:tab w:val="right" w:leader="dot" w:pos="8306"/>
        </w:tabs>
      </w:pPr>
      <w:hyperlink w:anchor="_Toc28047" w:history="1">
        <w:r>
          <w:rPr>
            <w:rFonts w:ascii="仿宋" w:eastAsia="仿宋" w:hAnsi="仿宋" w:cs="仿宋" w:hint="eastAsia"/>
            <w:lang w:eastAsia="zh-CN"/>
          </w:rPr>
          <w:t>(二)、建设期环境保护</w:t>
        </w:r>
        <w:r>
          <w:tab/>
        </w:r>
        <w:r>
          <w:fldChar w:fldCharType="begin"/>
        </w:r>
        <w:r>
          <w:instrText xml:space="preserve"> PAGEREF _Toc28047 \h </w:instrText>
        </w:r>
        <w:r>
          <w:fldChar w:fldCharType="separate"/>
        </w:r>
        <w:r>
          <w:t>42</w:t>
        </w:r>
        <w:r>
          <w:fldChar w:fldCharType="end"/>
        </w:r>
      </w:hyperlink>
    </w:p>
    <w:p>
      <w:pPr>
        <w:pStyle w:val="TOC2"/>
        <w:tabs>
          <w:tab w:val="right" w:leader="dot" w:pos="8306"/>
        </w:tabs>
      </w:pPr>
      <w:hyperlink w:anchor="_Toc20788" w:history="1">
        <w:r>
          <w:rPr>
            <w:rFonts w:ascii="仿宋" w:eastAsia="仿宋" w:hAnsi="仿宋" w:cs="仿宋" w:hint="eastAsia"/>
            <w:lang w:eastAsia="zh-CN"/>
          </w:rPr>
          <w:t>(三)、运营期环境保护</w:t>
        </w:r>
        <w:r>
          <w:tab/>
        </w:r>
        <w:r>
          <w:fldChar w:fldCharType="begin"/>
        </w:r>
        <w:r>
          <w:instrText xml:space="preserve"> PAGEREF _Toc20788 \h </w:instrText>
        </w:r>
        <w:r>
          <w:fldChar w:fldCharType="separate"/>
        </w:r>
        <w:r>
          <w:t>43</w:t>
        </w:r>
        <w:r>
          <w:fldChar w:fldCharType="end"/>
        </w:r>
      </w:hyperlink>
    </w:p>
    <w:p>
      <w:pPr>
        <w:pStyle w:val="TOC2"/>
        <w:tabs>
          <w:tab w:val="right" w:leader="dot" w:pos="8306"/>
        </w:tabs>
      </w:pPr>
      <w:hyperlink w:anchor="_Toc1179" w:history="1">
        <w:r>
          <w:rPr>
            <w:rFonts w:ascii="仿宋" w:eastAsia="仿宋" w:hAnsi="仿宋" w:cs="仿宋" w:hint="eastAsia"/>
            <w:lang w:eastAsia="zh-CN"/>
          </w:rPr>
          <w:t>(四)、超细氮化硅项目建设对区域经济的影响</w:t>
        </w:r>
        <w:r>
          <w:tab/>
        </w:r>
        <w:r>
          <w:fldChar w:fldCharType="begin"/>
        </w:r>
        <w:r>
          <w:instrText xml:space="preserve"> PAGEREF _Toc1179 \h </w:instrText>
        </w:r>
        <w:r>
          <w:fldChar w:fldCharType="separate"/>
        </w:r>
        <w:r>
          <w:t>45</w:t>
        </w:r>
        <w:r>
          <w:fldChar w:fldCharType="end"/>
        </w:r>
      </w:hyperlink>
    </w:p>
    <w:p>
      <w:pPr>
        <w:pStyle w:val="TOC2"/>
        <w:tabs>
          <w:tab w:val="right" w:leader="dot" w:pos="8306"/>
        </w:tabs>
      </w:pPr>
      <w:hyperlink w:anchor="_Toc24145" w:history="1">
        <w:r>
          <w:rPr>
            <w:rFonts w:ascii="仿宋" w:eastAsia="仿宋" w:hAnsi="仿宋" w:cs="仿宋" w:hint="eastAsia"/>
            <w:lang w:eastAsia="zh-CN"/>
          </w:rPr>
          <w:t>(五)、废弃物处理</w:t>
        </w:r>
        <w:r>
          <w:tab/>
        </w:r>
        <w:r>
          <w:fldChar w:fldCharType="begin"/>
        </w:r>
        <w:r>
          <w:instrText xml:space="preserve"> PAGEREF _Toc24145 \h </w:instrText>
        </w:r>
        <w:r>
          <w:fldChar w:fldCharType="separate"/>
        </w:r>
        <w:r>
          <w:t>47</w:t>
        </w:r>
        <w:r>
          <w:fldChar w:fldCharType="end"/>
        </w:r>
      </w:hyperlink>
    </w:p>
    <w:p>
      <w:pPr>
        <w:pStyle w:val="TOC2"/>
        <w:tabs>
          <w:tab w:val="right" w:leader="dot" w:pos="8306"/>
        </w:tabs>
      </w:pPr>
      <w:hyperlink w:anchor="_Toc2206" w:history="1">
        <w:r>
          <w:rPr>
            <w:rFonts w:ascii="仿宋" w:eastAsia="仿宋" w:hAnsi="仿宋" w:cs="仿宋" w:hint="eastAsia"/>
            <w:lang w:eastAsia="zh-CN"/>
          </w:rPr>
          <w:t>(六)、特殊环境影响分析</w:t>
        </w:r>
        <w:r>
          <w:tab/>
        </w:r>
        <w:r>
          <w:fldChar w:fldCharType="begin"/>
        </w:r>
        <w:r>
          <w:instrText xml:space="preserve"> PAGEREF _Toc2206 \h </w:instrText>
        </w:r>
        <w:r>
          <w:fldChar w:fldCharType="separate"/>
        </w:r>
        <w:r>
          <w:t>48</w:t>
        </w:r>
        <w:r>
          <w:fldChar w:fldCharType="end"/>
        </w:r>
      </w:hyperlink>
    </w:p>
    <w:p>
      <w:pPr>
        <w:pStyle w:val="TOC2"/>
        <w:tabs>
          <w:tab w:val="right" w:leader="dot" w:pos="8306"/>
        </w:tabs>
      </w:pPr>
      <w:hyperlink w:anchor="_Toc27098" w:history="1">
        <w:r>
          <w:rPr>
            <w:rFonts w:ascii="仿宋" w:eastAsia="仿宋" w:hAnsi="仿宋" w:cs="仿宋" w:hint="eastAsia"/>
            <w:lang w:eastAsia="zh-CN"/>
          </w:rPr>
          <w:t>(七)、清洁生产</w:t>
        </w:r>
        <w:r>
          <w:tab/>
        </w:r>
        <w:r>
          <w:fldChar w:fldCharType="begin"/>
        </w:r>
        <w:r>
          <w:instrText xml:space="preserve"> PAGEREF _Toc27098 \h </w:instrText>
        </w:r>
        <w:r>
          <w:fldChar w:fldCharType="separate"/>
        </w:r>
        <w:r>
          <w:t>49</w:t>
        </w:r>
        <w:r>
          <w:fldChar w:fldCharType="end"/>
        </w:r>
      </w:hyperlink>
    </w:p>
    <w:p>
      <w:pPr>
        <w:pStyle w:val="TOC2"/>
        <w:tabs>
          <w:tab w:val="right" w:leader="dot" w:pos="8306"/>
        </w:tabs>
      </w:pPr>
      <w:hyperlink w:anchor="_Toc21099" w:history="1">
        <w:r>
          <w:rPr>
            <w:rFonts w:ascii="仿宋" w:eastAsia="仿宋" w:hAnsi="仿宋" w:cs="仿宋" w:hint="eastAsia"/>
            <w:lang w:eastAsia="zh-CN"/>
          </w:rPr>
          <w:t>(八)、环境保护综合评价</w:t>
        </w:r>
        <w:r>
          <w:tab/>
        </w:r>
        <w:r>
          <w:fldChar w:fldCharType="begin"/>
        </w:r>
        <w:r>
          <w:instrText xml:space="preserve"> PAGEREF _Toc21099 \h </w:instrText>
        </w:r>
        <w:r>
          <w:fldChar w:fldCharType="separate"/>
        </w:r>
        <w:r>
          <w:t>50</w:t>
        </w:r>
        <w:r>
          <w:fldChar w:fldCharType="end"/>
        </w:r>
      </w:hyperlink>
    </w:p>
    <w:p>
      <w:pPr>
        <w:pStyle w:val="TOC1"/>
        <w:tabs>
          <w:tab w:val="right" w:leader="dot" w:pos="8306"/>
        </w:tabs>
      </w:pPr>
      <w:hyperlink w:anchor="_Toc11737" w:history="1">
        <w:r>
          <w:rPr>
            <w:rFonts w:ascii="仿宋" w:eastAsia="仿宋" w:hAnsi="仿宋" w:cs="仿宋" w:hint="eastAsia"/>
            <w:lang w:eastAsia="zh-CN"/>
          </w:rPr>
          <w:t>十二、超细氮化硅项目人力资源管理</w:t>
        </w:r>
        <w:r>
          <w:tab/>
        </w:r>
        <w:r>
          <w:fldChar w:fldCharType="begin"/>
        </w:r>
        <w:r>
          <w:instrText xml:space="preserve"> PAGEREF _Toc11737 \h </w:instrText>
        </w:r>
        <w:r>
          <w:fldChar w:fldCharType="separate"/>
        </w:r>
        <w:r>
          <w:t>51</w:t>
        </w:r>
        <w:r>
          <w:fldChar w:fldCharType="end"/>
        </w:r>
      </w:hyperlink>
    </w:p>
    <w:p>
      <w:pPr>
        <w:pStyle w:val="TOC2"/>
        <w:tabs>
          <w:tab w:val="right" w:leader="dot" w:pos="8306"/>
        </w:tabs>
      </w:pPr>
      <w:hyperlink w:anchor="_Toc28258" w:history="1">
        <w:r>
          <w:rPr>
            <w:rFonts w:ascii="仿宋" w:eastAsia="仿宋" w:hAnsi="仿宋" w:cs="仿宋" w:hint="eastAsia"/>
            <w:lang w:eastAsia="zh-CN"/>
          </w:rPr>
          <w:t>(一)、建立健全的预算管理制度</w:t>
        </w:r>
        <w:r>
          <w:tab/>
        </w:r>
        <w:r>
          <w:fldChar w:fldCharType="begin"/>
        </w:r>
        <w:r>
          <w:instrText xml:space="preserve"> PAGEREF _Toc28258 \h </w:instrText>
        </w:r>
        <w:r>
          <w:fldChar w:fldCharType="separate"/>
        </w:r>
        <w:r>
          <w:t>51</w:t>
        </w:r>
        <w:r>
          <w:fldChar w:fldCharType="end"/>
        </w:r>
      </w:hyperlink>
    </w:p>
    <w:p>
      <w:pPr>
        <w:pStyle w:val="TOC2"/>
        <w:tabs>
          <w:tab w:val="right" w:leader="dot" w:pos="8306"/>
        </w:tabs>
      </w:pPr>
      <w:hyperlink w:anchor="_Toc15803" w:history="1">
        <w:r>
          <w:rPr>
            <w:rFonts w:ascii="仿宋" w:eastAsia="仿宋" w:hAnsi="仿宋" w:cs="仿宋" w:hint="eastAsia"/>
            <w:lang w:eastAsia="zh-CN"/>
          </w:rPr>
          <w:t>(二)、加强资金流动监控</w:t>
        </w:r>
        <w:r>
          <w:tab/>
        </w:r>
        <w:r>
          <w:fldChar w:fldCharType="begin"/>
        </w:r>
        <w:r>
          <w:instrText xml:space="preserve"> PAGEREF _Toc15803 \h </w:instrText>
        </w:r>
        <w:r>
          <w:fldChar w:fldCharType="separate"/>
        </w:r>
        <w:r>
          <w:t>53</w:t>
        </w:r>
        <w:r>
          <w:fldChar w:fldCharType="end"/>
        </w:r>
      </w:hyperlink>
    </w:p>
    <w:p>
      <w:pPr>
        <w:pStyle w:val="TOC2"/>
        <w:tabs>
          <w:tab w:val="right" w:leader="dot" w:pos="8306"/>
        </w:tabs>
      </w:pPr>
      <w:hyperlink w:anchor="_Toc16513" w:history="1">
        <w:r>
          <w:rPr>
            <w:rFonts w:ascii="仿宋" w:eastAsia="仿宋" w:hAnsi="仿宋" w:cs="仿宋" w:hint="eastAsia"/>
            <w:lang w:eastAsia="zh-CN"/>
          </w:rPr>
          <w:t>(三)、制定完善的风险控制机制</w:t>
        </w:r>
        <w:r>
          <w:tab/>
        </w:r>
        <w:r>
          <w:fldChar w:fldCharType="begin"/>
        </w:r>
        <w:r>
          <w:instrText xml:space="preserve"> PAGEREF _Toc16513 \h </w:instrText>
        </w:r>
        <w:r>
          <w:fldChar w:fldCharType="separate"/>
        </w:r>
        <w:r>
          <w:t>54</w:t>
        </w:r>
        <w:r>
          <w:fldChar w:fldCharType="end"/>
        </w:r>
      </w:hyperlink>
    </w:p>
    <w:p>
      <w:pPr>
        <w:pStyle w:val="TOC2"/>
        <w:tabs>
          <w:tab w:val="right" w:leader="dot" w:pos="8306"/>
        </w:tabs>
      </w:pPr>
      <w:hyperlink w:anchor="_Toc15020" w:history="1">
        <w:r>
          <w:rPr>
            <w:rFonts w:ascii="仿宋" w:eastAsia="仿宋" w:hAnsi="仿宋" w:cs="仿宋" w:hint="eastAsia"/>
            <w:lang w:eastAsia="zh-CN"/>
          </w:rPr>
          <w:t>(四)、优化成本管理</w:t>
        </w:r>
        <w:r>
          <w:tab/>
        </w:r>
        <w:r>
          <w:fldChar w:fldCharType="begin"/>
        </w:r>
        <w:r>
          <w:instrText xml:space="preserve"> PAGEREF _Toc15020 \h </w:instrText>
        </w:r>
        <w:r>
          <w:fldChar w:fldCharType="separate"/>
        </w:r>
        <w:r>
          <w:t>55</w:t>
        </w:r>
        <w:r>
          <w:fldChar w:fldCharType="end"/>
        </w:r>
      </w:hyperlink>
    </w:p>
    <w:p>
      <w:pPr>
        <w:pStyle w:val="TOC1"/>
        <w:tabs>
          <w:tab w:val="right" w:leader="dot" w:pos="8306"/>
        </w:tabs>
      </w:pPr>
      <w:hyperlink w:anchor="_Toc1504" w:history="1">
        <w:r>
          <w:rPr>
            <w:rFonts w:ascii="仿宋" w:eastAsia="仿宋" w:hAnsi="仿宋" w:cs="仿宋" w:hint="eastAsia"/>
            <w:lang w:eastAsia="zh-CN"/>
          </w:rPr>
          <w:t>十三、风险识别与分类</w:t>
        </w:r>
        <w:r>
          <w:tab/>
        </w:r>
        <w:r>
          <w:fldChar w:fldCharType="begin"/>
        </w:r>
        <w:r>
          <w:instrText xml:space="preserve"> PAGEREF _Toc1504 \h </w:instrText>
        </w:r>
        <w:r>
          <w:fldChar w:fldCharType="separate"/>
        </w:r>
        <w:r>
          <w:t>57</w:t>
        </w:r>
        <w:r>
          <w:fldChar w:fldCharType="end"/>
        </w:r>
      </w:hyperlink>
    </w:p>
    <w:p>
      <w:pPr>
        <w:pStyle w:val="TOC2"/>
        <w:tabs>
          <w:tab w:val="right" w:leader="dot" w:pos="8306"/>
        </w:tabs>
      </w:pPr>
      <w:hyperlink w:anchor="_Toc29591" w:history="1">
        <w:r>
          <w:rPr>
            <w:rFonts w:ascii="仿宋" w:eastAsia="仿宋" w:hAnsi="仿宋" w:cs="仿宋" w:hint="eastAsia"/>
            <w:lang w:eastAsia="zh-CN"/>
          </w:rPr>
          <w:t>(一)、风险识别</w:t>
        </w:r>
        <w:r>
          <w:tab/>
        </w:r>
        <w:r>
          <w:fldChar w:fldCharType="begin"/>
        </w:r>
        <w:r>
          <w:instrText xml:space="preserve"> PAGEREF _Toc29591 \h </w:instrText>
        </w:r>
        <w:r>
          <w:fldChar w:fldCharType="separate"/>
        </w:r>
        <w:r>
          <w:t>57</w:t>
        </w:r>
        <w:r>
          <w:fldChar w:fldCharType="end"/>
        </w:r>
      </w:hyperlink>
    </w:p>
    <w:p>
      <w:pPr>
        <w:pStyle w:val="TOC2"/>
        <w:tabs>
          <w:tab w:val="right" w:leader="dot" w:pos="8306"/>
        </w:tabs>
      </w:pPr>
      <w:hyperlink w:anchor="_Toc1834" w:history="1">
        <w:r>
          <w:rPr>
            <w:rFonts w:ascii="仿宋" w:eastAsia="仿宋" w:hAnsi="仿宋" w:cs="仿宋" w:hint="eastAsia"/>
            <w:lang w:eastAsia="zh-CN"/>
          </w:rPr>
          <w:t>(二)、风险分类</w:t>
        </w:r>
        <w:r>
          <w:tab/>
        </w:r>
        <w:r>
          <w:fldChar w:fldCharType="begin"/>
        </w:r>
        <w:r>
          <w:instrText xml:space="preserve"> PAGEREF _Toc1834 \h </w:instrText>
        </w:r>
        <w:r>
          <w:fldChar w:fldCharType="separate"/>
        </w:r>
        <w:r>
          <w:t>58</w:t>
        </w:r>
        <w:r>
          <w:fldChar w:fldCharType="end"/>
        </w:r>
      </w:hyperlink>
    </w:p>
    <w:p>
      <w:pPr>
        <w:pStyle w:val="TOC1"/>
        <w:tabs>
          <w:tab w:val="right" w:leader="dot" w:pos="8306"/>
        </w:tabs>
      </w:pPr>
      <w:hyperlink w:anchor="_Toc5693" w:history="1">
        <w:r>
          <w:rPr>
            <w:rFonts w:ascii="仿宋" w:eastAsia="仿宋" w:hAnsi="仿宋" w:cs="仿宋" w:hint="eastAsia"/>
            <w:lang w:eastAsia="zh-CN"/>
          </w:rPr>
          <w:t>十四、超细氮化硅项目工程方案分析</w:t>
        </w:r>
        <w:r>
          <w:tab/>
        </w:r>
        <w:r>
          <w:fldChar w:fldCharType="begin"/>
        </w:r>
        <w:r>
          <w:instrText xml:space="preserve"> PAGEREF _Toc5693 \h </w:instrText>
        </w:r>
        <w:r>
          <w:fldChar w:fldCharType="separate"/>
        </w:r>
        <w:r>
          <w:t>60</w:t>
        </w:r>
        <w:r>
          <w:fldChar w:fldCharType="end"/>
        </w:r>
      </w:hyperlink>
    </w:p>
    <w:p>
      <w:pPr>
        <w:pStyle w:val="TOC2"/>
        <w:tabs>
          <w:tab w:val="right" w:leader="dot" w:pos="8306"/>
        </w:tabs>
      </w:pPr>
      <w:hyperlink w:anchor="_Toc11221" w:history="1">
        <w:r>
          <w:rPr>
            <w:rFonts w:ascii="仿宋" w:eastAsia="仿宋" w:hAnsi="仿宋" w:cs="仿宋" w:hint="eastAsia"/>
            <w:lang w:eastAsia="zh-CN"/>
          </w:rPr>
          <w:t>(一)、建筑工程设计原则</w:t>
        </w:r>
        <w:r>
          <w:tab/>
        </w:r>
        <w:r>
          <w:fldChar w:fldCharType="begin"/>
        </w:r>
        <w:r>
          <w:instrText xml:space="preserve"> PAGEREF _Toc11221 \h </w:instrText>
        </w:r>
        <w:r>
          <w:fldChar w:fldCharType="separate"/>
        </w:r>
        <w:r>
          <w:t>60</w:t>
        </w:r>
        <w:r>
          <w:fldChar w:fldCharType="end"/>
        </w:r>
      </w:hyperlink>
    </w:p>
    <w:p>
      <w:pPr>
        <w:pStyle w:val="TOC2"/>
        <w:tabs>
          <w:tab w:val="right" w:leader="dot" w:pos="8306"/>
        </w:tabs>
      </w:pPr>
      <w:hyperlink w:anchor="_Toc520" w:history="1">
        <w:r>
          <w:rPr>
            <w:rFonts w:ascii="仿宋" w:eastAsia="仿宋" w:hAnsi="仿宋" w:cs="仿宋" w:hint="eastAsia"/>
            <w:lang w:eastAsia="zh-CN"/>
          </w:rPr>
          <w:t>(二)、土建工程建设指标</w:t>
        </w:r>
        <w:r>
          <w:tab/>
        </w:r>
        <w:r>
          <w:fldChar w:fldCharType="begin"/>
        </w:r>
        <w:r>
          <w:instrText xml:space="preserve"> PAGEREF _Toc520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30"/>
      <w:r>
        <w:rPr>
          <w:rFonts w:ascii="仿宋" w:eastAsia="仿宋" w:hAnsi="仿宋" w:cs="仿宋" w:hint="eastAsia"/>
          <w:sz w:val="28"/>
          <w:lang w:eastAsia="zh-CN"/>
        </w:rPr>
        <w:t>一、超细氮化硅项目绩效评估</w:t>
      </w:r>
      <w:bookmarkEnd w:id="2"/>
    </w:p>
    <w:p>
      <w:pPr>
        <w:pStyle w:val="Heading2"/>
        <w:rPr>
          <w:rFonts w:ascii="仿宋" w:eastAsia="仿宋" w:hAnsi="仿宋" w:cs="仿宋" w:hint="eastAsia"/>
          <w:lang w:eastAsia="zh-CN"/>
        </w:rPr>
      </w:pPr>
      <w:bookmarkStart w:id="3" w:name="_Toc101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细氮化硅项目中，我们设计了一套全面的绩效评估指标，以确保超细氮化硅项目的可控和成功交付。这些指标跨足超细氮化硅项目目标、成本、进度和质量等多个维度，为我们提供了全面洞察超细氮化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目标达成率是我们关注的首要指标。我们设定了明确的目标，并通过定期监测和评估，迅速发现并应对潜在的目标偏差。这为超细氮化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成本绩效是另一个核心关注点。通过实际成本与预算成本的对比分析，我们深入了解成本差异的原因，及时调整资源分配，保持超细氮化硅项目在经济效益方面的合理水平。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进度作为关键的绩效指标之一，得到了精心的关注。我们制定了详细的超细氮化硅项目进度计划，并设立了进度符合度指标，确保实际进度与计划进度保持一致。这使我们能够快速发现和解决潜在的进度问题，保持超细氮化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细氮化硅项目绩效的不可或缺的一环。我们引入了一系列的质量标准和客户满意度指标，以确保超细氮化硅项目交付的成果在质量上达到或超越预期水平。通过持续监测这些指标，我们努力提升超细氮化硅项目整体质量水平，为超细氮化硅项目的成功交付提供有力保障。通过这些科学且全面的绩效评估，我们能够更好地引导超细氮化硅项目的持续改进，确保超细氮化硅项目目标的顺利达成。</w:t>
      </w:r>
    </w:p>
    <w:p>
      <w:pPr>
        <w:pStyle w:val="Heading2"/>
        <w:ind w:firstLine="560" w:firstLineChars="200"/>
        <w:rPr>
          <w:rFonts w:ascii="仿宋" w:eastAsia="仿宋" w:hAnsi="仿宋" w:cs="仿宋" w:hint="eastAsia"/>
          <w:sz w:val="28"/>
          <w:lang w:eastAsia="zh-CN"/>
        </w:rPr>
      </w:pPr>
      <w:bookmarkStart w:id="4" w:name="_Toc149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绩效评估是超细氮化硅项目中的关键环节，为确保超细氮化硅项目达到预期目标，我们采用了多层次、多维度的绩效评估方法。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细氮化硅项目的战略目标对齐，确保每个决策和行动都与超细氮化硅项目整体目标保持一致。团队会定期召开战略对齐会议，审视当前工作与超细氮化硅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细氮化硅项目进度、质量、成本和风险等方面。这些指标通过数据收集和分析，为超细氮化硅项目管理团队提供了客观的评估依据。例如，我们通过超细氮化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绩效评估不仅仅停留在超细氮化硅项目内部，还考虑了超细氮化硅项目对外部环境的影响。我们定期进行干系人满意度调查，以了解各利益相关方对超细氮化硅项目的期望和满意度，并及时做出调整。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这种多层次、多角度的绩效评估方法，使得我们能够全面了解超细氮化硅项目的运行状态，及时做出调整，确保超细氮化硅项目在不断变化的环境中保持稳健前行。</w:t>
      </w:r>
    </w:p>
    <w:p>
      <w:pPr>
        <w:pStyle w:val="Heading2"/>
        <w:ind w:firstLine="560" w:firstLineChars="200"/>
        <w:rPr>
          <w:rFonts w:ascii="仿宋" w:eastAsia="仿宋" w:hAnsi="仿宋" w:cs="仿宋" w:hint="eastAsia"/>
          <w:sz w:val="28"/>
          <w:lang w:eastAsia="zh-CN"/>
        </w:rPr>
      </w:pPr>
      <w:bookmarkStart w:id="5" w:name="_Toc84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为了确保超细氮化硅项目的有效管理和不断优化，我们采用了精心设计的绩效评估周期。这个周期旨在实现灵活、实时和全面的评估，以适应超细氮化硅项目执行中的各种挑战。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细氮化硅项目的不同需求，分为短期、中期和长期。短期评估关注每个迭代或工作周期，以及时发现和解决当前任务中的问题。中期评估涵盖几个迭代，深入了解整体超细氮化硅项目的趋势和性能。长期评估则着眼于整个超细氮化硅项目阶段，确保超细氮化硅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细氮化硅项目管理工具和协作平台，团队成员能够随时更新和分享超细氮化硅项目数据。这种实时性的反馈机制使我们能够及时察觉潜在问题，快速调整，保持超细氮化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细氮化硅项目的决策制定密不可分。每个周期的超细氮化硅项目回顾会议成为集体总结经验、识别问题深层次原因并找到创新解决方案的平台。这种定期的反思与调整机制使超细氮化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897"/>
      <w:r>
        <w:rPr>
          <w:rFonts w:ascii="仿宋" w:eastAsia="仿宋" w:hAnsi="仿宋" w:cs="仿宋" w:hint="eastAsia"/>
          <w:sz w:val="28"/>
          <w:lang w:eastAsia="zh-CN"/>
        </w:rPr>
        <w:t>二、超细氮化硅项目概论</w:t>
      </w:r>
      <w:bookmarkEnd w:id="6"/>
    </w:p>
    <w:p>
      <w:pPr>
        <w:pStyle w:val="Heading2"/>
        <w:rPr>
          <w:rFonts w:ascii="仿宋" w:eastAsia="仿宋" w:hAnsi="仿宋" w:cs="仿宋" w:hint="eastAsia"/>
          <w:lang w:eastAsia="zh-CN"/>
        </w:rPr>
      </w:pPr>
      <w:bookmarkStart w:id="7" w:name="_Toc26433"/>
      <w:r>
        <w:rPr>
          <w:rFonts w:ascii="仿宋" w:eastAsia="仿宋" w:hAnsi="仿宋" w:cs="仿宋" w:hint="eastAsia"/>
          <w:lang w:eastAsia="zh-CN"/>
        </w:rPr>
        <w:t>(一)、超细氮化硅项目概况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起源追溯至对市场的深入洞察。市场的不断演变与变革为超细氮化硅项目提供了难得的机遇。当前市场存在的需求缺口和变革的大环境共同构成了超细氮化硅项目的背景。这个超细氮化硅项目旨在充分利用市场机遇，填补行业中尚未满足的需求，为客户提供全新的解决方案。市场的变革和需求的增长使得这个超细氮化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超细氮化硅项目名称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正式命名为超细氮化硅。这个名称不仅仅是一个标识，更代表了超细氮化硅项目的核心理念和愿景。它蕴含着超细氮化硅项目所要解决问题的关键字，具有强烈的表达和辨识度，为超细氮化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超细氮化硅项目目标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核心目标是提供一种全新、高效的解决方案，满足客户日益增长的需求。超细氮化硅项目追求的不仅仅是满足市场需求，更是在市场中获得卓越的竞争优势。通过不断提升产品或服务的质量和创新水平，超细氮化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超细氮化硅项目范围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全面涵盖了产品研发、制造、市场推广和售后服务，确保从产品设计到最终用户体验的全方位关注。这一全面的超细氮化硅项目范围是为了确保超细氮化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超细氮化硅项目时间表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超细氮化硅项目计划在未来18个月内完成，包括研发、测试、市场试点和正式推出等不同阶段。这个时间表的合理设计是为了确保超细氮化硅项目各个阶段的顺利推进，以便按时交付高质量的成果。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超细氮化硅项目预算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超细氮化硅项目总预算估算为XX百万美元，主要分配在研发、市场推广、人员培训和运营等方面。这一充足的预算为超细氮化硅项目提供了充足的资源，确保超细氮化硅项目在各个方面都能取得优异的表现。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超细氮化硅项目风险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可能面临的风险包括市场接受度低、技术难题、竞争激烈等。超细氮化硅项目团队已经制定了相应的风险应对计划，通过前瞻性的风险管理，确保超细氮化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超细氮化硅项目团队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超细氮化硅项目汇聚了一支经验丰富、多领域专业素养的核心团队，确保超细氮化硅项目在各个方面都能拥有高水平的执行力。团队的协同作战是超细氮化硅项目成功的关键因素之一。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超细氮化硅项目背景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超细氮化硅项目的背景根植于市场对更高效、创新产品的渴望，同时也受到科技发展对行业格局的深刻改变的影响。这为超细氮化硅项目提供了广阔的发展空间和市场需求。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超细氮化硅项目现状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截至目前，超细氮化硅项目已完成市场调研和技术验证，取得了初步的成功。这为超细氮化硅项目在未来的发展奠定了坚实的基础，为更远大的目标打下了坚实的基石。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256"/>
      <w:r>
        <w:rPr>
          <w:rFonts w:ascii="仿宋" w:eastAsia="仿宋" w:hAnsi="仿宋" w:cs="仿宋" w:hint="eastAsia"/>
          <w:sz w:val="28"/>
          <w:lang w:eastAsia="zh-CN"/>
        </w:rPr>
        <w:t>(二)、超细氮化硅项目目标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keyword》超细氮化硅项目首要业务目标是在市场中占据有利地位，实现产品/服务的成功推广和销售。通过不断提升产品质量、创新性，超细氮化硅项目追求成为行业中的领导者，赢得更多客户的青睐。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在科技迅速发展的时代，超细氮化硅项目着眼于技术创新。通过持续的研发和技术升级，超细氮化硅项目旨在推出更具创新性的产品或服务，以满足市场对新鲜、先进解决方案的需求。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为了建立可持续的客户关系，超细氮化硅项目设定了客户满意度目标。通过提供卓越的产品质量和优质的客户服务，超细氮化硅项目追求赢得客户的信任和忠诚度，确保他们的满意度达到行业领先水平。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超细氮化硅项目注重社会责任和可持续发展。通过实施环保、社会责任超细氮化硅项目，超细氮化硅项目致力于在经济发展的同时保护环境，促进社会公平，实现可持续经营。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超细氮化硅项目的团队是实现目标的核心驱动力。因此，超细氮化硅项目设定了团队发展目标，包括提升团队成员的专业技能、培养领导力，以及搭建协同高效的团队工作氛围。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156"/>
      <w:r>
        <w:rPr>
          <w:rFonts w:ascii="仿宋" w:eastAsia="仿宋" w:hAnsi="仿宋" w:cs="仿宋" w:hint="eastAsia"/>
          <w:sz w:val="28"/>
          <w:lang w:eastAsia="zh-CN"/>
        </w:rPr>
        <w:t>(三)、超细氮化硅项目提出的理由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超细氮化硅项目提出的理由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提出源于对市场机遇的深刻洞察。当前市场中存在的需求缺口和行业发展趋势表明，有巨大的商业机会等待被开发。通过准确捕捉市场机遇，超细氮化硅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理念基于对技术创新的信仰。通过持续的研发和技术投入，超细氮化硅项目有望推出更具创新性的产品或服务。在科技飞速发展的当下，超细氮化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提出是为了增强企业的行业竞争力。通过提升产品或服务的质量和独特性，超细氮化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响应了消费者需求的变化。随着社会和科技的不断发展，消费者对产品和服务的需求也在发生变化。通过深入了解并及时回应消费者的新需求，超细氮化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超细氮化硅项目的提出是企业战略发展规划的一部分。在面对日益激烈的市场竞争和不断变化的商业环境中，超细氮化硅项目作为企业战略的一环，旨在为企业开辟新的增长领域，巩固企业在行业中的地位。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提出不仅仅是基于商业考量，还注重社会责任。通过推出环保、社会责任等方面的超细氮化硅项目，超细氮化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超细氮化硅项目的提出反映了对利益相关者期望的关注。包括客户、员工、投资者等利益相关者在企业发展中都有着各自的期望，超细氮化硅项目力求在满足这些期望的同时，取得更大的共赢。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729"/>
      <w:r>
        <w:rPr>
          <w:rFonts w:ascii="仿宋" w:eastAsia="仿宋" w:hAnsi="仿宋" w:cs="仿宋" w:hint="eastAsia"/>
          <w:sz w:val="28"/>
          <w:lang w:eastAsia="zh-CN"/>
        </w:rPr>
        <w:t>(四)、超细氮化硅项目意义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在实施超细氮化硅项目的过程中，我们不仅仅是在追逐商业成功，更是为企业和社会的多个层面创造了深远的意义。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氮化硅项目的首要意义在于提升企业的市场竞争力。通过持续的创新和对产品质量的高标准要求，超细氮化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细氮化硅项目的推进将促使行业技术水平的提升。通过引入先进技术和创新性解决方案，超细氮化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细氮化硅项目不仅创造了大量就业机会，提高了就业水平，还注重社会责任和环保。通过参与社会公益事业和推动环保超细氮化硅项目，超细氮化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综合而言，超细氮化硅项目意义重大，不仅推动了企业的发展，也为行业和社会的进步贡献了积极力量。这是一个全面而深刻的影响，将在未来产生可持续的正面效应。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070"/>
      <w:r>
        <w:rPr>
          <w:rFonts w:ascii="仿宋" w:eastAsia="仿宋" w:hAnsi="仿宋" w:cs="仿宋" w:hint="eastAsia"/>
          <w:sz w:val="28"/>
          <w:lang w:eastAsia="zh-CN"/>
        </w:rPr>
        <w:t>(五)、超细氮化硅项目背景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在当今迅猛发展的商业环境中，超细氮化硅项目的动因根植于对多方面因素的审慎考量。这个超细氮化硅项目的提出并非孤立的决策，而是对企业所处背景深入思考的产物。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细氮化硅项目背后的首要原因。科技的迅速发展和全球市场的快速变化使得企业必须灵活应对。超细氮化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竞争的激烈程度也是超细氮化硅项目背景中不可忽视的一环。企业需要在激烈竞争中脱颖而出，为此，超细氮化硅项目致力于打破常规，提供独特的价值主张，以吸引客户并确保市场份额的增长。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技术的迅速发展为企业带来了机遇与挑战。作为超细氮化硅项目启动的背景之一，对新兴技术的应用将有助于提升企业的技术水平，使其在不断演进的商业环境中保持竞争优势。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此外，社会对企业责任的期望也在逐渐升高。超细氮化硅项目充分融入了社会责任的理念，通过可持续经营和社会公益超细氮化硅项目，企图为社会贡献一份力量，在商业成功的同时关注社会价值。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931"/>
      <w:r>
        <w:rPr>
          <w:rFonts w:ascii="仿宋" w:eastAsia="仿宋" w:hAnsi="仿宋" w:cs="仿宋" w:hint="eastAsia"/>
          <w:sz w:val="28"/>
          <w:lang w:eastAsia="zh-CN"/>
        </w:rPr>
        <w:t>三、超细氮化硅项目选址可行性分析</w:t>
      </w:r>
      <w:bookmarkEnd w:id="12"/>
    </w:p>
    <w:p>
      <w:pPr>
        <w:pStyle w:val="Heading2"/>
        <w:rPr>
          <w:rFonts w:ascii="仿宋" w:eastAsia="仿宋" w:hAnsi="仿宋" w:cs="仿宋" w:hint="eastAsia"/>
          <w:lang w:eastAsia="zh-CN"/>
        </w:rPr>
      </w:pPr>
      <w:bookmarkStart w:id="13" w:name="_Toc9114"/>
      <w:r>
        <w:rPr>
          <w:rFonts w:ascii="仿宋" w:eastAsia="仿宋" w:hAnsi="仿宋" w:cs="仿宋" w:hint="eastAsia"/>
          <w:lang w:eastAsia="zh-CN"/>
        </w:rPr>
        <w:t>(一)、超细氮化硅项目选址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该超细氮化硅项目选址位于XX省XX市XX区XXX街道</w:t>
      </w:r>
    </w:p>
    <w:p>
      <w:pPr>
        <w:pStyle w:val="Heading2"/>
        <w:ind w:firstLine="560" w:firstLineChars="200"/>
        <w:rPr>
          <w:rFonts w:ascii="仿宋" w:eastAsia="仿宋" w:hAnsi="仿宋" w:cs="仿宋" w:hint="eastAsia"/>
          <w:sz w:val="28"/>
          <w:lang w:eastAsia="zh-CN"/>
        </w:rPr>
      </w:pPr>
      <w:bookmarkStart w:id="14" w:name="_Toc1584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超细氮化硅项目的征地面积将根据超细氮化硅项目的实际规模和需求进行精确规划。具体面积XXX平方米，旨在确保超细氮化硅项目不仅能够满足当前的发展需求，还能够预留空间以适应未来的扩展。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净用地面积是在征地面积基础上去除不可利用面积后的实际可开发用地。具体面积XXX平方米，考虑到环保、交通、安全等多方面因素，以确保超细氮化硅项目在整体利用效率上达到最优。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超细氮化硅项目计划建设的建筑总规模具体面积XXX平方米。这一规模的确定综合考虑了超细氮化硅项目的性质、规模，以及城市规划的相关要求，确保建筑布局与周边环境协调一致。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绿地率是超细氮化硅项目用地中被规划为绿地的比例。具体面积XXX平方米，旨在通过合理规划绿地，改善超细氮化硅项目周边环境，提升居民生活质量，并符合城市整体绿化规划。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容积率是用地上可以建设的建筑总体积与用地面积之比。具体面积XXX，通过合理的容积率规划，确保超细氮化硅项目建筑规模与周边环境和谐共生。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细氮化硅项目选址与当地城市规划相一致，具体面积XXX平方米。通过与城市规划部门深入沟通，确保超细氮化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细氮化硅项目选址符合当地产业政策，具体面积XXX平方米。这包括超细氮化硅项目对当地经济的促进作用，以及对相关产业的带动效应，确保超细氮化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用地总体要求必须符合环保和可持续发展的原则，具体面积XXX平方米。通过采用绿色建筑设计、节能减排等措施，确保超细氮化硅项目在建设和运营过程中对环境的影响最小化，达到可持续发展的要求。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确保超细氮化硅项目选址具备必要的公共设施配套，具体面积XXX平方米。这包括交通便利性、教育、医疗等基础设施，以提高居民生活品质，使得超细氮化硅项目选址更具吸引力。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考虑用地总体要求对当地社会稳定性的影响，具体面积XXX平方米。通过深入了解当地社区反馈，确保超细氮化硅项目的选址和建设过程对当地社会和谐稳定产生积极作用。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细氮化硅项目选址不仅符合法规和规划，还在实际操作中具有可行性。这一全面规划将为超细氮化硅项目的成功实施提供坚实的基础，确保超细氮化硅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40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氮化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细氮化硅项目的设备规划和空间设计中，我们将采取灵活设备布局的措施。设备布局将根据实际需求进行灵活设计，避免不必要的浪费。通过合理规划设备摆放位置，我们将提高设备的利用率，减少设备间距，以确保超细氮化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细氮化硅项目内部引入共享设施的概念，例如共享会议室、办公区等。通过这种方式，我们可以减少对资源的重复建设，提高资源共享效率，从而减小超细氮化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55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细氮化硅项目的总图布置中，我们将不同功能区域进行明确的规划，以最大程度满足超细氮化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https://d.book118.com/238140061053006041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超细氮化硅项目规划设计方案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9C5156"/>
    <w:rsid w:val="669C51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4006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2024-02-23T20:33:00Z</dcterms:created>
  <dcterms:modified xsi:type="dcterms:W3CDTF">2024-02-23T20:34:06Z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7CF5B454C86845829A559BA010100E4E_11</vt:lpwstr>
  </property>
  <property fmtid="{D5CDD505-2E9C-101B-9397-08002B2CF9AE}" pid="3" name="KSOProductBuildVer">
    <vt:lpwstr>2052-12.1.0.16388</vt:lpwstr>
  </property>
</Properties>
</file>