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1、[题干]以下哪项是肝豆状核变性的临床特征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A.CT特征性改变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B.肝大、惊厥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C.肝细胞损害、脑退行性病变和角膜K-F环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D.肝大、贫血和锥体外系症状。E,肝硬化及锥体外系症状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2、[单选题]异型淋巴细胞增高大于10%的疾病是()。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A.急性淋巴细胞性白血病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B.传染性单核细胞增多症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C.急性淋巴结炎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D.幼年类风湿。E,立克次体感染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3、[题干]尿液检查有助于鉴别肾前性和肾实质性急性肾衰竭，前者尿比重常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A.&gt;1.005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B.&gt;1.010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C.&gt;1.015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D.&gt;1.020。E,&gt;1.025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女婴，10个月。发热、咳嗽1周，气急4d。体检：皮肤猩红热样皮疹，呼吸65/min，鼻翼扇动，两肺中、细湿啰音，右肺背部叩诊稍浊，心率150/min，律齐，肝肋下1.5cm。血白细胞13×109/L，中性粒细胞0.75，淋巴细胞0.25。下列哪项是重症肺炎应用皮质激素治疗指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A.喘憋和呼吸困难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B.中毒性脑病脑水肿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C.肺炎合并休克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D.合并ARDS。E,合并脓胸伴压迫症状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5、[单选题]湿温初起，一般的治疗原则为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A.宣肺解表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B.解表利湿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C.透湿泄热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D.芳香宣化。E,辛开苦泄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https://d.book118.com/245011333032011111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4501133303201111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