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jc w:val="center"/>
        <w:rPr>
          <w:rFonts w:ascii="Times New Roman" w:hAnsi="Times New Roman"/>
          <w:b/>
          <w:bCs/>
          <w:color w:val="000000"/>
          <w:sz w:val="44"/>
          <w:szCs w:val="44"/>
        </w:rPr>
      </w:pPr>
      <w:bookmarkStart w:id="0" w:name="_Toc11079"/>
      <w:bookmarkStart w:id="1" w:name="_Toc13145"/>
      <w:bookmarkStart w:id="2" w:name="_Toc8161"/>
      <w:bookmarkStart w:id="3" w:name="_Toc10678"/>
      <w:bookmarkStart w:id="4" w:name="_Toc20930"/>
      <w:r>
        <w:rPr>
          <w:rFonts w:ascii="Times New Roman" w:hAnsi="Times New Roman"/>
          <w:b/>
          <w:bCs/>
          <w:color w:val="000000"/>
          <w:sz w:val="36"/>
          <w:szCs w:val="44"/>
        </w:rPr>
        <w:t>目录</w:t>
      </w:r>
      <w:bookmarkEnd w:id="0"/>
      <w:bookmarkEnd w:id="1"/>
      <w:bookmarkEnd w:id="2"/>
      <w:bookmarkEnd w:id="3"/>
    </w:p>
    <w:p>
      <w:pPr>
        <w:pStyle w:val="TOC1"/>
        <w:tabs>
          <w:tab w:val="right" w:leader="dot" w:pos="9355"/>
        </w:tabs>
        <w:spacing w:line="360" w:lineRule="auto"/>
        <w:rPr>
          <w:sz w:val="28"/>
          <w:szCs w:val="28"/>
        </w:rPr>
      </w:pPr>
      <w:r>
        <w:rPr>
          <w:b/>
          <w:bCs/>
          <w:color w:val="000000"/>
          <w:sz w:val="28"/>
          <w:szCs w:val="28"/>
        </w:rPr>
        <w:fldChar w:fldCharType="begin"/>
      </w:r>
      <w:r>
        <w:rPr>
          <w:b/>
          <w:bCs/>
          <w:color w:val="000000"/>
          <w:sz w:val="28"/>
          <w:szCs w:val="28"/>
        </w:rPr>
        <w:instrText xml:space="preserve">TOC \o "1-1" \h \u </w:instrText>
      </w:r>
      <w:r>
        <w:rPr>
          <w:b/>
          <w:bCs/>
          <w:color w:val="000000"/>
          <w:sz w:val="28"/>
          <w:szCs w:val="28"/>
        </w:rPr>
        <w:fldChar w:fldCharType="separate"/>
      </w:r>
      <w:hyperlink w:anchor="_Toc22962" w:history="1">
        <w:r>
          <w:rPr>
            <w:snapToGrid w:val="0"/>
            <w:sz w:val="28"/>
            <w:szCs w:val="28"/>
          </w:rPr>
          <w:t>一、建设项目基本情况</w:t>
        </w:r>
        <w:r>
          <w:rPr>
            <w:sz w:val="28"/>
            <w:szCs w:val="28"/>
          </w:rPr>
          <w:tab/>
        </w:r>
        <w:r>
          <w:rPr>
            <w:sz w:val="28"/>
            <w:szCs w:val="28"/>
          </w:rPr>
          <w:fldChar w:fldCharType="begin"/>
        </w:r>
        <w:r>
          <w:rPr>
            <w:sz w:val="28"/>
            <w:szCs w:val="28"/>
          </w:rPr>
          <w:instrText xml:space="preserve"> PAGEREF _Toc22962 \h </w:instrText>
        </w:r>
        <w:r>
          <w:rPr>
            <w:sz w:val="28"/>
            <w:szCs w:val="28"/>
          </w:rPr>
          <w:fldChar w:fldCharType="separate"/>
        </w:r>
        <w:r>
          <w:rPr>
            <w:sz w:val="28"/>
            <w:szCs w:val="28"/>
          </w:rPr>
          <w:t>1</w:t>
        </w:r>
        <w:r>
          <w:rPr>
            <w:sz w:val="28"/>
            <w:szCs w:val="28"/>
          </w:rPr>
          <w:fldChar w:fldCharType="end"/>
        </w:r>
      </w:hyperlink>
    </w:p>
    <w:p>
      <w:pPr>
        <w:pStyle w:val="TOC1"/>
        <w:tabs>
          <w:tab w:val="right" w:leader="dot" w:pos="9355"/>
        </w:tabs>
        <w:spacing w:line="360" w:lineRule="auto"/>
        <w:rPr>
          <w:sz w:val="28"/>
          <w:szCs w:val="28"/>
        </w:rPr>
      </w:pPr>
      <w:hyperlink w:anchor="_Toc31376" w:history="1">
        <w:r>
          <w:rPr>
            <w:snapToGrid w:val="0"/>
            <w:sz w:val="28"/>
            <w:szCs w:val="28"/>
          </w:rPr>
          <w:t>二、建设项目工程分析</w:t>
        </w:r>
        <w:r>
          <w:rPr>
            <w:sz w:val="28"/>
            <w:szCs w:val="28"/>
          </w:rPr>
          <w:tab/>
        </w:r>
        <w:r>
          <w:rPr>
            <w:sz w:val="28"/>
            <w:szCs w:val="28"/>
          </w:rPr>
          <w:fldChar w:fldCharType="begin"/>
        </w:r>
        <w:r>
          <w:rPr>
            <w:sz w:val="28"/>
            <w:szCs w:val="28"/>
          </w:rPr>
          <w:instrText xml:space="preserve"> PAGEREF _Toc31376 \h </w:instrText>
        </w:r>
        <w:r>
          <w:rPr>
            <w:sz w:val="28"/>
            <w:szCs w:val="28"/>
          </w:rPr>
          <w:fldChar w:fldCharType="separate"/>
        </w:r>
        <w:r>
          <w:rPr>
            <w:sz w:val="28"/>
            <w:szCs w:val="28"/>
          </w:rPr>
          <w:t>17</w:t>
        </w:r>
        <w:r>
          <w:rPr>
            <w:sz w:val="28"/>
            <w:szCs w:val="28"/>
          </w:rPr>
          <w:fldChar w:fldCharType="end"/>
        </w:r>
      </w:hyperlink>
    </w:p>
    <w:p>
      <w:pPr>
        <w:pStyle w:val="TOC1"/>
        <w:tabs>
          <w:tab w:val="right" w:leader="dot" w:pos="9355"/>
        </w:tabs>
        <w:spacing w:line="360" w:lineRule="auto"/>
        <w:rPr>
          <w:sz w:val="28"/>
          <w:szCs w:val="28"/>
        </w:rPr>
      </w:pPr>
      <w:hyperlink w:anchor="_Toc16995" w:history="1">
        <w:r>
          <w:rPr>
            <w:snapToGrid w:val="0"/>
            <w:sz w:val="28"/>
            <w:szCs w:val="28"/>
          </w:rPr>
          <w:t>三、区域环境质量现状、环境保护目标及评价标准</w:t>
        </w:r>
        <w:r>
          <w:rPr>
            <w:sz w:val="28"/>
            <w:szCs w:val="28"/>
          </w:rPr>
          <w:tab/>
        </w:r>
        <w:r>
          <w:rPr>
            <w:sz w:val="28"/>
            <w:szCs w:val="28"/>
          </w:rPr>
          <w:fldChar w:fldCharType="begin"/>
        </w:r>
        <w:r>
          <w:rPr>
            <w:sz w:val="28"/>
            <w:szCs w:val="28"/>
          </w:rPr>
          <w:instrText xml:space="preserve"> PAGEREF _Toc16995 \h </w:instrText>
        </w:r>
        <w:r>
          <w:rPr>
            <w:sz w:val="28"/>
            <w:szCs w:val="28"/>
          </w:rPr>
          <w:fldChar w:fldCharType="separate"/>
        </w:r>
        <w:r>
          <w:rPr>
            <w:sz w:val="28"/>
            <w:szCs w:val="28"/>
          </w:rPr>
          <w:t>34</w:t>
        </w:r>
        <w:r>
          <w:rPr>
            <w:sz w:val="28"/>
            <w:szCs w:val="28"/>
          </w:rPr>
          <w:fldChar w:fldCharType="end"/>
        </w:r>
      </w:hyperlink>
    </w:p>
    <w:p>
      <w:pPr>
        <w:pStyle w:val="TOC1"/>
        <w:tabs>
          <w:tab w:val="right" w:leader="dot" w:pos="9355"/>
        </w:tabs>
        <w:spacing w:line="360" w:lineRule="auto"/>
        <w:rPr>
          <w:sz w:val="28"/>
          <w:szCs w:val="28"/>
        </w:rPr>
      </w:pPr>
      <w:hyperlink w:anchor="_Toc11737" w:history="1">
        <w:r>
          <w:rPr>
            <w:snapToGrid w:val="0"/>
            <w:sz w:val="28"/>
            <w:szCs w:val="28"/>
          </w:rPr>
          <w:t>四、主要环境影响和保护措施</w:t>
        </w:r>
        <w:r>
          <w:rPr>
            <w:sz w:val="28"/>
            <w:szCs w:val="28"/>
          </w:rPr>
          <w:tab/>
        </w:r>
        <w:r>
          <w:rPr>
            <w:sz w:val="28"/>
            <w:szCs w:val="28"/>
          </w:rPr>
          <w:fldChar w:fldCharType="begin"/>
        </w:r>
        <w:r>
          <w:rPr>
            <w:sz w:val="28"/>
            <w:szCs w:val="28"/>
          </w:rPr>
          <w:instrText xml:space="preserve"> PAGEREF _Toc11737 \h </w:instrText>
        </w:r>
        <w:r>
          <w:rPr>
            <w:sz w:val="28"/>
            <w:szCs w:val="28"/>
          </w:rPr>
          <w:fldChar w:fldCharType="separate"/>
        </w:r>
        <w:r>
          <w:rPr>
            <w:sz w:val="28"/>
            <w:szCs w:val="28"/>
          </w:rPr>
          <w:t>39</w:t>
        </w:r>
        <w:r>
          <w:rPr>
            <w:sz w:val="28"/>
            <w:szCs w:val="28"/>
          </w:rPr>
          <w:fldChar w:fldCharType="end"/>
        </w:r>
      </w:hyperlink>
    </w:p>
    <w:p>
      <w:pPr>
        <w:pStyle w:val="TOC1"/>
        <w:tabs>
          <w:tab w:val="right" w:leader="dot" w:pos="9355"/>
        </w:tabs>
        <w:spacing w:line="360" w:lineRule="auto"/>
        <w:rPr>
          <w:sz w:val="28"/>
          <w:szCs w:val="28"/>
        </w:rPr>
      </w:pPr>
      <w:hyperlink w:anchor="_Toc7193" w:history="1">
        <w:r>
          <w:rPr>
            <w:snapToGrid w:val="0"/>
            <w:sz w:val="28"/>
            <w:szCs w:val="28"/>
          </w:rPr>
          <w:t>五、环境保护措施监督检查清单</w:t>
        </w:r>
        <w:r>
          <w:rPr>
            <w:sz w:val="28"/>
            <w:szCs w:val="28"/>
          </w:rPr>
          <w:tab/>
        </w:r>
        <w:r>
          <w:rPr>
            <w:sz w:val="28"/>
            <w:szCs w:val="28"/>
          </w:rPr>
          <w:fldChar w:fldCharType="begin"/>
        </w:r>
        <w:r>
          <w:rPr>
            <w:sz w:val="28"/>
            <w:szCs w:val="28"/>
          </w:rPr>
          <w:instrText xml:space="preserve"> PAGEREF _Toc7193 \h </w:instrText>
        </w:r>
        <w:r>
          <w:rPr>
            <w:sz w:val="28"/>
            <w:szCs w:val="28"/>
          </w:rPr>
          <w:fldChar w:fldCharType="separate"/>
        </w:r>
        <w:r>
          <w:rPr>
            <w:sz w:val="28"/>
            <w:szCs w:val="28"/>
          </w:rPr>
          <w:t>57</w:t>
        </w:r>
        <w:r>
          <w:rPr>
            <w:sz w:val="28"/>
            <w:szCs w:val="28"/>
          </w:rPr>
          <w:fldChar w:fldCharType="end"/>
        </w:r>
      </w:hyperlink>
    </w:p>
    <w:p>
      <w:pPr>
        <w:pStyle w:val="TOC1"/>
        <w:tabs>
          <w:tab w:val="right" w:leader="dot" w:pos="9355"/>
        </w:tabs>
        <w:spacing w:line="360" w:lineRule="auto"/>
        <w:rPr>
          <w:sz w:val="28"/>
          <w:szCs w:val="28"/>
        </w:rPr>
      </w:pPr>
      <w:hyperlink w:anchor="_Toc4900" w:history="1">
        <w:r>
          <w:rPr>
            <w:snapToGrid w:val="0"/>
            <w:sz w:val="28"/>
            <w:szCs w:val="28"/>
          </w:rPr>
          <w:t>六、结论</w:t>
        </w:r>
        <w:r>
          <w:rPr>
            <w:sz w:val="28"/>
            <w:szCs w:val="28"/>
          </w:rPr>
          <w:tab/>
        </w:r>
        <w:r>
          <w:rPr>
            <w:sz w:val="28"/>
            <w:szCs w:val="28"/>
          </w:rPr>
          <w:fldChar w:fldCharType="begin"/>
        </w:r>
        <w:r>
          <w:rPr>
            <w:sz w:val="28"/>
            <w:szCs w:val="28"/>
          </w:rPr>
          <w:instrText xml:space="preserve"> PAGEREF _Toc4900 \h </w:instrText>
        </w:r>
        <w:r>
          <w:rPr>
            <w:sz w:val="28"/>
            <w:szCs w:val="28"/>
          </w:rPr>
          <w:fldChar w:fldCharType="separate"/>
        </w:r>
        <w:r>
          <w:rPr>
            <w:sz w:val="28"/>
            <w:szCs w:val="28"/>
          </w:rPr>
          <w:t>58</w:t>
        </w:r>
        <w:r>
          <w:rPr>
            <w:sz w:val="28"/>
            <w:szCs w:val="28"/>
          </w:rPr>
          <w:fldChar w:fldCharType="end"/>
        </w:r>
      </w:hyperlink>
    </w:p>
    <w:p>
      <w:pPr>
        <w:keepNext w:val="0"/>
        <w:keepLines w:val="0"/>
        <w:pageBreakBefore w:val="0"/>
        <w:widowControl w:val="0"/>
        <w:kinsoku/>
        <w:wordWrap/>
        <w:overflowPunct/>
        <w:topLinePunct w:val="0"/>
        <w:autoSpaceDE/>
        <w:autoSpaceDN/>
        <w:bidi w:val="0"/>
        <w:adjustRightInd w:val="0"/>
        <w:snapToGrid w:val="0"/>
        <w:spacing w:line="336" w:lineRule="auto"/>
        <w:textAlignment w:val="auto"/>
        <w:rPr>
          <w:b/>
          <w:bCs/>
          <w:color w:val="000000"/>
          <w:sz w:val="24"/>
        </w:rPr>
      </w:pPr>
      <w:r>
        <w:rPr>
          <w:bCs/>
          <w:color w:val="000000"/>
          <w:sz w:val="28"/>
          <w:szCs w:val="28"/>
        </w:rPr>
        <w:fldChar w:fldCharType="end"/>
      </w:r>
      <w:r>
        <w:rPr>
          <w:b/>
          <w:bCs/>
          <w:color w:val="000000"/>
          <w:sz w:val="24"/>
        </w:rPr>
        <w:t>附图：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color w:val="000000"/>
          <w:sz w:val="24"/>
        </w:rPr>
      </w:pPr>
      <w:r>
        <w:rPr>
          <w:color w:val="000000"/>
          <w:sz w:val="24"/>
        </w:rPr>
        <w:t>附图一：项目地理位置图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color w:val="000000"/>
          <w:sz w:val="24"/>
        </w:rPr>
      </w:pPr>
      <w:r>
        <w:rPr>
          <w:color w:val="000000"/>
          <w:sz w:val="24"/>
        </w:rPr>
        <w:t>附图二：项目</w:t>
      </w:r>
      <w:r>
        <w:rPr>
          <w:rFonts w:hint="eastAsia"/>
          <w:color w:val="000000"/>
          <w:sz w:val="24"/>
        </w:rPr>
        <w:t>周边敏感点</w:t>
      </w:r>
      <w:r>
        <w:rPr>
          <w:color w:val="000000"/>
          <w:sz w:val="24"/>
        </w:rPr>
        <w:t>分布图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rFonts w:hint="default"/>
          <w:color w:val="000000"/>
          <w:sz w:val="24"/>
        </w:rPr>
      </w:pPr>
      <w:r>
        <w:rPr>
          <w:color w:val="000000"/>
          <w:sz w:val="24"/>
        </w:rPr>
        <w:t>附图三：项目平面布置图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color w:val="000000"/>
          <w:sz w:val="24"/>
        </w:rPr>
      </w:pPr>
      <w:r>
        <w:rPr>
          <w:color w:val="000000"/>
          <w:sz w:val="24"/>
        </w:rPr>
        <w:t>附图四：项目与生态保护红线图位置关系图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color w:val="000000"/>
          <w:sz w:val="24"/>
        </w:rPr>
      </w:pPr>
      <w:r>
        <w:rPr>
          <w:color w:val="000000"/>
          <w:sz w:val="24"/>
        </w:rPr>
        <w:t>附图五：</w:t>
      </w:r>
      <w:r>
        <w:rPr>
          <w:rFonts w:hint="eastAsia"/>
          <w:strike w:val="0"/>
          <w:dstrike w:val="0"/>
          <w:color w:val="000000"/>
          <w:sz w:val="24"/>
          <w:u w:val="none"/>
          <w:lang w:val="en-US" w:eastAsia="zh-CN"/>
        </w:rPr>
        <w:t>项目所在区域纳污管网图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rFonts w:hint="eastAsia"/>
          <w:color w:val="000000"/>
          <w:sz w:val="24"/>
        </w:rPr>
      </w:pPr>
      <w:r>
        <w:rPr>
          <w:color w:val="000000"/>
          <w:sz w:val="24"/>
        </w:rPr>
        <w:t>附图</w:t>
      </w:r>
      <w:r>
        <w:rPr>
          <w:rFonts w:hint="eastAsia"/>
          <w:color w:val="000000"/>
          <w:sz w:val="24"/>
          <w:lang w:val="en-US" w:eastAsia="zh-CN"/>
        </w:rPr>
        <w:t>六</w:t>
      </w:r>
      <w:r>
        <w:rPr>
          <w:color w:val="000000"/>
          <w:sz w:val="24"/>
        </w:rPr>
        <w:t>：</w:t>
      </w:r>
      <w:r>
        <w:rPr>
          <w:rFonts w:hint="eastAsia"/>
          <w:color w:val="000000"/>
          <w:sz w:val="24"/>
          <w:lang w:val="en-US" w:eastAsia="zh-CN"/>
        </w:rPr>
        <w:t>项目监测布点图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rFonts w:hint="default"/>
          <w:color w:val="000000"/>
          <w:sz w:val="24"/>
        </w:rPr>
      </w:pPr>
      <w:r>
        <w:rPr>
          <w:rFonts w:hint="eastAsia"/>
          <w:color w:val="000000"/>
          <w:sz w:val="24"/>
          <w:lang w:val="en-US" w:eastAsia="zh-CN"/>
        </w:rPr>
        <w:t>附图七：南昌昌东工业园区原规划范围与扩区调区规划范围图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rFonts w:hint="default"/>
        </w:rPr>
      </w:pPr>
      <w:r>
        <w:rPr>
          <w:rFonts w:hint="eastAsia"/>
          <w:color w:val="000000"/>
          <w:sz w:val="24"/>
          <w:lang w:val="en-US" w:eastAsia="zh-CN"/>
        </w:rPr>
        <w:t>附图八：工程师现场照片</w:t>
      </w:r>
    </w:p>
    <w:p>
      <w:pPr>
        <w:keepNext w:val="0"/>
        <w:keepLines w:val="0"/>
        <w:pageBreakBefore w:val="0"/>
        <w:widowControl w:val="0"/>
        <w:kinsoku/>
        <w:wordWrap/>
        <w:overflowPunct/>
        <w:topLinePunct w:val="0"/>
        <w:autoSpaceDE/>
        <w:autoSpaceDN/>
        <w:bidi w:val="0"/>
        <w:adjustRightInd w:val="0"/>
        <w:snapToGrid w:val="0"/>
        <w:spacing w:line="336" w:lineRule="auto"/>
        <w:textAlignment w:val="auto"/>
        <w:rPr>
          <w:b/>
          <w:bCs/>
          <w:color w:val="000000"/>
          <w:sz w:val="24"/>
        </w:rPr>
      </w:pPr>
      <w:r>
        <w:rPr>
          <w:b/>
          <w:bCs/>
          <w:color w:val="000000"/>
          <w:sz w:val="24"/>
        </w:rPr>
        <w:t>附件：</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color w:val="000000"/>
          <w:sz w:val="24"/>
        </w:rPr>
      </w:pPr>
      <w:r>
        <w:rPr>
          <w:color w:val="000000"/>
          <w:sz w:val="24"/>
        </w:rPr>
        <w:t>附件1：委托书</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outlineLvl w:val="0"/>
        <w:rPr>
          <w:color w:val="000000"/>
          <w:sz w:val="24"/>
        </w:rPr>
      </w:pPr>
      <w:r>
        <w:rPr>
          <w:color w:val="000000"/>
          <w:sz w:val="24"/>
        </w:rPr>
        <w:t>附件2：项目备案通知书</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color w:val="000000"/>
          <w:sz w:val="24"/>
          <w:u w:val="none"/>
        </w:rPr>
      </w:pPr>
      <w:r>
        <w:rPr>
          <w:rFonts w:hint="eastAsia"/>
          <w:color w:val="000000"/>
          <w:sz w:val="24"/>
          <w:u w:val="none"/>
        </w:rPr>
        <w:t>附件3：</w:t>
      </w:r>
      <w:r>
        <w:rPr>
          <w:rFonts w:hint="eastAsia"/>
          <w:color w:val="000000"/>
          <w:sz w:val="24"/>
          <w:lang w:val="en-US" w:eastAsia="zh-CN"/>
        </w:rPr>
        <w:t>建设单位</w:t>
      </w:r>
      <w:r>
        <w:rPr>
          <w:color w:val="000000"/>
          <w:sz w:val="24"/>
        </w:rPr>
        <w:t>营业执照</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outlineLvl w:val="0"/>
        <w:rPr>
          <w:rFonts w:hint="default"/>
          <w:color w:val="000000"/>
          <w:sz w:val="24"/>
        </w:rPr>
      </w:pPr>
      <w:r>
        <w:rPr>
          <w:color w:val="000000"/>
          <w:sz w:val="24"/>
        </w:rPr>
        <w:t>附件</w:t>
      </w:r>
      <w:r>
        <w:rPr>
          <w:rFonts w:hint="eastAsia"/>
          <w:color w:val="000000"/>
          <w:sz w:val="24"/>
        </w:rPr>
        <w:t>4</w:t>
      </w:r>
      <w:r>
        <w:rPr>
          <w:color w:val="000000"/>
          <w:sz w:val="24"/>
        </w:rPr>
        <w:t>：</w:t>
      </w:r>
      <w:r>
        <w:rPr>
          <w:rFonts w:hint="eastAsia"/>
          <w:color w:val="000000"/>
          <w:sz w:val="24"/>
          <w:lang w:val="en-US" w:eastAsia="zh-CN"/>
        </w:rPr>
        <w:t>现有</w:t>
      </w:r>
      <w:r>
        <w:rPr>
          <w:rFonts w:ascii="Times New Roman" w:eastAsia="宋体" w:hAnsi="Times New Roman" w:cs="Times New Roman" w:hint="eastAsia"/>
          <w:color w:val="000000"/>
          <w:sz w:val="24"/>
          <w:lang w:val="en-US" w:eastAsia="zh-CN"/>
        </w:rPr>
        <w:t>工程环评批复</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color w:val="000000"/>
          <w:sz w:val="24"/>
        </w:rPr>
      </w:pPr>
      <w:r>
        <w:rPr>
          <w:color w:val="000000"/>
          <w:sz w:val="24"/>
        </w:rPr>
        <w:t>附件</w:t>
      </w:r>
      <w:r>
        <w:rPr>
          <w:rFonts w:hint="eastAsia"/>
          <w:color w:val="000000"/>
          <w:sz w:val="24"/>
        </w:rPr>
        <w:t>5</w:t>
      </w:r>
      <w:r>
        <w:rPr>
          <w:color w:val="000000"/>
          <w:sz w:val="24"/>
        </w:rPr>
        <w:t>：</w:t>
      </w:r>
      <w:r>
        <w:rPr>
          <w:rFonts w:hint="eastAsia"/>
          <w:color w:val="000000"/>
          <w:sz w:val="24"/>
          <w:lang w:val="en-US" w:eastAsia="zh-CN"/>
        </w:rPr>
        <w:t>现有</w:t>
      </w:r>
      <w:r>
        <w:rPr>
          <w:rFonts w:ascii="Times New Roman" w:eastAsia="宋体" w:hAnsi="Times New Roman" w:cs="Times New Roman" w:hint="eastAsia"/>
          <w:color w:val="000000"/>
          <w:sz w:val="24"/>
          <w:lang w:val="en-US" w:eastAsia="zh-CN"/>
        </w:rPr>
        <w:t>工程验收意见</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rFonts w:hint="default"/>
          <w:color w:val="000000"/>
          <w:sz w:val="24"/>
        </w:rPr>
      </w:pPr>
      <w:r>
        <w:rPr>
          <w:color w:val="000000"/>
          <w:sz w:val="24"/>
        </w:rPr>
        <w:t>附件</w:t>
      </w:r>
      <w:r>
        <w:rPr>
          <w:rFonts w:hint="eastAsia"/>
          <w:color w:val="000000"/>
          <w:sz w:val="24"/>
        </w:rPr>
        <w:t>6</w:t>
      </w:r>
      <w:r>
        <w:rPr>
          <w:color w:val="000000"/>
          <w:sz w:val="24"/>
        </w:rPr>
        <w:t>：</w:t>
      </w:r>
      <w:r>
        <w:rPr>
          <w:rFonts w:hint="eastAsia"/>
          <w:color w:val="000000"/>
          <w:sz w:val="24"/>
          <w:lang w:val="en-US" w:eastAsia="zh-CN"/>
        </w:rPr>
        <w:t>危废合同</w:t>
      </w:r>
    </w:p>
    <w:p>
      <w:pPr>
        <w:keepNext w:val="0"/>
        <w:keepLines w:val="0"/>
        <w:pageBreakBefore w:val="0"/>
        <w:widowControl w:val="0"/>
        <w:kinsoku/>
        <w:wordWrap/>
        <w:overflowPunct/>
        <w:topLinePunct w:val="0"/>
        <w:autoSpaceDE/>
        <w:autoSpaceDN/>
        <w:bidi w:val="0"/>
        <w:snapToGrid w:val="0"/>
        <w:spacing w:line="336" w:lineRule="auto"/>
        <w:ind w:firstLine="480" w:firstLineChars="200"/>
        <w:textAlignment w:val="auto"/>
        <w:rPr>
          <w:rFonts w:hint="default"/>
          <w:color w:val="000000"/>
          <w:sz w:val="24"/>
        </w:rPr>
      </w:pPr>
      <w:r>
        <w:rPr>
          <w:rFonts w:hint="eastAsia"/>
          <w:color w:val="000000"/>
          <w:sz w:val="24"/>
          <w:lang w:val="en-US" w:eastAsia="zh-CN"/>
        </w:rPr>
        <w:t>附件7：项目场地租赁合同</w:t>
      </w:r>
    </w:p>
    <w:p>
      <w:pPr>
        <w:keepNext w:val="0"/>
        <w:keepLines w:val="0"/>
        <w:pageBreakBefore w:val="0"/>
        <w:widowControl w:val="0"/>
        <w:kinsoku/>
        <w:wordWrap/>
        <w:overflowPunct/>
        <w:topLinePunct w:val="0"/>
        <w:autoSpaceDE/>
        <w:autoSpaceDN/>
        <w:bidi w:val="0"/>
        <w:snapToGrid w:val="0"/>
        <w:spacing w:line="336" w:lineRule="auto"/>
        <w:ind w:firstLine="480" w:firstLineChars="200"/>
        <w:textAlignment w:val="auto"/>
        <w:rPr>
          <w:rFonts w:hint="eastAsia"/>
          <w:color w:val="000000"/>
          <w:sz w:val="24"/>
        </w:rPr>
      </w:pPr>
      <w:r>
        <w:rPr>
          <w:rFonts w:hint="eastAsia"/>
          <w:color w:val="000000"/>
          <w:sz w:val="24"/>
          <w:lang w:val="en-US" w:eastAsia="zh-CN"/>
        </w:rPr>
        <w:t>附件8：监测报告</w:t>
      </w:r>
    </w:p>
    <w:p>
      <w:pPr>
        <w:keepNext w:val="0"/>
        <w:keepLines w:val="0"/>
        <w:pageBreakBefore w:val="0"/>
        <w:widowControl w:val="0"/>
        <w:kinsoku/>
        <w:wordWrap/>
        <w:overflowPunct/>
        <w:topLinePunct w:val="0"/>
        <w:autoSpaceDE/>
        <w:autoSpaceDN/>
        <w:bidi w:val="0"/>
        <w:adjustRightInd w:val="0"/>
        <w:snapToGrid w:val="0"/>
        <w:spacing w:line="336" w:lineRule="auto"/>
        <w:textAlignment w:val="auto"/>
        <w:rPr>
          <w:b/>
          <w:bCs/>
          <w:color w:val="000000"/>
          <w:sz w:val="24"/>
        </w:rPr>
      </w:pPr>
      <w:r>
        <w:rPr>
          <w:b/>
          <w:bCs/>
          <w:color w:val="000000"/>
          <w:sz w:val="24"/>
        </w:rPr>
        <w:t>附表：</w:t>
      </w:r>
    </w:p>
    <w:p>
      <w:pPr>
        <w:keepNext w:val="0"/>
        <w:keepLines w:val="0"/>
        <w:pageBreakBefore w:val="0"/>
        <w:widowControl w:val="0"/>
        <w:kinsoku/>
        <w:wordWrap/>
        <w:overflowPunct/>
        <w:topLinePunct w:val="0"/>
        <w:autoSpaceDE/>
        <w:autoSpaceDN/>
        <w:bidi w:val="0"/>
        <w:adjustRightInd w:val="0"/>
        <w:snapToGrid w:val="0"/>
        <w:spacing w:line="336" w:lineRule="auto"/>
        <w:textAlignment w:val="auto"/>
        <w:outlineLvl w:val="0"/>
        <w:rPr>
          <w:color w:val="000000"/>
          <w:sz w:val="24"/>
        </w:rPr>
      </w:pPr>
      <w:r>
        <w:rPr>
          <w:color w:val="000000"/>
          <w:sz w:val="24"/>
        </w:rPr>
        <w:t>附表：建设项目污染物排放量汇总表</w:t>
      </w:r>
    </w:p>
    <w:p>
      <w:pPr>
        <w:pStyle w:val="NormalWeb"/>
        <w:spacing w:line="360" w:lineRule="auto"/>
        <w:jc w:val="center"/>
        <w:outlineLvl w:val="9"/>
        <w:rPr>
          <w:rFonts w:ascii="Times New Roman" w:hAnsi="Times New Roman"/>
          <w:snapToGrid w:val="0"/>
          <w:szCs w:val="24"/>
        </w:rPr>
      </w:pPr>
      <w:bookmarkStart w:id="5" w:name="_Toc17651"/>
      <w:bookmarkStart w:id="6" w:name="_Toc11435"/>
    </w:p>
    <w:p>
      <w:pPr>
        <w:pStyle w:val="NormalWeb"/>
        <w:spacing w:line="360" w:lineRule="auto"/>
        <w:jc w:val="center"/>
        <w:outlineLvl w:val="9"/>
        <w:rPr>
          <w:rFonts w:ascii="Times New Roman" w:hAnsi="Times New Roman"/>
          <w:snapToGrid w:val="0"/>
          <w:szCs w:val="24"/>
        </w:rPr>
        <w:sectPr>
          <w:footerReference w:type="default" r:id="rId5"/>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p>
      <w:pPr>
        <w:pStyle w:val="NormalWeb"/>
        <w:spacing w:line="360" w:lineRule="auto"/>
        <w:jc w:val="center"/>
        <w:outlineLvl w:val="9"/>
        <w:rPr>
          <w:rFonts w:ascii="Times New Roman" w:hAnsi="Times New Roman"/>
          <w:snapToGrid w:val="0"/>
          <w:szCs w:val="24"/>
        </w:rPr>
      </w:pPr>
    </w:p>
    <w:p>
      <w:pPr>
        <w:pStyle w:val="NormalWeb"/>
        <w:spacing w:line="360" w:lineRule="auto"/>
        <w:jc w:val="center"/>
        <w:outlineLvl w:val="9"/>
        <w:rPr>
          <w:rFonts w:ascii="Times New Roman" w:hAnsi="Times New Roman"/>
          <w:snapToGrid w:val="0"/>
          <w:szCs w:val="24"/>
        </w:rPr>
        <w:sectPr>
          <w:footerReference w:type="default" r:id="rId6"/>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2"/>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val="0"/>
        <w:snapToGrid w:val="0"/>
        <w:spacing w:line="336" w:lineRule="auto"/>
        <w:textAlignment w:val="auto"/>
        <w:outlineLvl w:val="0"/>
        <w:rPr>
          <w:color w:val="000000"/>
          <w:sz w:val="24"/>
        </w:rPr>
      </w:pPr>
      <w:bookmarkStart w:id="7" w:name="_Toc6611"/>
      <w:bookmarkStart w:id="8" w:name="_Toc13704"/>
      <w:bookmarkStart w:id="9" w:name="_Toc22962"/>
    </w:p>
    <w:p>
      <w:pPr>
        <w:pStyle w:val="yt0"/>
        <w:outlineLvl w:val="0"/>
      </w:pPr>
      <w:r>
        <w:t>建设项目基本情况</w:t>
      </w: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566"/>
        <w:gridCol w:w="1494"/>
        <w:gridCol w:w="345"/>
        <w:gridCol w:w="1839"/>
        <w:gridCol w:w="4092"/>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497"/>
          <w:jc w:val="center"/>
        </w:trPr>
        <w:tc>
          <w:tcPr>
            <w:tcW w:w="1572" w:type="dxa"/>
            <w:noWrap w:val="0"/>
            <w:tcMar>
              <w:top w:w="16" w:type="dxa"/>
              <w:left w:w="16" w:type="dxa"/>
              <w:right w:w="16" w:type="dxa"/>
            </w:tcMar>
            <w:vAlign w:val="center"/>
          </w:tcPr>
          <w:p>
            <w:pPr>
              <w:adjustRightInd w:val="0"/>
              <w:snapToGrid w:val="0"/>
              <w:jc w:val="center"/>
              <w:rPr>
                <w:szCs w:val="21"/>
              </w:rPr>
            </w:pPr>
            <w:bookmarkEnd w:id="4"/>
            <w:bookmarkEnd w:id="5"/>
            <w:bookmarkEnd w:id="6"/>
            <w:bookmarkEnd w:id="7"/>
            <w:bookmarkEnd w:id="8"/>
            <w:bookmarkEnd w:id="9"/>
            <w:r>
              <w:rPr>
                <w:szCs w:val="21"/>
              </w:rPr>
              <w:t>建设项目名称</w:t>
            </w:r>
          </w:p>
        </w:tc>
        <w:tc>
          <w:tcPr>
            <w:tcW w:w="7771" w:type="dxa"/>
            <w:gridSpan w:val="4"/>
            <w:noWrap w:val="0"/>
            <w:vAlign w:val="center"/>
          </w:tcPr>
          <w:p>
            <w:pPr>
              <w:pStyle w:val="a23"/>
              <w:jc w:val="center"/>
              <w:rPr>
                <w:rFonts w:ascii="Times New Roman" w:hAnsi="Times New Roman" w:hint="eastAsia"/>
                <w:lang w:eastAsia="zh-CN"/>
              </w:rPr>
            </w:pPr>
            <w:r>
              <w:rPr>
                <w:rFonts w:ascii="Times New Roman" w:hAnsi="Times New Roman" w:hint="eastAsia"/>
                <w:lang w:eastAsia="zh-CN"/>
              </w:rPr>
              <w:t>江西贯通检测有限公司实验室扩建项目</w:t>
            </w:r>
          </w:p>
        </w:tc>
      </w:tr>
      <w:tr>
        <w:tblPrEx>
          <w:tblW w:w="4976" w:type="pct"/>
          <w:jc w:val="center"/>
          <w:tblCellMar>
            <w:top w:w="0" w:type="dxa"/>
            <w:left w:w="0" w:type="dxa"/>
            <w:bottom w:w="0" w:type="dxa"/>
            <w:right w:w="0" w:type="dxa"/>
          </w:tblCellMar>
        </w:tblPrEx>
        <w:trPr>
          <w:trHeight w:val="497"/>
          <w:jc w:val="center"/>
        </w:trPr>
        <w:tc>
          <w:tcPr>
            <w:tcW w:w="1572" w:type="dxa"/>
            <w:noWrap w:val="0"/>
            <w:tcMar>
              <w:top w:w="16" w:type="dxa"/>
              <w:left w:w="16" w:type="dxa"/>
              <w:right w:w="16" w:type="dxa"/>
            </w:tcMar>
            <w:vAlign w:val="center"/>
          </w:tcPr>
          <w:p>
            <w:pPr>
              <w:adjustRightInd w:val="0"/>
              <w:snapToGrid w:val="0"/>
              <w:jc w:val="center"/>
              <w:rPr>
                <w:szCs w:val="21"/>
              </w:rPr>
            </w:pPr>
            <w:r>
              <w:rPr>
                <w:szCs w:val="21"/>
              </w:rPr>
              <w:t>项目代码</w:t>
            </w:r>
          </w:p>
        </w:tc>
        <w:tc>
          <w:tcPr>
            <w:tcW w:w="7771" w:type="dxa"/>
            <w:gridSpan w:val="4"/>
            <w:noWrap w:val="0"/>
            <w:vAlign w:val="center"/>
          </w:tcPr>
          <w:p>
            <w:pPr>
              <w:pStyle w:val="yt3"/>
              <w:rPr>
                <w:rFonts w:eastAsia="宋体" w:hint="eastAsia"/>
                <w:lang w:eastAsia="zh-CN"/>
              </w:rPr>
            </w:pPr>
            <w:r>
              <w:rPr>
                <w:rFonts w:hint="eastAsia"/>
                <w:lang w:eastAsia="zh-CN"/>
              </w:rPr>
              <w:t>2302-360111-04-01-571530</w:t>
            </w:r>
          </w:p>
        </w:tc>
      </w:tr>
      <w:tr>
        <w:tblPrEx>
          <w:tblW w:w="4976" w:type="pct"/>
          <w:jc w:val="center"/>
          <w:tblCellMar>
            <w:top w:w="0" w:type="dxa"/>
            <w:left w:w="0" w:type="dxa"/>
            <w:bottom w:w="0" w:type="dxa"/>
            <w:right w:w="0" w:type="dxa"/>
          </w:tblCellMar>
        </w:tblPrEx>
        <w:trPr>
          <w:trHeight w:val="497"/>
          <w:jc w:val="center"/>
        </w:trPr>
        <w:tc>
          <w:tcPr>
            <w:tcW w:w="1572" w:type="dxa"/>
            <w:noWrap w:val="0"/>
            <w:tcMar>
              <w:top w:w="16" w:type="dxa"/>
              <w:left w:w="16" w:type="dxa"/>
              <w:right w:w="16" w:type="dxa"/>
            </w:tcMar>
            <w:vAlign w:val="center"/>
          </w:tcPr>
          <w:p>
            <w:pPr>
              <w:adjustRightInd w:val="0"/>
              <w:snapToGrid w:val="0"/>
              <w:jc w:val="center"/>
              <w:rPr>
                <w:szCs w:val="21"/>
              </w:rPr>
            </w:pPr>
            <w:r>
              <w:rPr>
                <w:szCs w:val="21"/>
              </w:rPr>
              <w:t>建设单位联系人</w:t>
            </w:r>
          </w:p>
        </w:tc>
        <w:tc>
          <w:tcPr>
            <w:tcW w:w="1494" w:type="dxa"/>
            <w:noWrap w:val="0"/>
            <w:vAlign w:val="center"/>
          </w:tcPr>
          <w:p>
            <w:pPr>
              <w:pStyle w:val="yt3"/>
              <w:rPr>
                <w:rFonts w:eastAsia="宋体" w:hint="default"/>
                <w:lang w:val="en-US" w:eastAsia="zh-CN"/>
              </w:rPr>
            </w:pPr>
            <w:bookmarkStart w:id="10" w:name="_GoBack"/>
            <w:bookmarkEnd w:id="10"/>
          </w:p>
        </w:tc>
        <w:tc>
          <w:tcPr>
            <w:tcW w:w="2185" w:type="dxa"/>
            <w:gridSpan w:val="2"/>
            <w:noWrap w:val="0"/>
            <w:vAlign w:val="center"/>
          </w:tcPr>
          <w:p>
            <w:pPr>
              <w:adjustRightInd w:val="0"/>
              <w:snapToGrid w:val="0"/>
              <w:jc w:val="center"/>
              <w:rPr>
                <w:szCs w:val="21"/>
              </w:rPr>
            </w:pPr>
          </w:p>
        </w:tc>
        <w:tc>
          <w:tcPr>
            <w:tcW w:w="4092" w:type="dxa"/>
            <w:noWrap w:val="0"/>
            <w:vAlign w:val="center"/>
          </w:tcPr>
          <w:p>
            <w:pPr>
              <w:pStyle w:val="yt3"/>
              <w:rPr>
                <w:rFonts w:eastAsia="宋体" w:hint="default"/>
                <w:lang w:val="en-US" w:eastAsia="zh-CN"/>
              </w:rPr>
            </w:pPr>
          </w:p>
        </w:tc>
      </w:tr>
      <w:tr>
        <w:tblPrEx>
          <w:tblW w:w="4976" w:type="pct"/>
          <w:jc w:val="center"/>
          <w:tblCellMar>
            <w:top w:w="0" w:type="dxa"/>
            <w:left w:w="0" w:type="dxa"/>
            <w:bottom w:w="0" w:type="dxa"/>
            <w:right w:w="0" w:type="dxa"/>
          </w:tblCellMar>
        </w:tblPrEx>
        <w:trPr>
          <w:trHeight w:val="497"/>
          <w:jc w:val="center"/>
        </w:trPr>
        <w:tc>
          <w:tcPr>
            <w:tcW w:w="1572" w:type="dxa"/>
            <w:noWrap w:val="0"/>
            <w:tcMar>
              <w:top w:w="16" w:type="dxa"/>
              <w:left w:w="16" w:type="dxa"/>
              <w:right w:w="16" w:type="dxa"/>
            </w:tcMar>
            <w:vAlign w:val="center"/>
          </w:tcPr>
          <w:p>
            <w:pPr>
              <w:adjustRightInd w:val="0"/>
              <w:snapToGrid w:val="0"/>
              <w:jc w:val="center"/>
              <w:rPr>
                <w:szCs w:val="21"/>
              </w:rPr>
            </w:pPr>
            <w:r>
              <w:rPr>
                <w:szCs w:val="21"/>
              </w:rPr>
              <w:t>建设地点</w:t>
            </w:r>
          </w:p>
        </w:tc>
        <w:tc>
          <w:tcPr>
            <w:tcW w:w="7771" w:type="dxa"/>
            <w:gridSpan w:val="4"/>
            <w:noWrap w:val="0"/>
            <w:vAlign w:val="center"/>
          </w:tcPr>
          <w:p>
            <w:pPr>
              <w:pStyle w:val="yt3"/>
              <w:rPr>
                <w:rFonts w:eastAsia="宋体" w:hint="eastAsia"/>
                <w:lang w:val="en-US" w:eastAsia="zh-CN"/>
              </w:rPr>
            </w:pPr>
            <w:r>
              <w:rPr>
                <w:rFonts w:hint="eastAsia"/>
                <w:highlight w:val="none"/>
                <w:lang w:eastAsia="zh-CN"/>
              </w:rPr>
              <w:t>南昌市青山湖区高新南大道3699号弘泰大厦6楼</w:t>
            </w:r>
          </w:p>
        </w:tc>
      </w:tr>
      <w:tr>
        <w:tblPrEx>
          <w:tblW w:w="4976" w:type="pct"/>
          <w:jc w:val="center"/>
          <w:tblCellMar>
            <w:top w:w="0" w:type="dxa"/>
            <w:left w:w="0" w:type="dxa"/>
            <w:bottom w:w="0" w:type="dxa"/>
            <w:right w:w="0" w:type="dxa"/>
          </w:tblCellMar>
        </w:tblPrEx>
        <w:trPr>
          <w:trHeight w:val="497"/>
          <w:jc w:val="center"/>
        </w:trPr>
        <w:tc>
          <w:tcPr>
            <w:tcW w:w="1572" w:type="dxa"/>
            <w:noWrap w:val="0"/>
            <w:tcMar>
              <w:top w:w="16" w:type="dxa"/>
              <w:left w:w="16" w:type="dxa"/>
              <w:right w:w="16" w:type="dxa"/>
            </w:tcMar>
            <w:vAlign w:val="center"/>
          </w:tcPr>
          <w:p>
            <w:pPr>
              <w:adjustRightInd w:val="0"/>
              <w:snapToGrid w:val="0"/>
              <w:jc w:val="center"/>
              <w:rPr>
                <w:szCs w:val="21"/>
              </w:rPr>
            </w:pPr>
            <w:r>
              <w:rPr>
                <w:szCs w:val="21"/>
              </w:rPr>
              <w:t>地理坐标</w:t>
            </w:r>
          </w:p>
        </w:tc>
        <w:tc>
          <w:tcPr>
            <w:tcW w:w="7771" w:type="dxa"/>
            <w:gridSpan w:val="4"/>
            <w:noWrap w:val="0"/>
            <w:vAlign w:val="center"/>
          </w:tcPr>
          <w:p>
            <w:pPr>
              <w:jc w:val="center"/>
              <w:rPr>
                <w:szCs w:val="21"/>
              </w:rPr>
            </w:pPr>
            <w:r>
              <w:rPr>
                <w:szCs w:val="21"/>
                <w:highlight w:val="none"/>
              </w:rPr>
              <w:t>（</w:t>
            </w:r>
            <w:r>
              <w:rPr>
                <w:szCs w:val="21"/>
                <w:highlight w:val="none"/>
                <w:u w:val="single"/>
              </w:rPr>
              <w:t>11</w:t>
            </w:r>
            <w:r>
              <w:rPr>
                <w:rFonts w:hint="eastAsia"/>
                <w:szCs w:val="21"/>
                <w:highlight w:val="none"/>
                <w:u w:val="single"/>
                <w:lang w:val="en-US" w:eastAsia="zh-CN"/>
              </w:rPr>
              <w:t>5</w:t>
            </w:r>
            <w:r>
              <w:rPr>
                <w:szCs w:val="21"/>
                <w:highlight w:val="none"/>
              </w:rPr>
              <w:t>度</w:t>
            </w:r>
            <w:r>
              <w:rPr>
                <w:rFonts w:hint="eastAsia"/>
                <w:szCs w:val="21"/>
                <w:highlight w:val="none"/>
                <w:u w:val="single"/>
                <w:lang w:val="en-US" w:eastAsia="zh-CN"/>
              </w:rPr>
              <w:t>57</w:t>
            </w:r>
            <w:r>
              <w:rPr>
                <w:szCs w:val="21"/>
                <w:highlight w:val="none"/>
              </w:rPr>
              <w:t>分</w:t>
            </w:r>
            <w:r>
              <w:rPr>
                <w:rFonts w:hint="eastAsia"/>
                <w:szCs w:val="21"/>
                <w:highlight w:val="none"/>
                <w:u w:val="single"/>
                <w:lang w:val="en-US" w:eastAsia="zh-CN"/>
              </w:rPr>
              <w:t>08.646</w:t>
            </w:r>
            <w:r>
              <w:rPr>
                <w:szCs w:val="21"/>
                <w:highlight w:val="none"/>
              </w:rPr>
              <w:t>秒，</w:t>
            </w:r>
            <w:r>
              <w:rPr>
                <w:szCs w:val="21"/>
                <w:highlight w:val="none"/>
                <w:u w:val="single"/>
              </w:rPr>
              <w:t>28</w:t>
            </w:r>
            <w:r>
              <w:rPr>
                <w:szCs w:val="21"/>
                <w:highlight w:val="none"/>
              </w:rPr>
              <w:t>度</w:t>
            </w:r>
            <w:r>
              <w:rPr>
                <w:rFonts w:hint="eastAsia"/>
                <w:szCs w:val="21"/>
                <w:highlight w:val="none"/>
                <w:u w:val="single"/>
                <w:lang w:val="en-US" w:eastAsia="zh-CN"/>
              </w:rPr>
              <w:t>36</w:t>
            </w:r>
            <w:r>
              <w:rPr>
                <w:szCs w:val="21"/>
                <w:highlight w:val="none"/>
              </w:rPr>
              <w:t>分</w:t>
            </w:r>
            <w:r>
              <w:rPr>
                <w:rFonts w:hint="eastAsia"/>
                <w:szCs w:val="21"/>
                <w:highlight w:val="none"/>
                <w:u w:val="single"/>
                <w:lang w:val="en-US" w:eastAsia="zh-CN"/>
              </w:rPr>
              <w:t>16.962</w:t>
            </w:r>
            <w:r>
              <w:rPr>
                <w:szCs w:val="21"/>
                <w:highlight w:val="none"/>
              </w:rPr>
              <w:t>秒）</w:t>
            </w:r>
          </w:p>
        </w:tc>
      </w:tr>
      <w:tr>
        <w:tblPrEx>
          <w:tblW w:w="4976" w:type="pct"/>
          <w:jc w:val="center"/>
          <w:tblCellMar>
            <w:top w:w="0" w:type="dxa"/>
            <w:left w:w="0" w:type="dxa"/>
            <w:bottom w:w="0" w:type="dxa"/>
            <w:right w:w="0" w:type="dxa"/>
          </w:tblCellMar>
        </w:tblPrEx>
        <w:trPr>
          <w:trHeight w:val="561"/>
          <w:jc w:val="center"/>
        </w:trPr>
        <w:tc>
          <w:tcPr>
            <w:tcW w:w="1572" w:type="dxa"/>
            <w:noWrap w:val="0"/>
            <w:tcMar>
              <w:top w:w="16" w:type="dxa"/>
              <w:left w:w="16" w:type="dxa"/>
              <w:right w:w="16" w:type="dxa"/>
            </w:tcMar>
            <w:vAlign w:val="center"/>
          </w:tcPr>
          <w:p>
            <w:pPr>
              <w:adjustRightInd w:val="0"/>
              <w:snapToGrid w:val="0"/>
              <w:jc w:val="center"/>
              <w:rPr>
                <w:szCs w:val="21"/>
              </w:rPr>
            </w:pPr>
            <w:r>
              <w:rPr>
                <w:szCs w:val="21"/>
              </w:rPr>
              <w:t>国民经济</w:t>
            </w:r>
          </w:p>
          <w:p>
            <w:pPr>
              <w:adjustRightInd w:val="0"/>
              <w:snapToGrid w:val="0"/>
              <w:jc w:val="center"/>
              <w:rPr>
                <w:szCs w:val="21"/>
              </w:rPr>
            </w:pPr>
            <w:r>
              <w:rPr>
                <w:szCs w:val="21"/>
              </w:rPr>
              <w:t>行业类别</w:t>
            </w:r>
          </w:p>
        </w:tc>
        <w:tc>
          <w:tcPr>
            <w:tcW w:w="1840" w:type="dxa"/>
            <w:gridSpan w:val="2"/>
            <w:noWrap w:val="0"/>
            <w:vAlign w:val="center"/>
          </w:tcPr>
          <w:p>
            <w:pPr>
              <w:adjustRightInd w:val="0"/>
              <w:snapToGrid w:val="0"/>
              <w:jc w:val="left"/>
              <w:rPr>
                <w:szCs w:val="21"/>
              </w:rPr>
            </w:pPr>
            <w:r>
              <w:rPr>
                <w:rFonts w:hint="eastAsia"/>
                <w:szCs w:val="21"/>
              </w:rPr>
              <w:t>M7461 环境保护监测</w:t>
            </w:r>
          </w:p>
        </w:tc>
        <w:tc>
          <w:tcPr>
            <w:tcW w:w="1839" w:type="dxa"/>
            <w:noWrap w:val="0"/>
            <w:vAlign w:val="center"/>
          </w:tcPr>
          <w:p>
            <w:pPr>
              <w:adjustRightInd w:val="0"/>
              <w:snapToGrid w:val="0"/>
              <w:jc w:val="center"/>
              <w:rPr>
                <w:rFonts w:hint="eastAsia"/>
                <w:szCs w:val="21"/>
              </w:rPr>
            </w:pPr>
            <w:bookmarkStart w:id="11" w:name="_Hlk49843745"/>
            <w:r>
              <w:rPr>
                <w:rFonts w:ascii="Times New Roman" w:eastAsia="宋体" w:hAnsi="Times New Roman" w:cs="Times New Roman" w:hint="eastAsia"/>
                <w:szCs w:val="21"/>
              </w:rPr>
              <w:t>建设项目</w:t>
            </w:r>
          </w:p>
          <w:p>
            <w:pPr>
              <w:adjustRightInd w:val="0"/>
              <w:snapToGrid w:val="0"/>
              <w:jc w:val="center"/>
              <w:rPr>
                <w:rFonts w:hint="eastAsia"/>
                <w:szCs w:val="21"/>
              </w:rPr>
            </w:pPr>
            <w:r>
              <w:rPr>
                <w:rFonts w:ascii="Times New Roman" w:eastAsia="宋体" w:hAnsi="Times New Roman" w:cs="Times New Roman" w:hint="eastAsia"/>
                <w:szCs w:val="21"/>
              </w:rPr>
              <w:t>行业类别</w:t>
            </w:r>
            <w:bookmarkEnd w:id="11"/>
          </w:p>
        </w:tc>
        <w:tc>
          <w:tcPr>
            <w:tcW w:w="4092" w:type="dxa"/>
            <w:noWrap w:val="0"/>
            <w:vAlign w:val="center"/>
          </w:tcPr>
          <w:p>
            <w:pPr>
              <w:adjustRightInd w:val="0"/>
              <w:snapToGrid w:val="0"/>
              <w:jc w:val="left"/>
              <w:rPr>
                <w:rFonts w:hint="eastAsia"/>
                <w:szCs w:val="21"/>
              </w:rPr>
            </w:pPr>
            <w:r>
              <w:rPr>
                <w:rFonts w:ascii="Times New Roman" w:hAnsi="Times New Roman" w:cs="Times New Roman" w:hint="default"/>
                <w:color w:val="auto"/>
                <w:sz w:val="21"/>
                <w:szCs w:val="21"/>
                <w:highlight w:val="none"/>
                <w:lang w:eastAsia="zh-CN"/>
              </w:rPr>
              <w:t>“</w:t>
            </w:r>
            <w:r>
              <w:rPr>
                <w:rFonts w:ascii="Times New Roman" w:hAnsi="Times New Roman" w:cs="Times New Roman" w:hint="default"/>
                <w:color w:val="auto"/>
                <w:sz w:val="21"/>
                <w:szCs w:val="21"/>
                <w:highlight w:val="none"/>
                <w:lang w:val="en-US" w:eastAsia="zh-CN"/>
              </w:rPr>
              <w:t>四十五、研究和试验发展”中“98专业实验室、研发（试验）基地”中的“其他”</w:t>
            </w:r>
          </w:p>
        </w:tc>
      </w:tr>
      <w:tr>
        <w:tblPrEx>
          <w:tblW w:w="4976" w:type="pct"/>
          <w:jc w:val="center"/>
          <w:tblCellMar>
            <w:top w:w="0" w:type="dxa"/>
            <w:left w:w="0" w:type="dxa"/>
            <w:bottom w:w="0" w:type="dxa"/>
            <w:right w:w="0" w:type="dxa"/>
          </w:tblCellMar>
        </w:tblPrEx>
        <w:trPr>
          <w:trHeight w:val="1219"/>
          <w:jc w:val="center"/>
        </w:trPr>
        <w:tc>
          <w:tcPr>
            <w:tcW w:w="1572" w:type="dxa"/>
            <w:noWrap w:val="0"/>
            <w:tcMar>
              <w:top w:w="16" w:type="dxa"/>
              <w:left w:w="16" w:type="dxa"/>
              <w:right w:w="16" w:type="dxa"/>
            </w:tcMar>
            <w:vAlign w:val="center"/>
          </w:tcPr>
          <w:p>
            <w:pPr>
              <w:adjustRightInd w:val="0"/>
              <w:snapToGrid w:val="0"/>
              <w:jc w:val="center"/>
              <w:rPr>
                <w:szCs w:val="21"/>
              </w:rPr>
            </w:pPr>
            <w:r>
              <w:rPr>
                <w:szCs w:val="21"/>
              </w:rPr>
              <w:t>建设性质</w:t>
            </w:r>
          </w:p>
        </w:tc>
        <w:tc>
          <w:tcPr>
            <w:tcW w:w="1840" w:type="dxa"/>
            <w:gridSpan w:val="2"/>
            <w:noWrap w:val="0"/>
            <w:vAlign w:val="center"/>
          </w:tcPr>
          <w:p>
            <w:pPr>
              <w:jc w:val="left"/>
              <w:rPr>
                <w:szCs w:val="21"/>
              </w:rPr>
            </w:pPr>
            <w:r>
              <w:rPr>
                <w:rFonts w:ascii="Wingdings 2" w:hAnsi="Wingdings 2"/>
                <w:szCs w:val="21"/>
              </w:rPr>
              <w:sym w:font="Wingdings 2" w:char="F0A3"/>
            </w:r>
            <w:r>
              <w:rPr>
                <w:szCs w:val="21"/>
              </w:rPr>
              <w:t>新建（迁建）</w:t>
            </w:r>
          </w:p>
          <w:p>
            <w:pPr>
              <w:jc w:val="left"/>
              <w:rPr>
                <w:szCs w:val="21"/>
              </w:rPr>
            </w:pPr>
            <w:r>
              <w:rPr>
                <w:rFonts w:ascii="Wingdings 2" w:hAnsi="Wingdings 2"/>
                <w:szCs w:val="21"/>
              </w:rPr>
              <w:sym w:font="Wingdings 2" w:char="F0A3"/>
            </w:r>
            <w:r>
              <w:rPr>
                <w:szCs w:val="21"/>
              </w:rPr>
              <w:t>改建</w:t>
            </w:r>
          </w:p>
          <w:p>
            <w:pPr>
              <w:jc w:val="left"/>
              <w:rPr>
                <w:szCs w:val="21"/>
              </w:rPr>
            </w:pPr>
            <w:r>
              <w:rPr>
                <w:rFonts w:ascii="Wingdings 2" w:hAnsi="Wingdings 2"/>
                <w:szCs w:val="21"/>
              </w:rPr>
              <w:sym w:font="Wingdings 2" w:char="F052"/>
            </w:r>
            <w:r>
              <w:rPr>
                <w:szCs w:val="21"/>
              </w:rPr>
              <w:t>扩建</w:t>
            </w:r>
          </w:p>
          <w:p>
            <w:pPr>
              <w:jc w:val="left"/>
              <w:rPr>
                <w:szCs w:val="21"/>
              </w:rPr>
            </w:pPr>
            <w:r>
              <w:rPr>
                <w:rFonts w:ascii="Wingdings 2" w:hAnsi="Wingdings 2"/>
                <w:szCs w:val="21"/>
              </w:rPr>
              <w:sym w:font="Wingdings 2" w:char="F0A3"/>
            </w:r>
            <w:r>
              <w:rPr>
                <w:szCs w:val="21"/>
              </w:rPr>
              <w:t>技术改造</w:t>
            </w:r>
          </w:p>
        </w:tc>
        <w:tc>
          <w:tcPr>
            <w:tcW w:w="1839" w:type="dxa"/>
            <w:noWrap w:val="0"/>
            <w:vAlign w:val="center"/>
          </w:tcPr>
          <w:p>
            <w:pPr>
              <w:adjustRightInd w:val="0"/>
              <w:snapToGrid w:val="0"/>
              <w:jc w:val="center"/>
              <w:rPr>
                <w:szCs w:val="21"/>
              </w:rPr>
            </w:pPr>
            <w:r>
              <w:rPr>
                <w:szCs w:val="21"/>
              </w:rPr>
              <w:t>建设项目</w:t>
            </w:r>
          </w:p>
          <w:p>
            <w:pPr>
              <w:adjustRightInd w:val="0"/>
              <w:snapToGrid w:val="0"/>
              <w:jc w:val="center"/>
              <w:rPr>
                <w:szCs w:val="21"/>
              </w:rPr>
            </w:pPr>
            <w:r>
              <w:rPr>
                <w:szCs w:val="21"/>
              </w:rPr>
              <w:t>申报情形</w:t>
            </w:r>
          </w:p>
        </w:tc>
        <w:tc>
          <w:tcPr>
            <w:tcW w:w="4092" w:type="dxa"/>
            <w:noWrap w:val="0"/>
            <w:vAlign w:val="center"/>
          </w:tcPr>
          <w:p>
            <w:pPr>
              <w:jc w:val="left"/>
              <w:rPr>
                <w:szCs w:val="21"/>
              </w:rPr>
            </w:pPr>
            <w:r>
              <w:rPr>
                <w:rFonts w:ascii="Wingdings 2" w:hAnsi="Wingdings 2"/>
                <w:szCs w:val="21"/>
              </w:rPr>
              <w:sym w:font="Wingdings 2" w:char="F052"/>
            </w:r>
            <w:r>
              <w:rPr>
                <w:szCs w:val="21"/>
              </w:rPr>
              <w:t>首次申报项目</w:t>
            </w:r>
          </w:p>
          <w:p>
            <w:pPr>
              <w:jc w:val="left"/>
              <w:rPr>
                <w:szCs w:val="21"/>
              </w:rPr>
            </w:pPr>
            <w:r>
              <w:rPr>
                <w:rFonts w:ascii="Wingdings 2" w:hAnsi="Wingdings 2"/>
                <w:szCs w:val="21"/>
              </w:rPr>
              <w:sym w:font="Wingdings 2" w:char="F0A3"/>
            </w:r>
            <w:r>
              <w:rPr>
                <w:szCs w:val="21"/>
              </w:rPr>
              <w:t>不予批准后再次申报项目</w:t>
            </w:r>
          </w:p>
          <w:p>
            <w:pPr>
              <w:jc w:val="left"/>
              <w:rPr>
                <w:szCs w:val="21"/>
              </w:rPr>
            </w:pPr>
            <w:r>
              <w:rPr>
                <w:rFonts w:ascii="Wingdings 2" w:hAnsi="Wingdings 2"/>
                <w:szCs w:val="21"/>
              </w:rPr>
              <w:sym w:font="Wingdings 2" w:char="F0A3"/>
            </w:r>
            <w:r>
              <w:rPr>
                <w:szCs w:val="21"/>
              </w:rPr>
              <w:t>超五年重新审核项目</w:t>
            </w:r>
          </w:p>
          <w:p>
            <w:pPr>
              <w:jc w:val="left"/>
              <w:rPr>
                <w:szCs w:val="21"/>
              </w:rPr>
            </w:pPr>
            <w:r>
              <w:rPr>
                <w:rFonts w:ascii="Wingdings 2" w:hAnsi="Wingdings 2"/>
                <w:szCs w:val="21"/>
              </w:rPr>
              <w:sym w:font="Wingdings 2" w:char="F0A3"/>
            </w:r>
            <w:r>
              <w:rPr>
                <w:szCs w:val="21"/>
              </w:rPr>
              <w:t>重大变动重新报批项目</w:t>
            </w:r>
          </w:p>
        </w:tc>
      </w:tr>
      <w:tr>
        <w:tblPrEx>
          <w:tblW w:w="4976" w:type="pct"/>
          <w:jc w:val="center"/>
          <w:tblCellMar>
            <w:top w:w="0" w:type="dxa"/>
            <w:left w:w="0" w:type="dxa"/>
            <w:bottom w:w="0" w:type="dxa"/>
            <w:right w:w="0" w:type="dxa"/>
          </w:tblCellMar>
        </w:tblPrEx>
        <w:trPr>
          <w:trHeight w:val="851"/>
          <w:jc w:val="center"/>
        </w:trPr>
        <w:tc>
          <w:tcPr>
            <w:tcW w:w="1572" w:type="dxa"/>
            <w:noWrap w:val="0"/>
            <w:tcMar>
              <w:top w:w="16" w:type="dxa"/>
              <w:left w:w="16" w:type="dxa"/>
              <w:right w:w="16" w:type="dxa"/>
            </w:tcMar>
            <w:vAlign w:val="center"/>
          </w:tcPr>
          <w:p>
            <w:pPr>
              <w:adjustRightInd w:val="0"/>
              <w:snapToGrid w:val="0"/>
              <w:jc w:val="center"/>
              <w:rPr>
                <w:szCs w:val="21"/>
              </w:rPr>
            </w:pPr>
            <w:r>
              <w:rPr>
                <w:szCs w:val="21"/>
              </w:rPr>
              <w:t>项目审批（核准/</w:t>
            </w:r>
          </w:p>
          <w:p>
            <w:pPr>
              <w:adjustRightInd w:val="0"/>
              <w:snapToGrid w:val="0"/>
              <w:jc w:val="center"/>
              <w:rPr>
                <w:szCs w:val="21"/>
              </w:rPr>
            </w:pPr>
            <w:r>
              <w:rPr>
                <w:szCs w:val="21"/>
              </w:rPr>
              <w:t>备案）部门（选填）</w:t>
            </w:r>
          </w:p>
        </w:tc>
        <w:tc>
          <w:tcPr>
            <w:tcW w:w="1840" w:type="dxa"/>
            <w:gridSpan w:val="2"/>
            <w:noWrap w:val="0"/>
            <w:vAlign w:val="center"/>
          </w:tcPr>
          <w:p>
            <w:pPr>
              <w:adjustRightInd w:val="0"/>
              <w:snapToGrid w:val="0"/>
              <w:jc w:val="center"/>
              <w:rPr>
                <w:rFonts w:hint="default"/>
                <w:szCs w:val="21"/>
              </w:rPr>
            </w:pPr>
            <w:r>
              <w:rPr>
                <w:rFonts w:hint="eastAsia"/>
                <w:szCs w:val="21"/>
                <w:lang w:val="en-US" w:eastAsia="zh-CN"/>
              </w:rPr>
              <w:t>南昌市青山湖区发展和改革委员会</w:t>
            </w:r>
          </w:p>
        </w:tc>
        <w:tc>
          <w:tcPr>
            <w:tcW w:w="1839" w:type="dxa"/>
            <w:noWrap w:val="0"/>
            <w:vAlign w:val="center"/>
          </w:tcPr>
          <w:p>
            <w:pPr>
              <w:adjustRightInd w:val="0"/>
              <w:snapToGrid w:val="0"/>
              <w:jc w:val="center"/>
              <w:rPr>
                <w:szCs w:val="21"/>
              </w:rPr>
            </w:pPr>
            <w:r>
              <w:rPr>
                <w:szCs w:val="21"/>
              </w:rPr>
              <w:t>项目审批（核准/</w:t>
            </w:r>
          </w:p>
          <w:p>
            <w:pPr>
              <w:adjustRightInd w:val="0"/>
              <w:snapToGrid w:val="0"/>
              <w:jc w:val="center"/>
              <w:rPr>
                <w:szCs w:val="21"/>
              </w:rPr>
            </w:pPr>
            <w:r>
              <w:rPr>
                <w:szCs w:val="21"/>
              </w:rPr>
              <w:t>备案）文号（选填）</w:t>
            </w:r>
          </w:p>
        </w:tc>
        <w:tc>
          <w:tcPr>
            <w:tcW w:w="4092" w:type="dxa"/>
            <w:noWrap w:val="0"/>
            <w:vAlign w:val="center"/>
          </w:tcPr>
          <w:p>
            <w:pPr>
              <w:adjustRightInd w:val="0"/>
              <w:snapToGrid w:val="0"/>
              <w:jc w:val="center"/>
              <w:rPr>
                <w:rFonts w:hint="eastAsia"/>
                <w:szCs w:val="21"/>
              </w:rPr>
            </w:pPr>
            <w:r>
              <w:rPr>
                <w:rFonts w:hint="eastAsia"/>
                <w:lang w:eastAsia="zh-CN"/>
              </w:rPr>
              <w:t>2302-360111-04-01-571530</w:t>
            </w:r>
          </w:p>
        </w:tc>
      </w:tr>
      <w:tr>
        <w:tblPrEx>
          <w:tblW w:w="4976" w:type="pct"/>
          <w:jc w:val="center"/>
          <w:tblCellMar>
            <w:top w:w="0" w:type="dxa"/>
            <w:left w:w="0" w:type="dxa"/>
            <w:bottom w:w="0" w:type="dxa"/>
            <w:right w:w="0" w:type="dxa"/>
          </w:tblCellMar>
        </w:tblPrEx>
        <w:trPr>
          <w:trHeight w:val="497"/>
          <w:jc w:val="center"/>
        </w:trPr>
        <w:tc>
          <w:tcPr>
            <w:tcW w:w="1572" w:type="dxa"/>
            <w:noWrap w:val="0"/>
            <w:tcMar>
              <w:top w:w="16" w:type="dxa"/>
              <w:left w:w="16" w:type="dxa"/>
              <w:right w:w="16" w:type="dxa"/>
            </w:tcMar>
            <w:vAlign w:val="center"/>
          </w:tcPr>
          <w:p>
            <w:pPr>
              <w:adjustRightInd w:val="0"/>
              <w:snapToGrid w:val="0"/>
              <w:jc w:val="center"/>
              <w:rPr>
                <w:szCs w:val="21"/>
              </w:rPr>
            </w:pPr>
            <w:r>
              <w:rPr>
                <w:szCs w:val="21"/>
              </w:rPr>
              <w:t>总投资（万元）</w:t>
            </w:r>
          </w:p>
        </w:tc>
        <w:tc>
          <w:tcPr>
            <w:tcW w:w="1840" w:type="dxa"/>
            <w:gridSpan w:val="2"/>
            <w:noWrap w:val="0"/>
            <w:vAlign w:val="center"/>
          </w:tcPr>
          <w:p>
            <w:pPr>
              <w:adjustRightInd w:val="0"/>
              <w:snapToGrid w:val="0"/>
              <w:jc w:val="center"/>
              <w:rPr>
                <w:rFonts w:hint="default"/>
                <w:szCs w:val="21"/>
              </w:rPr>
            </w:pPr>
            <w:r>
              <w:rPr>
                <w:rFonts w:hint="eastAsia"/>
                <w:szCs w:val="21"/>
                <w:lang w:val="en-US" w:eastAsia="zh-CN"/>
              </w:rPr>
              <w:t>1000</w:t>
            </w:r>
          </w:p>
        </w:tc>
        <w:tc>
          <w:tcPr>
            <w:tcW w:w="1839" w:type="dxa"/>
            <w:noWrap w:val="0"/>
            <w:tcMar>
              <w:top w:w="16" w:type="dxa"/>
              <w:left w:w="16" w:type="dxa"/>
              <w:right w:w="16" w:type="dxa"/>
            </w:tcMar>
            <w:vAlign w:val="center"/>
          </w:tcPr>
          <w:p>
            <w:pPr>
              <w:adjustRightInd w:val="0"/>
              <w:snapToGrid w:val="0"/>
              <w:jc w:val="center"/>
              <w:rPr>
                <w:szCs w:val="21"/>
              </w:rPr>
            </w:pPr>
            <w:r>
              <w:rPr>
                <w:szCs w:val="21"/>
              </w:rPr>
              <w:t>环保投资（万元）</w:t>
            </w:r>
          </w:p>
        </w:tc>
        <w:tc>
          <w:tcPr>
            <w:tcW w:w="4092" w:type="dxa"/>
            <w:noWrap w:val="0"/>
            <w:vAlign w:val="center"/>
          </w:tcPr>
          <w:p>
            <w:pPr>
              <w:adjustRightInd w:val="0"/>
              <w:snapToGrid w:val="0"/>
              <w:jc w:val="center"/>
              <w:rPr>
                <w:rFonts w:hint="default"/>
                <w:szCs w:val="21"/>
              </w:rPr>
            </w:pPr>
            <w:r>
              <w:rPr>
                <w:rFonts w:hint="eastAsia"/>
                <w:szCs w:val="21"/>
                <w:lang w:val="en-US" w:eastAsia="zh-CN"/>
              </w:rPr>
              <w:t>45</w:t>
            </w:r>
          </w:p>
        </w:tc>
      </w:tr>
      <w:tr>
        <w:tblPrEx>
          <w:tblW w:w="4976" w:type="pct"/>
          <w:jc w:val="center"/>
          <w:tblCellMar>
            <w:top w:w="0" w:type="dxa"/>
            <w:left w:w="0" w:type="dxa"/>
            <w:bottom w:w="0" w:type="dxa"/>
            <w:right w:w="0" w:type="dxa"/>
          </w:tblCellMar>
        </w:tblPrEx>
        <w:trPr>
          <w:trHeight w:val="497"/>
          <w:jc w:val="center"/>
        </w:trPr>
        <w:tc>
          <w:tcPr>
            <w:tcW w:w="1572" w:type="dxa"/>
            <w:noWrap w:val="0"/>
            <w:tcMar>
              <w:top w:w="16" w:type="dxa"/>
              <w:left w:w="16" w:type="dxa"/>
              <w:right w:w="16" w:type="dxa"/>
            </w:tcMar>
            <w:vAlign w:val="center"/>
          </w:tcPr>
          <w:p>
            <w:pPr>
              <w:adjustRightInd w:val="0"/>
              <w:snapToGrid w:val="0"/>
              <w:jc w:val="center"/>
              <w:rPr>
                <w:szCs w:val="21"/>
              </w:rPr>
            </w:pPr>
            <w:r>
              <w:rPr>
                <w:szCs w:val="21"/>
              </w:rPr>
              <w:t>环保投资占比（%）</w:t>
            </w:r>
          </w:p>
        </w:tc>
        <w:tc>
          <w:tcPr>
            <w:tcW w:w="1840" w:type="dxa"/>
            <w:gridSpan w:val="2"/>
            <w:noWrap w:val="0"/>
            <w:vAlign w:val="center"/>
          </w:tcPr>
          <w:p>
            <w:pPr>
              <w:adjustRightInd w:val="0"/>
              <w:snapToGrid w:val="0"/>
              <w:jc w:val="center"/>
              <w:rPr>
                <w:rFonts w:hint="default"/>
                <w:szCs w:val="21"/>
                <w:highlight w:val="none"/>
              </w:rPr>
            </w:pPr>
            <w:r>
              <w:rPr>
                <w:rFonts w:hint="eastAsia"/>
                <w:szCs w:val="21"/>
                <w:highlight w:val="none"/>
                <w:lang w:val="en-US" w:eastAsia="zh-CN"/>
              </w:rPr>
              <w:t>4.50</w:t>
            </w:r>
          </w:p>
        </w:tc>
        <w:tc>
          <w:tcPr>
            <w:tcW w:w="1839" w:type="dxa"/>
            <w:noWrap w:val="0"/>
            <w:tcMar>
              <w:top w:w="16" w:type="dxa"/>
              <w:left w:w="16" w:type="dxa"/>
              <w:right w:w="16" w:type="dxa"/>
            </w:tcMar>
            <w:vAlign w:val="center"/>
          </w:tcPr>
          <w:p>
            <w:pPr>
              <w:adjustRightInd w:val="0"/>
              <w:snapToGrid w:val="0"/>
              <w:jc w:val="center"/>
              <w:rPr>
                <w:szCs w:val="21"/>
                <w:highlight w:val="none"/>
              </w:rPr>
            </w:pPr>
            <w:r>
              <w:rPr>
                <w:szCs w:val="21"/>
                <w:highlight w:val="none"/>
              </w:rPr>
              <w:t>施工工期</w:t>
            </w:r>
          </w:p>
        </w:tc>
        <w:tc>
          <w:tcPr>
            <w:tcW w:w="4092" w:type="dxa"/>
            <w:noWrap w:val="0"/>
            <w:vAlign w:val="center"/>
          </w:tcPr>
          <w:p>
            <w:pPr>
              <w:adjustRightInd w:val="0"/>
              <w:snapToGrid w:val="0"/>
              <w:jc w:val="center"/>
              <w:rPr>
                <w:szCs w:val="21"/>
                <w:highlight w:val="none"/>
              </w:rPr>
            </w:pPr>
            <w:r>
              <w:rPr>
                <w:rFonts w:hint="eastAsia"/>
                <w:szCs w:val="21"/>
                <w:highlight w:val="none"/>
                <w:lang w:val="en-US" w:eastAsia="zh-CN"/>
              </w:rPr>
              <w:t>1</w:t>
            </w:r>
            <w:r>
              <w:rPr>
                <w:szCs w:val="21"/>
                <w:highlight w:val="none"/>
              </w:rPr>
              <w:t>个月</w:t>
            </w:r>
          </w:p>
        </w:tc>
      </w:tr>
      <w:tr>
        <w:tblPrEx>
          <w:tblW w:w="4976" w:type="pct"/>
          <w:jc w:val="center"/>
          <w:tblCellMar>
            <w:top w:w="0" w:type="dxa"/>
            <w:left w:w="0" w:type="dxa"/>
            <w:bottom w:w="0" w:type="dxa"/>
            <w:right w:w="0" w:type="dxa"/>
          </w:tblCellMar>
        </w:tblPrEx>
        <w:trPr>
          <w:trHeight w:val="497"/>
          <w:jc w:val="center"/>
        </w:trPr>
        <w:tc>
          <w:tcPr>
            <w:tcW w:w="1572" w:type="dxa"/>
            <w:noWrap w:val="0"/>
            <w:tcMar>
              <w:top w:w="16" w:type="dxa"/>
              <w:left w:w="16" w:type="dxa"/>
              <w:right w:w="16" w:type="dxa"/>
            </w:tcMar>
            <w:vAlign w:val="center"/>
          </w:tcPr>
          <w:p>
            <w:pPr>
              <w:adjustRightInd w:val="0"/>
              <w:snapToGrid w:val="0"/>
              <w:jc w:val="center"/>
              <w:rPr>
                <w:szCs w:val="21"/>
              </w:rPr>
            </w:pPr>
            <w:r>
              <w:rPr>
                <w:szCs w:val="21"/>
              </w:rPr>
              <w:t>是否开工建设</w:t>
            </w:r>
          </w:p>
        </w:tc>
        <w:tc>
          <w:tcPr>
            <w:tcW w:w="1840" w:type="dxa"/>
            <w:gridSpan w:val="2"/>
            <w:noWrap w:val="0"/>
            <w:vAlign w:val="center"/>
          </w:tcPr>
          <w:p>
            <w:pPr>
              <w:adjustRightInd w:val="0"/>
              <w:snapToGrid w:val="0"/>
              <w:rPr>
                <w:szCs w:val="21"/>
              </w:rPr>
            </w:pPr>
            <w:r>
              <w:rPr>
                <w:rFonts w:ascii="Wingdings 2" w:hAnsi="Wingdings 2"/>
                <w:szCs w:val="21"/>
              </w:rPr>
              <w:sym w:font="Wingdings 2" w:char="F052"/>
            </w:r>
            <w:r>
              <w:rPr>
                <w:szCs w:val="21"/>
              </w:rPr>
              <w:t>否</w:t>
            </w:r>
          </w:p>
          <w:p>
            <w:pPr>
              <w:adjustRightInd w:val="0"/>
              <w:snapToGrid w:val="0"/>
              <w:rPr>
                <w:rFonts w:hint="default"/>
                <w:szCs w:val="21"/>
              </w:rPr>
            </w:pPr>
            <w:r>
              <w:rPr>
                <w:rFonts w:ascii="Wingdings 2" w:hAnsi="Wingdings 2"/>
                <w:szCs w:val="21"/>
              </w:rPr>
              <w:sym w:font="Wingdings 2" w:char="F0A3"/>
            </w:r>
            <w:r>
              <w:rPr>
                <w:szCs w:val="21"/>
              </w:rPr>
              <w:t>是：</w:t>
            </w:r>
            <w:r>
              <w:rPr>
                <w:rFonts w:hint="eastAsia"/>
                <w:szCs w:val="21"/>
                <w:u w:val="single"/>
                <w:lang w:val="en-US" w:eastAsia="zh-CN"/>
              </w:rPr>
              <w:t xml:space="preserve">                    </w:t>
            </w:r>
          </w:p>
        </w:tc>
        <w:tc>
          <w:tcPr>
            <w:tcW w:w="1839" w:type="dxa"/>
            <w:noWrap w:val="0"/>
            <w:tcMar>
              <w:top w:w="16" w:type="dxa"/>
              <w:left w:w="16" w:type="dxa"/>
              <w:right w:w="16" w:type="dxa"/>
            </w:tcMar>
            <w:vAlign w:val="center"/>
          </w:tcPr>
          <w:p>
            <w:pPr>
              <w:adjustRightInd w:val="0"/>
              <w:snapToGrid w:val="0"/>
              <w:jc w:val="center"/>
              <w:rPr>
                <w:spacing w:val="-6"/>
                <w:szCs w:val="21"/>
              </w:rPr>
            </w:pPr>
            <w:r>
              <w:rPr>
                <w:spacing w:val="-6"/>
                <w:szCs w:val="21"/>
              </w:rPr>
              <w:t>用地（用海）</w:t>
            </w:r>
          </w:p>
          <w:p>
            <w:pPr>
              <w:adjustRightInd w:val="0"/>
              <w:snapToGrid w:val="0"/>
              <w:jc w:val="center"/>
              <w:rPr>
                <w:szCs w:val="21"/>
              </w:rPr>
            </w:pPr>
            <w:r>
              <w:rPr>
                <w:spacing w:val="-6"/>
                <w:szCs w:val="21"/>
              </w:rPr>
              <w:t>面积（m</w:t>
            </w:r>
            <w:r>
              <w:rPr>
                <w:spacing w:val="-6"/>
                <w:szCs w:val="21"/>
                <w:vertAlign w:val="superscript"/>
              </w:rPr>
              <w:t>2</w:t>
            </w:r>
            <w:r>
              <w:rPr>
                <w:spacing w:val="-6"/>
                <w:szCs w:val="21"/>
              </w:rPr>
              <w:t>）</w:t>
            </w:r>
          </w:p>
        </w:tc>
        <w:tc>
          <w:tcPr>
            <w:tcW w:w="4092" w:type="dxa"/>
            <w:noWrap w:val="0"/>
            <w:vAlign w:val="center"/>
          </w:tcPr>
          <w:p>
            <w:pPr>
              <w:pStyle w:val="yt3"/>
              <w:rPr>
                <w:rFonts w:eastAsia="宋体" w:hint="default"/>
                <w:lang w:val="en-US" w:eastAsia="zh-CN"/>
              </w:rPr>
            </w:pPr>
            <w:r>
              <w:rPr>
                <w:rFonts w:hint="eastAsia"/>
                <w:lang w:val="en-US" w:eastAsia="zh-CN"/>
              </w:rPr>
              <w:t>435</w:t>
            </w:r>
          </w:p>
        </w:tc>
      </w:tr>
      <w:tr>
        <w:tblPrEx>
          <w:tblW w:w="4976" w:type="pct"/>
          <w:jc w:val="center"/>
          <w:tblCellMar>
            <w:top w:w="0" w:type="dxa"/>
            <w:left w:w="108" w:type="dxa"/>
            <w:bottom w:w="0" w:type="dxa"/>
            <w:right w:w="108" w:type="dxa"/>
          </w:tblCellMar>
        </w:tblPrEx>
        <w:trPr>
          <w:trHeight w:val="850"/>
          <w:jc w:val="center"/>
        </w:trPr>
        <w:tc>
          <w:tcPr>
            <w:tcW w:w="1572" w:type="dxa"/>
            <w:noWrap w:val="0"/>
            <w:vAlign w:val="center"/>
          </w:tcPr>
          <w:p>
            <w:pPr>
              <w:autoSpaceDE w:val="0"/>
              <w:autoSpaceDN w:val="0"/>
              <w:adjustRightInd w:val="0"/>
              <w:snapToGrid w:val="0"/>
              <w:jc w:val="center"/>
              <w:rPr>
                <w:kern w:val="0"/>
                <w:szCs w:val="21"/>
              </w:rPr>
            </w:pPr>
            <w:r>
              <w:rPr>
                <w:kern w:val="0"/>
                <w:szCs w:val="21"/>
              </w:rPr>
              <w:t>专项评价设置情况</w:t>
            </w:r>
          </w:p>
        </w:tc>
        <w:tc>
          <w:tcPr>
            <w:tcW w:w="7771" w:type="dxa"/>
            <w:gridSpan w:val="4"/>
            <w:noWrap w:val="0"/>
            <w:vAlign w:val="center"/>
          </w:tcPr>
          <w:p>
            <w:pPr>
              <w:widowControl w:val="0"/>
              <w:bidi w:val="0"/>
              <w:spacing w:line="360" w:lineRule="auto"/>
              <w:ind w:firstLine="480" w:firstLineChars="200"/>
              <w:jc w:val="both"/>
              <w:rPr>
                <w:rFonts w:hint="default"/>
                <w:sz w:val="24"/>
              </w:rPr>
            </w:pPr>
            <w:r>
              <w:rPr>
                <w:rFonts w:ascii="Times New Roman" w:eastAsia="宋体" w:hAnsi="Times New Roman" w:cs="Times New Roman" w:hint="default"/>
                <w:kern w:val="2"/>
                <w:sz w:val="24"/>
                <w:szCs w:val="24"/>
                <w:lang w:val="en-US" w:eastAsia="zh-CN" w:bidi="ar-SA"/>
              </w:rPr>
              <w:t>根据《建设项目环境影响报告表编制技术指南（</w:t>
            </w:r>
            <w:r>
              <w:rPr>
                <w:rFonts w:ascii="Times New Roman" w:eastAsia="宋体" w:hAnsi="Times New Roman" w:cs="Times New Roman" w:hint="eastAsia"/>
                <w:kern w:val="2"/>
                <w:sz w:val="24"/>
                <w:szCs w:val="24"/>
                <w:lang w:val="en-US" w:eastAsia="zh-CN" w:bidi="ar-SA"/>
              </w:rPr>
              <w:t>污染</w:t>
            </w:r>
            <w:r>
              <w:rPr>
                <w:rFonts w:ascii="Times New Roman" w:eastAsia="宋体" w:hAnsi="Times New Roman" w:cs="Times New Roman" w:hint="default"/>
                <w:kern w:val="2"/>
                <w:sz w:val="24"/>
                <w:szCs w:val="24"/>
                <w:lang w:val="en-US" w:eastAsia="zh-CN" w:bidi="ar-SA"/>
              </w:rPr>
              <w:t>影响类）（试行）》表1内容，对照本项目实际情况，本项目</w:t>
            </w:r>
            <w:r>
              <w:rPr>
                <w:rFonts w:ascii="Times New Roman" w:eastAsia="宋体" w:hAnsi="Times New Roman" w:cs="Times New Roman" w:hint="eastAsia"/>
                <w:kern w:val="2"/>
                <w:sz w:val="24"/>
                <w:szCs w:val="24"/>
                <w:lang w:val="en-US" w:eastAsia="zh-CN" w:bidi="ar-SA"/>
              </w:rPr>
              <w:t>无须设置</w:t>
            </w:r>
            <w:r>
              <w:rPr>
                <w:rFonts w:ascii="Times New Roman" w:eastAsia="宋体" w:hAnsi="Times New Roman" w:cs="Times New Roman" w:hint="default"/>
                <w:kern w:val="2"/>
                <w:sz w:val="24"/>
                <w:szCs w:val="24"/>
                <w:lang w:val="en-US" w:eastAsia="zh-CN" w:bidi="ar-SA"/>
              </w:rPr>
              <w:t>专项评价，具体专项评价设置原则详见</w:t>
            </w:r>
            <w:r>
              <w:rPr>
                <w:rFonts w:ascii="Times New Roman" w:eastAsia="宋体" w:hAnsi="Times New Roman" w:cs="Times New Roman" w:hint="default"/>
                <w:kern w:val="2"/>
                <w:sz w:val="24"/>
                <w:szCs w:val="24"/>
                <w:lang w:val="en-US" w:eastAsia="zh-CN" w:bidi="ar-SA"/>
              </w:rPr>
              <w:fldChar w:fldCharType="begin"/>
            </w:r>
            <w:r>
              <w:rPr>
                <w:rFonts w:ascii="Times New Roman" w:eastAsia="宋体" w:hAnsi="Times New Roman" w:cs="Times New Roman" w:hint="default"/>
                <w:kern w:val="2"/>
                <w:sz w:val="24"/>
                <w:szCs w:val="24"/>
                <w:lang w:val="en-US" w:eastAsia="zh-CN" w:bidi="ar-SA"/>
              </w:rPr>
              <w:instrText xml:space="preserve"> REF _Ref23492 \n \h </w:instrText>
            </w:r>
            <w:r>
              <w:rPr>
                <w:rFonts w:ascii="Times New Roman" w:eastAsia="宋体" w:hAnsi="Times New Roman" w:cs="Times New Roman" w:hint="default"/>
                <w:kern w:val="2"/>
                <w:sz w:val="24"/>
                <w:szCs w:val="24"/>
                <w:lang w:val="en-US" w:eastAsia="zh-CN" w:bidi="ar-SA"/>
              </w:rPr>
              <w:fldChar w:fldCharType="separate"/>
            </w:r>
            <w:r>
              <w:rPr>
                <w:rFonts w:ascii="Times New Roman" w:eastAsia="宋体" w:hAnsi="Times New Roman" w:cs="Times New Roman" w:hint="default"/>
                <w:kern w:val="2"/>
                <w:sz w:val="24"/>
                <w:szCs w:val="24"/>
                <w:lang w:val="en-US" w:eastAsia="zh-CN" w:bidi="ar-SA"/>
              </w:rPr>
              <w:t>表1-1</w:t>
            </w:r>
            <w:r>
              <w:rPr>
                <w:rFonts w:ascii="Times New Roman" w:eastAsia="宋体" w:hAnsi="Times New Roman" w:cs="Times New Roman" w:hint="default"/>
                <w:kern w:val="2"/>
                <w:sz w:val="24"/>
                <w:szCs w:val="24"/>
                <w:lang w:val="en-US" w:eastAsia="zh-CN" w:bidi="ar-SA"/>
              </w:rPr>
              <w:fldChar w:fldCharType="end"/>
            </w:r>
            <w:r>
              <w:rPr>
                <w:rFonts w:ascii="Times New Roman" w:eastAsia="宋体" w:hAnsi="Times New Roman" w:cs="Times New Roman" w:hint="default"/>
                <w:kern w:val="2"/>
                <w:sz w:val="24"/>
                <w:szCs w:val="24"/>
                <w:lang w:val="en-US" w:eastAsia="zh-CN" w:bidi="ar-SA"/>
              </w:rPr>
              <w:t>。</w:t>
            </w:r>
            <w:bookmarkStart w:id="12" w:name="_Ref6996"/>
          </w:p>
          <w:p>
            <w:pPr>
              <w:pStyle w:val="yt1"/>
              <w:rPr>
                <w:rFonts w:hint="default"/>
                <w:lang w:val="en-US" w:eastAsia="zh-CN"/>
              </w:rPr>
            </w:pPr>
            <w:bookmarkStart w:id="13" w:name="_Ref23492"/>
            <w:r>
              <w:rPr>
                <w:rFonts w:hint="default"/>
                <w:lang w:val="en-US" w:eastAsia="zh-CN"/>
              </w:rPr>
              <w:t>专项评价设置原则表</w:t>
            </w:r>
            <w:bookmarkEnd w:id="12"/>
            <w:bookmarkEnd w:id="13"/>
          </w:p>
          <w:tbl>
            <w:tblPr>
              <w:tblStyle w:val="TableGrid0"/>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810"/>
              <w:gridCol w:w="3805"/>
              <w:gridCol w:w="2909"/>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512"/>
                <w:jc w:val="center"/>
              </w:trPr>
              <w:tc>
                <w:tcPr>
                  <w:tcW w:w="810" w:type="dxa"/>
                  <w:noWrap w:val="0"/>
                  <w:vAlign w:val="center"/>
                </w:tcPr>
                <w:p>
                  <w:pPr>
                    <w:widowControl w:val="0"/>
                    <w:bidi w:val="0"/>
                    <w:spacing w:line="240" w:lineRule="auto"/>
                    <w:ind w:firstLine="0" w:firstLineChars="0"/>
                    <w:jc w:val="center"/>
                    <w:rPr>
                      <w:rFonts w:hint="default"/>
                      <w:b/>
                      <w:bCs/>
                      <w:szCs w:val="21"/>
                    </w:rPr>
                  </w:pPr>
                  <w:r>
                    <w:rPr>
                      <w:rFonts w:ascii="Times New Roman" w:eastAsia="宋体" w:hAnsi="Times New Roman" w:cs="Times New Roman" w:hint="default"/>
                      <w:b/>
                      <w:bCs/>
                      <w:kern w:val="2"/>
                      <w:sz w:val="21"/>
                      <w:szCs w:val="21"/>
                      <w:lang w:val="en-US" w:eastAsia="zh-CN" w:bidi="ar-SA"/>
                    </w:rPr>
                    <w:t>专项评价的类别</w:t>
                  </w:r>
                </w:p>
              </w:tc>
              <w:tc>
                <w:tcPr>
                  <w:tcW w:w="3805" w:type="dxa"/>
                  <w:noWrap w:val="0"/>
                  <w:vAlign w:val="center"/>
                </w:tcPr>
                <w:p>
                  <w:pPr>
                    <w:widowControl w:val="0"/>
                    <w:bidi w:val="0"/>
                    <w:spacing w:line="240" w:lineRule="auto"/>
                    <w:ind w:firstLine="0" w:firstLineChars="0"/>
                    <w:jc w:val="center"/>
                    <w:rPr>
                      <w:rFonts w:hint="default"/>
                      <w:b/>
                      <w:bCs/>
                      <w:szCs w:val="21"/>
                    </w:rPr>
                  </w:pPr>
                  <w:r>
                    <w:rPr>
                      <w:rFonts w:ascii="Times New Roman" w:eastAsia="宋体" w:hAnsi="Times New Roman" w:cs="Times New Roman" w:hint="eastAsia"/>
                      <w:b/>
                      <w:bCs/>
                      <w:kern w:val="2"/>
                      <w:sz w:val="21"/>
                      <w:szCs w:val="21"/>
                      <w:lang w:val="en-US" w:eastAsia="zh-CN" w:bidi="ar-SA"/>
                    </w:rPr>
                    <w:t>设置原则</w:t>
                  </w:r>
                </w:p>
              </w:tc>
              <w:tc>
                <w:tcPr>
                  <w:tcW w:w="2909" w:type="dxa"/>
                  <w:noWrap w:val="0"/>
                  <w:vAlign w:val="center"/>
                </w:tcPr>
                <w:p>
                  <w:pPr>
                    <w:widowControl w:val="0"/>
                    <w:bidi w:val="0"/>
                    <w:spacing w:line="240" w:lineRule="auto"/>
                    <w:ind w:firstLine="0" w:firstLineChars="0"/>
                    <w:jc w:val="center"/>
                    <w:rPr>
                      <w:rFonts w:hint="default"/>
                      <w:b/>
                      <w:bCs/>
                      <w:szCs w:val="21"/>
                    </w:rPr>
                  </w:pPr>
                  <w:r>
                    <w:rPr>
                      <w:rFonts w:ascii="Times New Roman" w:eastAsia="宋体" w:hAnsi="Times New Roman" w:cs="Times New Roman" w:hint="eastAsia"/>
                      <w:b/>
                      <w:bCs/>
                      <w:kern w:val="2"/>
                      <w:sz w:val="21"/>
                      <w:szCs w:val="21"/>
                      <w:lang w:val="en-US" w:eastAsia="zh-CN" w:bidi="ar-SA"/>
                    </w:rPr>
                    <w:t>本项目情况</w:t>
                  </w:r>
                </w:p>
              </w:tc>
            </w:tr>
            <w:tr>
              <w:tblPrEx>
                <w:tblW w:w="0" w:type="auto"/>
                <w:jc w:val="center"/>
                <w:tblCellMar>
                  <w:top w:w="0" w:type="dxa"/>
                  <w:left w:w="108" w:type="dxa"/>
                  <w:bottom w:w="0" w:type="dxa"/>
                  <w:right w:w="108" w:type="dxa"/>
                </w:tblCellMar>
              </w:tblPrEx>
              <w:trPr>
                <w:trHeight w:val="250"/>
                <w:jc w:val="center"/>
              </w:trPr>
              <w:tc>
                <w:tcPr>
                  <w:tcW w:w="810" w:type="dxa"/>
                  <w:noWrap w:val="0"/>
                  <w:vAlign w:val="center"/>
                </w:tcPr>
                <w:p>
                  <w:pPr>
                    <w:widowControl w:val="0"/>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大气</w:t>
                  </w:r>
                </w:p>
              </w:tc>
              <w:tc>
                <w:tcPr>
                  <w:tcW w:w="3805" w:type="dxa"/>
                  <w:noWrap w:val="0"/>
                  <w:vAlign w:val="center"/>
                </w:tcPr>
                <w:p>
                  <w:pPr>
                    <w:widowControl w:val="0"/>
                    <w:bidi w:val="0"/>
                    <w:spacing w:line="240" w:lineRule="auto"/>
                    <w:ind w:firstLine="0" w:firstLineChars="0"/>
                    <w:jc w:val="left"/>
                    <w:rPr>
                      <w:rFonts w:hint="default"/>
                      <w:szCs w:val="21"/>
                    </w:rPr>
                  </w:pPr>
                  <w:r>
                    <w:rPr>
                      <w:rFonts w:ascii="Times New Roman" w:eastAsia="宋体" w:hAnsi="Times New Roman" w:cs="Times New Roman" w:hint="default"/>
                      <w:kern w:val="2"/>
                      <w:sz w:val="21"/>
                      <w:szCs w:val="21"/>
                      <w:lang w:val="en-US" w:eastAsia="zh-CN" w:bidi="ar-SA"/>
                    </w:rPr>
                    <w:t>排放废气含有毒有害污染物</w:t>
                  </w:r>
                  <w:r>
                    <w:rPr>
                      <w:rFonts w:ascii="Times New Roman" w:eastAsia="宋体" w:hAnsi="Times New Roman" w:cs="Times New Roman" w:hint="default"/>
                      <w:kern w:val="2"/>
                      <w:sz w:val="21"/>
                      <w:szCs w:val="21"/>
                      <w:vertAlign w:val="superscript"/>
                      <w:lang w:val="en-US" w:eastAsia="zh-CN" w:bidi="ar-SA"/>
                    </w:rPr>
                    <w:t>1</w:t>
                  </w:r>
                  <w:r>
                    <w:rPr>
                      <w:rFonts w:ascii="Times New Roman" w:eastAsia="宋体" w:hAnsi="Times New Roman" w:cs="Times New Roman" w:hint="default"/>
                      <w:kern w:val="2"/>
                      <w:sz w:val="21"/>
                      <w:szCs w:val="21"/>
                      <w:lang w:val="en-US" w:eastAsia="zh-CN" w:bidi="ar-SA"/>
                    </w:rPr>
                    <w:t>、二噁英、苯并[a]芘、氰化物、氯气且厂界外500米范围内有环境空气保护目标</w:t>
                  </w:r>
                  <w:r>
                    <w:rPr>
                      <w:rFonts w:ascii="Times New Roman" w:eastAsia="宋体" w:hAnsi="Times New Roman" w:cs="Times New Roman" w:hint="default"/>
                      <w:kern w:val="2"/>
                      <w:sz w:val="21"/>
                      <w:szCs w:val="21"/>
                      <w:vertAlign w:val="superscript"/>
                      <w:lang w:val="en-US" w:eastAsia="zh-CN" w:bidi="ar-SA"/>
                    </w:rPr>
                    <w:t>2</w:t>
                  </w:r>
                  <w:r>
                    <w:rPr>
                      <w:rFonts w:ascii="Times New Roman" w:eastAsia="宋体" w:hAnsi="Times New Roman" w:cs="Times New Roman" w:hint="default"/>
                      <w:kern w:val="2"/>
                      <w:sz w:val="21"/>
                      <w:szCs w:val="21"/>
                      <w:lang w:val="en-US" w:eastAsia="zh-CN" w:bidi="ar-SA"/>
                    </w:rPr>
                    <w:t>的建设项目</w:t>
                  </w:r>
                </w:p>
              </w:tc>
              <w:tc>
                <w:tcPr>
                  <w:tcW w:w="2909" w:type="dxa"/>
                  <w:noWrap w:val="0"/>
                  <w:vAlign w:val="center"/>
                </w:tcPr>
                <w:p>
                  <w:pPr>
                    <w:widowControl w:val="0"/>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本项目排放废气不涉及</w:t>
                  </w:r>
                  <w:r>
                    <w:rPr>
                      <w:rFonts w:ascii="Times New Roman" w:eastAsia="宋体" w:hAnsi="Times New Roman" w:cs="Times New Roman" w:hint="default"/>
                      <w:kern w:val="2"/>
                      <w:sz w:val="21"/>
                      <w:szCs w:val="21"/>
                      <w:lang w:val="en-US" w:eastAsia="zh-CN" w:bidi="ar-SA"/>
                    </w:rPr>
                    <w:t>有毒有害污染物</w:t>
                  </w:r>
                  <w:r>
                    <w:rPr>
                      <w:rFonts w:ascii="Times New Roman" w:eastAsia="宋体" w:hAnsi="Times New Roman" w:cs="Times New Roman" w:hint="default"/>
                      <w:kern w:val="2"/>
                      <w:sz w:val="21"/>
                      <w:szCs w:val="21"/>
                      <w:vertAlign w:val="superscript"/>
                      <w:lang w:val="en-US" w:eastAsia="zh-CN" w:bidi="ar-SA"/>
                    </w:rPr>
                    <w:t>1</w:t>
                  </w:r>
                  <w:r>
                    <w:rPr>
                      <w:rFonts w:ascii="Times New Roman" w:eastAsia="宋体" w:hAnsi="Times New Roman" w:cs="Times New Roman" w:hint="default"/>
                      <w:kern w:val="2"/>
                      <w:sz w:val="21"/>
                      <w:szCs w:val="21"/>
                      <w:lang w:val="en-US" w:eastAsia="zh-CN" w:bidi="ar-SA"/>
                    </w:rPr>
                    <w:t>、二噁英、苯并[a]芘、氰化物、氯气</w:t>
                  </w:r>
                </w:p>
              </w:tc>
            </w:tr>
            <w:tr>
              <w:tblPrEx>
                <w:tblW w:w="0" w:type="auto"/>
                <w:jc w:val="center"/>
                <w:tblCellMar>
                  <w:top w:w="0" w:type="dxa"/>
                  <w:left w:w="108" w:type="dxa"/>
                  <w:bottom w:w="0" w:type="dxa"/>
                  <w:right w:w="108" w:type="dxa"/>
                </w:tblCellMar>
              </w:tblPrEx>
              <w:trPr>
                <w:trHeight w:val="262"/>
                <w:jc w:val="center"/>
              </w:trPr>
              <w:tc>
                <w:tcPr>
                  <w:tcW w:w="810" w:type="dxa"/>
                  <w:noWrap w:val="0"/>
                  <w:vAlign w:val="center"/>
                </w:tcPr>
                <w:p>
                  <w:pPr>
                    <w:widowControl w:val="0"/>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地表水</w:t>
                  </w:r>
                </w:p>
              </w:tc>
              <w:tc>
                <w:tcPr>
                  <w:tcW w:w="3805" w:type="dxa"/>
                  <w:noWrap w:val="0"/>
                  <w:vAlign w:val="center"/>
                </w:tcPr>
                <w:p>
                  <w:pPr>
                    <w:widowControl w:val="0"/>
                    <w:bidi w:val="0"/>
                    <w:spacing w:line="240" w:lineRule="auto"/>
                    <w:ind w:firstLine="0" w:firstLineChars="0"/>
                    <w:jc w:val="left"/>
                    <w:rPr>
                      <w:rFonts w:hint="default"/>
                      <w:szCs w:val="21"/>
                    </w:rPr>
                  </w:pPr>
                  <w:r>
                    <w:rPr>
                      <w:rFonts w:ascii="Times New Roman" w:eastAsia="宋体" w:hAnsi="Times New Roman" w:cs="Times New Roman" w:hint="default"/>
                      <w:kern w:val="2"/>
                      <w:sz w:val="21"/>
                      <w:szCs w:val="21"/>
                      <w:lang w:val="en-US" w:eastAsia="zh-CN" w:bidi="ar-SA"/>
                    </w:rPr>
                    <w:t>新增工业废水直排建设项目（槽罐车外送污水处理厂的除外）；新增废水直排的污水集中处理厂</w:t>
                  </w:r>
                </w:p>
              </w:tc>
              <w:tc>
                <w:tcPr>
                  <w:tcW w:w="2909" w:type="dxa"/>
                  <w:noWrap w:val="0"/>
                  <w:vAlign w:val="center"/>
                </w:tcPr>
                <w:p>
                  <w:pPr>
                    <w:widowControl w:val="0"/>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highlight w:val="none"/>
                      <w:lang w:val="en-US" w:eastAsia="zh-CN" w:bidi="ar-SA"/>
                    </w:rPr>
                    <w:t>本项目</w:t>
                  </w:r>
                  <w:r>
                    <w:rPr>
                      <w:rFonts w:cs="Times New Roman" w:hint="eastAsia"/>
                      <w:kern w:val="2"/>
                      <w:sz w:val="21"/>
                      <w:szCs w:val="21"/>
                      <w:highlight w:val="none"/>
                      <w:lang w:val="en-US" w:eastAsia="zh-CN" w:bidi="ar-SA"/>
                    </w:rPr>
                    <w:t>废水非直排</w:t>
                  </w:r>
                </w:p>
              </w:tc>
            </w:tr>
            <w:tr>
              <w:tblPrEx>
                <w:tblW w:w="0" w:type="auto"/>
                <w:jc w:val="center"/>
                <w:tblCellMar>
                  <w:top w:w="0" w:type="dxa"/>
                  <w:left w:w="108" w:type="dxa"/>
                  <w:bottom w:w="0" w:type="dxa"/>
                  <w:right w:w="108" w:type="dxa"/>
                </w:tblCellMar>
              </w:tblPrEx>
              <w:trPr>
                <w:trHeight w:val="250"/>
                <w:jc w:val="center"/>
              </w:trPr>
              <w:tc>
                <w:tcPr>
                  <w:tcW w:w="810" w:type="dxa"/>
                  <w:noWrap w:val="0"/>
                  <w:vAlign w:val="center"/>
                </w:tcPr>
                <w:p>
                  <w:pPr>
                    <w:widowControl w:val="0"/>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环境风险</w:t>
                  </w:r>
                </w:p>
              </w:tc>
              <w:tc>
                <w:tcPr>
                  <w:tcW w:w="3805" w:type="dxa"/>
                  <w:noWrap w:val="0"/>
                  <w:vAlign w:val="center"/>
                </w:tcPr>
                <w:p>
                  <w:pPr>
                    <w:widowControl w:val="0"/>
                    <w:bidi w:val="0"/>
                    <w:spacing w:line="240" w:lineRule="auto"/>
                    <w:ind w:firstLine="0" w:firstLineChars="0"/>
                    <w:jc w:val="left"/>
                    <w:rPr>
                      <w:rFonts w:hint="default"/>
                      <w:szCs w:val="21"/>
                    </w:rPr>
                  </w:pPr>
                  <w:r>
                    <w:rPr>
                      <w:rFonts w:ascii="Times New Roman" w:eastAsia="宋体" w:hAnsi="Times New Roman" w:cs="Times New Roman" w:hint="default"/>
                      <w:kern w:val="2"/>
                      <w:sz w:val="21"/>
                      <w:szCs w:val="21"/>
                      <w:lang w:val="en-US" w:eastAsia="zh-CN" w:bidi="ar-SA"/>
                    </w:rPr>
                    <w:t>有毒有害和易燃易爆危险物质存储量超过临界量</w:t>
                  </w:r>
                  <w:r>
                    <w:rPr>
                      <w:rFonts w:ascii="Times New Roman" w:eastAsia="宋体" w:hAnsi="Times New Roman" w:cs="Times New Roman" w:hint="default"/>
                      <w:kern w:val="2"/>
                      <w:sz w:val="21"/>
                      <w:szCs w:val="21"/>
                      <w:vertAlign w:val="superscript"/>
                      <w:lang w:val="en-US" w:eastAsia="zh-CN" w:bidi="ar-SA"/>
                    </w:rPr>
                    <w:t>3</w:t>
                  </w:r>
                  <w:r>
                    <w:rPr>
                      <w:rFonts w:ascii="Times New Roman" w:eastAsia="宋体" w:hAnsi="Times New Roman" w:cs="Times New Roman" w:hint="default"/>
                      <w:kern w:val="2"/>
                      <w:sz w:val="21"/>
                      <w:szCs w:val="21"/>
                      <w:lang w:val="en-US" w:eastAsia="zh-CN" w:bidi="ar-SA"/>
                    </w:rPr>
                    <w:t>的建设项目</w:t>
                  </w:r>
                </w:p>
              </w:tc>
              <w:tc>
                <w:tcPr>
                  <w:tcW w:w="2909" w:type="dxa"/>
                  <w:noWrap w:val="0"/>
                  <w:vAlign w:val="center"/>
                </w:tcPr>
                <w:p>
                  <w:pPr>
                    <w:widowControl w:val="0"/>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w:t>
                  </w:r>
                  <w:r>
                    <w:rPr>
                      <w:rFonts w:ascii="Times New Roman" w:eastAsia="宋体" w:hAnsi="Times New Roman" w:cs="Times New Roman" w:hint="default"/>
                      <w:kern w:val="2"/>
                      <w:sz w:val="21"/>
                      <w:szCs w:val="21"/>
                      <w:lang w:val="en-US" w:eastAsia="zh-CN" w:bidi="ar-SA"/>
                    </w:rPr>
                    <w:t>有毒有害和易燃易爆危险物质存储量</w:t>
                  </w:r>
                  <w:r>
                    <w:rPr>
                      <w:rFonts w:ascii="Times New Roman" w:eastAsia="宋体" w:hAnsi="Times New Roman" w:cs="Times New Roman" w:hint="eastAsia"/>
                      <w:kern w:val="2"/>
                      <w:sz w:val="21"/>
                      <w:szCs w:val="21"/>
                      <w:lang w:val="en-US" w:eastAsia="zh-CN" w:bidi="ar-SA"/>
                    </w:rPr>
                    <w:t>未</w:t>
                  </w:r>
                  <w:r>
                    <w:rPr>
                      <w:rFonts w:ascii="Times New Roman" w:eastAsia="宋体" w:hAnsi="Times New Roman" w:cs="Times New Roman" w:hint="default"/>
                      <w:kern w:val="2"/>
                      <w:sz w:val="21"/>
                      <w:szCs w:val="21"/>
                      <w:lang w:val="en-US" w:eastAsia="zh-CN" w:bidi="ar-SA"/>
                    </w:rPr>
                    <w:t>超过临界量</w:t>
                  </w:r>
                </w:p>
              </w:tc>
            </w:tr>
            <w:tr>
              <w:tblPrEx>
                <w:tblW w:w="0" w:type="auto"/>
                <w:jc w:val="center"/>
                <w:tblCellMar>
                  <w:top w:w="0" w:type="dxa"/>
                  <w:left w:w="108" w:type="dxa"/>
                  <w:bottom w:w="0" w:type="dxa"/>
                  <w:right w:w="108" w:type="dxa"/>
                </w:tblCellMar>
              </w:tblPrEx>
              <w:trPr>
                <w:trHeight w:val="262"/>
                <w:jc w:val="center"/>
              </w:trPr>
              <w:tc>
                <w:tcPr>
                  <w:tcW w:w="810" w:type="dxa"/>
                  <w:noWrap w:val="0"/>
                  <w:vAlign w:val="center"/>
                </w:tcPr>
                <w:p>
                  <w:pPr>
                    <w:widowControl w:val="0"/>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生态</w:t>
                  </w:r>
                </w:p>
              </w:tc>
              <w:tc>
                <w:tcPr>
                  <w:tcW w:w="3805" w:type="dxa"/>
                  <w:noWrap w:val="0"/>
                  <w:vAlign w:val="center"/>
                </w:tcPr>
                <w:p>
                  <w:pPr>
                    <w:widowControl w:val="0"/>
                    <w:bidi w:val="0"/>
                    <w:spacing w:after="0" w:line="240" w:lineRule="auto"/>
                    <w:ind w:firstLine="0" w:firstLineChars="0"/>
                    <w:jc w:val="left"/>
                    <w:rPr>
                      <w:rFonts w:hint="default"/>
                      <w:szCs w:val="21"/>
                    </w:rPr>
                  </w:pPr>
                </w:p>
              </w:tc>
              <w:tc>
                <w:tcPr>
                  <w:tcW w:w="2909" w:type="dxa"/>
                  <w:noWrap w:val="0"/>
                  <w:vAlign w:val="center"/>
                </w:tcPr>
                <w:p>
                  <w:pPr>
                    <w:widowControl w:val="0"/>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本项目未设置取水口</w:t>
                  </w:r>
                </w:p>
              </w:tc>
            </w:tr>
          </w:tbl>
          <w:p/>
        </w:tc>
      </w:tr>
    </w:tbl>
    <w:p>
      <w:pPr>
        <w:sectPr>
          <w:footerReference w:type="default" r:id="rId7"/>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850"/>
          <w:jc w:val="center"/>
        </w:trPr>
        <w:tc>
          <w:tcPr>
            <w:tcW w:w="1572" w:type="dxa"/>
            <w:noWrap w:val="0"/>
            <w:vAlign w:val="center"/>
          </w:tcPr>
          <w:p/>
        </w:tc>
        <w:tc>
          <w:tcPr>
            <w:tcW w:w="7771" w:type="dxa"/>
            <w:noWrap w:val="0"/>
            <w:vAlign w:val="center"/>
          </w:tcPr>
          <w:tbl>
            <w:tblPr>
              <w:tblStyle w:val="TableGrid1"/>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810"/>
              <w:gridCol w:w="3805"/>
              <w:gridCol w:w="2909"/>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62"/>
                <w:jc w:val="center"/>
              </w:trPr>
              <w:tc>
                <w:tcPr>
                  <w:tcW w:w="810" w:type="dxa"/>
                  <w:noWrap w:val="0"/>
                  <w:vAlign w:val="center"/>
                </w:tcPr>
                <w:p/>
              </w:tc>
              <w:tc>
                <w:tcPr>
                  <w:tcW w:w="3805" w:type="dxa"/>
                  <w:noWrap w:val="0"/>
                  <w:vAlign w:val="center"/>
                </w:tcPr>
                <w:p>
                  <w:pPr>
                    <w:widowControl w:val="0"/>
                    <w:bidi w:val="0"/>
                    <w:spacing w:before="0" w:line="240" w:lineRule="auto"/>
                    <w:ind w:firstLine="0" w:firstLineChars="0"/>
                    <w:jc w:val="left"/>
                    <w:rPr>
                      <w:rFonts w:hint="default"/>
                      <w:szCs w:val="21"/>
                    </w:rPr>
                  </w:pPr>
                  <w:r>
                    <w:rPr>
                      <w:rFonts w:ascii="Times New Roman" w:eastAsia="宋体" w:hAnsi="Times New Roman" w:cs="Times New Roman" w:hint="default"/>
                      <w:kern w:val="2"/>
                      <w:sz w:val="21"/>
                      <w:szCs w:val="21"/>
                      <w:lang w:val="en-US" w:eastAsia="zh-CN" w:bidi="ar-SA"/>
                    </w:rPr>
                    <w:t>取水口下游500米范围内有重要水生生物的自然产卵场、索饵场、越冬场和洄游通道的新增河道取水的污染类建设项目</w:t>
                  </w:r>
                </w:p>
              </w:tc>
              <w:tc>
                <w:tcPr>
                  <w:tcW w:w="2909" w:type="dxa"/>
                  <w:noWrap w:val="0"/>
                  <w:vAlign w:val="center"/>
                </w:tcPr>
                <w:p/>
              </w:tc>
            </w:tr>
            <w:tr>
              <w:tblPrEx>
                <w:tblW w:w="0" w:type="auto"/>
                <w:jc w:val="center"/>
                <w:tblCellMar>
                  <w:top w:w="0" w:type="dxa"/>
                  <w:left w:w="108" w:type="dxa"/>
                  <w:bottom w:w="0" w:type="dxa"/>
                  <w:right w:w="108" w:type="dxa"/>
                </w:tblCellMar>
              </w:tblPrEx>
              <w:trPr>
                <w:trHeight w:val="262"/>
                <w:jc w:val="center"/>
              </w:trPr>
              <w:tc>
                <w:tcPr>
                  <w:tcW w:w="810" w:type="dxa"/>
                  <w:noWrap w:val="0"/>
                  <w:vAlign w:val="center"/>
                </w:tcPr>
                <w:p>
                  <w:pPr>
                    <w:widowControl w:val="0"/>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海洋</w:t>
                  </w:r>
                </w:p>
              </w:tc>
              <w:tc>
                <w:tcPr>
                  <w:tcW w:w="3805" w:type="dxa"/>
                  <w:noWrap w:val="0"/>
                  <w:vAlign w:val="center"/>
                </w:tcPr>
                <w:p>
                  <w:pPr>
                    <w:widowControl w:val="0"/>
                    <w:bidi w:val="0"/>
                    <w:spacing w:line="240" w:lineRule="auto"/>
                    <w:ind w:firstLine="0" w:firstLineChars="0"/>
                    <w:jc w:val="left"/>
                    <w:rPr>
                      <w:rFonts w:hint="default"/>
                      <w:szCs w:val="21"/>
                    </w:rPr>
                  </w:pPr>
                  <w:r>
                    <w:rPr>
                      <w:rFonts w:ascii="Times New Roman" w:eastAsia="宋体" w:hAnsi="Times New Roman" w:cs="Times New Roman" w:hint="default"/>
                      <w:kern w:val="2"/>
                      <w:sz w:val="21"/>
                      <w:szCs w:val="21"/>
                      <w:lang w:val="en-US" w:eastAsia="zh-CN" w:bidi="ar-SA"/>
                    </w:rPr>
                    <w:t>直接向海排放污染物的海洋工程建设项目</w:t>
                  </w:r>
                </w:p>
              </w:tc>
              <w:tc>
                <w:tcPr>
                  <w:tcW w:w="2909" w:type="dxa"/>
                  <w:noWrap w:val="0"/>
                  <w:vAlign w:val="center"/>
                </w:tcPr>
                <w:p>
                  <w:pPr>
                    <w:widowControl w:val="0"/>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本项目非海洋工程建设项目</w:t>
                  </w:r>
                </w:p>
              </w:tc>
            </w:tr>
          </w:tbl>
          <w:p>
            <w:pPr>
              <w:adjustRightInd w:val="0"/>
              <w:snapToGrid w:val="0"/>
              <w:jc w:val="left"/>
              <w:rPr>
                <w:rFonts w:hint="default"/>
                <w:b w:val="0"/>
                <w:bCs w:val="0"/>
              </w:rPr>
            </w:pPr>
            <w:r>
              <w:rPr>
                <w:rFonts w:ascii="Times New Roman" w:eastAsia="宋体" w:hAnsi="Times New Roman" w:cs="Times New Roman" w:hint="default"/>
                <w:b w:val="0"/>
                <w:bCs w:val="0"/>
                <w:lang w:val="en-US" w:eastAsia="zh-CN"/>
              </w:rPr>
              <w:t>注：1.废气中有毒有害污染物</w:t>
            </w:r>
            <w:r>
              <w:rPr>
                <w:rFonts w:ascii="Times New Roman" w:eastAsia="宋体" w:hAnsi="Times New Roman" w:cs="Times New Roman" w:hint="eastAsia"/>
                <w:b w:val="0"/>
                <w:bCs w:val="0"/>
                <w:lang w:val="en-US" w:eastAsia="zh-CN"/>
              </w:rPr>
              <w:t>是</w:t>
            </w:r>
            <w:r>
              <w:rPr>
                <w:rFonts w:ascii="Times New Roman" w:eastAsia="宋体" w:hAnsi="Times New Roman" w:cs="Times New Roman" w:hint="default"/>
                <w:b w:val="0"/>
                <w:bCs w:val="0"/>
                <w:lang w:val="en-US" w:eastAsia="zh-CN"/>
              </w:rPr>
              <w:t>指纳入《有毒有害大气污染物名录》的污染物（不包括无排放标准的污染物）。</w:t>
            </w:r>
          </w:p>
          <w:p>
            <w:pPr>
              <w:adjustRightInd w:val="0"/>
              <w:snapToGrid w:val="0"/>
              <w:jc w:val="left"/>
              <w:rPr>
                <w:rFonts w:hint="default"/>
                <w:b w:val="0"/>
                <w:bCs w:val="0"/>
              </w:rPr>
            </w:pPr>
            <w:r>
              <w:rPr>
                <w:rFonts w:ascii="Times New Roman" w:eastAsia="宋体" w:hAnsi="Times New Roman" w:cs="Times New Roman" w:hint="default"/>
                <w:b w:val="0"/>
                <w:bCs w:val="0"/>
                <w:lang w:val="en-US" w:eastAsia="zh-CN"/>
              </w:rPr>
              <w:t>2.环境空气保护目标指自然保护区、风景名胜区、居住区、文化区和农村地区中人群较集中的区域。</w:t>
            </w:r>
          </w:p>
          <w:p>
            <w:pPr>
              <w:adjustRightInd w:val="0"/>
              <w:snapToGrid w:val="0"/>
              <w:jc w:val="left"/>
              <w:rPr>
                <w:sz w:val="24"/>
              </w:rPr>
            </w:pPr>
            <w:r>
              <w:rPr>
                <w:rFonts w:ascii="Times New Roman" w:eastAsia="宋体" w:hAnsi="Times New Roman" w:cs="Times New Roman" w:hint="default"/>
                <w:b w:val="0"/>
                <w:bCs w:val="0"/>
                <w:lang w:val="en-US" w:eastAsia="zh-CN"/>
              </w:rPr>
              <w:t>3.临界量及其计算方法可参考《建设项目环境风险评价技术导则》（HJ 169）</w:t>
            </w:r>
            <w:r>
              <w:rPr>
                <w:rFonts w:ascii="Times New Roman" w:eastAsia="宋体" w:hAnsi="Times New Roman" w:cs="Times New Roman" w:hint="eastAsia"/>
                <w:b w:val="0"/>
                <w:bCs w:val="0"/>
                <w:lang w:val="en-US" w:eastAsia="zh-CN"/>
              </w:rPr>
              <w:t>附录B附录C</w:t>
            </w:r>
            <w:r>
              <w:rPr>
                <w:rFonts w:ascii="Times New Roman" w:eastAsia="宋体" w:hAnsi="Times New Roman" w:cs="Times New Roman" w:hint="default"/>
                <w:b w:val="0"/>
                <w:bCs w:val="0"/>
                <w:lang w:val="en-US" w:eastAsia="zh-CN"/>
              </w:rPr>
              <w:t>。</w:t>
            </w:r>
          </w:p>
        </w:tc>
      </w:tr>
      <w:tr>
        <w:tblPrEx>
          <w:tblW w:w="4976" w:type="pct"/>
          <w:jc w:val="center"/>
          <w:tblCellMar>
            <w:top w:w="0" w:type="dxa"/>
            <w:left w:w="108" w:type="dxa"/>
            <w:bottom w:w="0" w:type="dxa"/>
            <w:right w:w="108" w:type="dxa"/>
          </w:tblCellMar>
        </w:tblPrEx>
        <w:trPr>
          <w:trHeight w:val="850"/>
          <w:jc w:val="center"/>
        </w:trPr>
        <w:tc>
          <w:tcPr>
            <w:tcW w:w="1572" w:type="dxa"/>
            <w:noWrap w:val="0"/>
            <w:vAlign w:val="center"/>
          </w:tcPr>
          <w:p>
            <w:pPr>
              <w:autoSpaceDE w:val="0"/>
              <w:autoSpaceDN w:val="0"/>
              <w:adjustRightInd w:val="0"/>
              <w:snapToGrid w:val="0"/>
              <w:jc w:val="center"/>
              <w:rPr>
                <w:kern w:val="0"/>
                <w:szCs w:val="21"/>
              </w:rPr>
            </w:pPr>
            <w:r>
              <w:rPr>
                <w:szCs w:val="21"/>
              </w:rPr>
              <w:t>规划情况</w:t>
            </w:r>
          </w:p>
        </w:tc>
        <w:tc>
          <w:tcPr>
            <w:tcW w:w="7771" w:type="dxa"/>
            <w:noWrap w:val="0"/>
            <w:vAlign w:val="center"/>
          </w:tcPr>
          <w:p>
            <w:pPr>
              <w:pStyle w:val="yt"/>
              <w:rPr>
                <w:rFonts w:hint="eastAsia"/>
                <w:highlight w:val="none"/>
                <w:lang w:eastAsia="zh-CN"/>
              </w:rPr>
            </w:pPr>
            <w:r>
              <w:rPr>
                <w:rFonts w:hint="eastAsia"/>
                <w:highlight w:val="none"/>
                <w:lang w:val="en-US" w:eastAsia="zh-CN"/>
              </w:rPr>
              <w:t>无</w:t>
            </w:r>
          </w:p>
        </w:tc>
      </w:tr>
      <w:tr>
        <w:tblPrEx>
          <w:tblW w:w="4976" w:type="pct"/>
          <w:jc w:val="center"/>
          <w:tblCellMar>
            <w:top w:w="0" w:type="dxa"/>
            <w:left w:w="108" w:type="dxa"/>
            <w:bottom w:w="0" w:type="dxa"/>
            <w:right w:w="108" w:type="dxa"/>
          </w:tblCellMar>
        </w:tblPrEx>
        <w:trPr>
          <w:trHeight w:val="850"/>
          <w:jc w:val="center"/>
        </w:trPr>
        <w:tc>
          <w:tcPr>
            <w:tcW w:w="1572" w:type="dxa"/>
            <w:noWrap w:val="0"/>
            <w:vAlign w:val="center"/>
          </w:tcPr>
          <w:p>
            <w:pPr>
              <w:adjustRightInd w:val="0"/>
              <w:snapToGrid w:val="0"/>
              <w:jc w:val="center"/>
              <w:rPr>
                <w:kern w:val="0"/>
                <w:szCs w:val="21"/>
              </w:rPr>
            </w:pPr>
            <w:r>
              <w:rPr>
                <w:szCs w:val="21"/>
              </w:rPr>
              <w:t>规划环境影响评价情况</w:t>
            </w:r>
          </w:p>
        </w:tc>
        <w:tc>
          <w:tcPr>
            <w:tcW w:w="7771" w:type="dxa"/>
            <w:noWrap w:val="0"/>
            <w:vAlign w:val="center"/>
          </w:tcPr>
          <w:p>
            <w:pPr>
              <w:adjustRightInd w:val="0"/>
              <w:snapToGrid w:val="0"/>
              <w:ind w:firstLine="480" w:firstLineChars="200"/>
              <w:rPr>
                <w:rFonts w:hint="eastAsia"/>
                <w:sz w:val="24"/>
                <w:highlight w:val="none"/>
              </w:rPr>
            </w:pPr>
            <w:r>
              <w:rPr>
                <w:rFonts w:hint="eastAsia"/>
                <w:sz w:val="24"/>
                <w:highlight w:val="none"/>
                <w:lang w:val="en-US" w:eastAsia="zh-CN"/>
              </w:rPr>
              <w:t>无</w:t>
            </w:r>
          </w:p>
        </w:tc>
      </w:tr>
      <w:tr>
        <w:tblPrEx>
          <w:tblW w:w="4976" w:type="pct"/>
          <w:jc w:val="center"/>
          <w:tblCellMar>
            <w:top w:w="0" w:type="dxa"/>
            <w:left w:w="108" w:type="dxa"/>
            <w:bottom w:w="0" w:type="dxa"/>
            <w:right w:w="108" w:type="dxa"/>
          </w:tblCellMar>
        </w:tblPrEx>
        <w:trPr>
          <w:trHeight w:val="850"/>
          <w:jc w:val="center"/>
        </w:trPr>
        <w:tc>
          <w:tcPr>
            <w:tcW w:w="1572" w:type="dxa"/>
            <w:noWrap w:val="0"/>
            <w:vAlign w:val="center"/>
          </w:tcPr>
          <w:p>
            <w:pPr>
              <w:autoSpaceDE w:val="0"/>
              <w:autoSpaceDN w:val="0"/>
              <w:adjustRightInd w:val="0"/>
              <w:snapToGrid w:val="0"/>
              <w:jc w:val="center"/>
              <w:rPr>
                <w:kern w:val="0"/>
                <w:szCs w:val="21"/>
              </w:rPr>
            </w:pPr>
            <w:r>
              <w:rPr>
                <w:kern w:val="0"/>
                <w:szCs w:val="21"/>
              </w:rPr>
              <w:t>规划及规划环境影响评价符合性分析</w:t>
            </w:r>
          </w:p>
        </w:tc>
        <w:tc>
          <w:tcPr>
            <w:tcW w:w="7771" w:type="dxa"/>
            <w:noWrap w:val="0"/>
            <w:vAlign w:val="center"/>
          </w:tcPr>
          <w:p>
            <w:pPr>
              <w:pStyle w:val="yt"/>
              <w:ind w:firstLine="480"/>
              <w:rPr>
                <w:rFonts w:hint="eastAsia"/>
                <w:lang w:eastAsia="zh-CN"/>
              </w:rPr>
            </w:pPr>
            <w:r>
              <w:rPr>
                <w:rFonts w:hint="eastAsia"/>
                <w:lang w:val="en-US" w:eastAsia="zh-CN"/>
              </w:rPr>
              <w:t>无</w:t>
            </w:r>
          </w:p>
        </w:tc>
      </w:tr>
      <w:tr>
        <w:tblPrEx>
          <w:tblW w:w="4976" w:type="pct"/>
          <w:jc w:val="center"/>
          <w:tblCellMar>
            <w:top w:w="0" w:type="dxa"/>
            <w:left w:w="108" w:type="dxa"/>
            <w:bottom w:w="0" w:type="dxa"/>
            <w:right w:w="108" w:type="dxa"/>
          </w:tblCellMar>
        </w:tblPrEx>
        <w:trPr>
          <w:trHeight w:val="1021"/>
          <w:jc w:val="center"/>
        </w:trPr>
        <w:tc>
          <w:tcPr>
            <w:tcW w:w="1572" w:type="dxa"/>
            <w:noWrap w:val="0"/>
            <w:vAlign w:val="center"/>
          </w:tcPr>
          <w:p>
            <w:pPr>
              <w:autoSpaceDE w:val="0"/>
              <w:autoSpaceDN w:val="0"/>
              <w:adjustRightInd w:val="0"/>
              <w:snapToGrid w:val="0"/>
              <w:jc w:val="center"/>
              <w:rPr>
                <w:kern w:val="0"/>
                <w:szCs w:val="21"/>
              </w:rPr>
            </w:pPr>
            <w:r>
              <w:rPr>
                <w:kern w:val="0"/>
                <w:szCs w:val="21"/>
              </w:rPr>
              <w:t>其他符合性分析</w:t>
            </w:r>
          </w:p>
        </w:tc>
        <w:tc>
          <w:tcPr>
            <w:tcW w:w="7771" w:type="dxa"/>
            <w:noWrap w:val="0"/>
            <w:vAlign w:val="center"/>
          </w:tcPr>
          <w:p>
            <w:pPr>
              <w:spacing w:line="360" w:lineRule="auto"/>
              <w:ind w:firstLine="480" w:firstLineChars="200"/>
              <w:jc w:val="left"/>
              <w:rPr>
                <w:b/>
                <w:sz w:val="24"/>
              </w:rPr>
            </w:pPr>
            <w:r>
              <w:rPr>
                <w:b/>
                <w:sz w:val="24"/>
              </w:rPr>
              <w:t>1、“三线一单”相符性分析</w:t>
            </w:r>
          </w:p>
          <w:p>
            <w:pPr>
              <w:spacing w:line="360" w:lineRule="auto"/>
              <w:ind w:firstLine="480" w:firstLineChars="200"/>
              <w:rPr>
                <w:sz w:val="24"/>
              </w:rPr>
            </w:pPr>
            <w:r>
              <w:rPr>
                <w:sz w:val="24"/>
              </w:rPr>
              <w:t>（1）生态保护红线</w:t>
            </w:r>
          </w:p>
          <w:p>
            <w:pPr>
              <w:spacing w:line="360" w:lineRule="auto"/>
              <w:ind w:firstLine="480" w:firstLineChars="200"/>
              <w:rPr>
                <w:sz w:val="24"/>
              </w:rPr>
            </w:pPr>
            <w:r>
              <w:rPr>
                <w:sz w:val="24"/>
              </w:rPr>
              <w:t>根据《江西省人民政府关于发布江西省生态保护红线的通知》（赣府发</w:t>
            </w:r>
            <w:r>
              <w:rPr>
                <w:rFonts w:hint="eastAsia"/>
                <w:sz w:val="24"/>
                <w:lang w:eastAsia="zh-CN"/>
              </w:rPr>
              <w:t>〔</w:t>
            </w:r>
            <w:r>
              <w:rPr>
                <w:sz w:val="24"/>
              </w:rPr>
              <w:t>2018</w:t>
            </w:r>
            <w:r>
              <w:rPr>
                <w:rFonts w:hint="eastAsia"/>
                <w:sz w:val="24"/>
                <w:lang w:eastAsia="zh-CN"/>
              </w:rPr>
              <w:t>〕</w:t>
            </w:r>
            <w:r>
              <w:rPr>
                <w:sz w:val="24"/>
              </w:rPr>
              <w:t>21号）中的附件“江西省生态保护红线分布图”，项目所在地周围无自然保护区、风景名胜区、饮用水水源地保护区、国家公益林等需要特殊保护的环境敏感区，项目不在生态保护红线范围内，符合生态保护红线要求。</w:t>
            </w:r>
          </w:p>
          <w:p>
            <w:pPr>
              <w:spacing w:line="360" w:lineRule="auto"/>
              <w:ind w:firstLine="480" w:firstLineChars="200"/>
              <w:rPr>
                <w:sz w:val="24"/>
              </w:rPr>
            </w:pPr>
            <w:r>
              <w:rPr>
                <w:sz w:val="24"/>
              </w:rPr>
              <w:t>（2）环境质量底线</w:t>
            </w:r>
          </w:p>
          <w:p>
            <w:pPr>
              <w:spacing w:line="360" w:lineRule="auto"/>
              <w:ind w:firstLine="480" w:firstLineChars="200"/>
              <w:rPr>
                <w:sz w:val="24"/>
              </w:rPr>
            </w:pPr>
            <w:r>
              <w:rPr>
                <w:sz w:val="24"/>
              </w:rPr>
              <w:t>项目区域环境空气质量执行《环境空气质量标准》（GB3095-2012）中二类区标准，地表水环境质量执行《地表水环境质量标准》（GB3838-2002）中III类水质标准，项目周边声环境质量执行《声环境质量标准》（GB3095-2008）的</w:t>
            </w:r>
            <w:r>
              <w:rPr>
                <w:rFonts w:hint="eastAsia"/>
                <w:sz w:val="24"/>
                <w:lang w:val="en-US" w:eastAsia="zh-CN"/>
              </w:rPr>
              <w:t>2</w:t>
            </w:r>
            <w:r>
              <w:rPr>
                <w:sz w:val="24"/>
              </w:rPr>
              <w:t>类区标准</w:t>
            </w:r>
            <w:r>
              <w:rPr>
                <w:rFonts w:hint="eastAsia"/>
                <w:sz w:val="24"/>
                <w:lang w:eastAsia="zh-CN"/>
              </w:rPr>
              <w:t>（</w:t>
            </w:r>
            <w:r>
              <w:rPr>
                <w:rFonts w:hint="eastAsia"/>
                <w:sz w:val="24"/>
                <w:lang w:val="en-US" w:eastAsia="zh-CN"/>
              </w:rPr>
              <w:t>临近高新南大道执行4a类标准</w:t>
            </w:r>
            <w:r>
              <w:rPr>
                <w:rFonts w:hint="eastAsia"/>
                <w:sz w:val="24"/>
                <w:lang w:eastAsia="zh-CN"/>
              </w:rPr>
              <w:t>）；</w:t>
            </w:r>
            <w:r>
              <w:rPr>
                <w:rFonts w:hint="eastAsia"/>
                <w:sz w:val="24"/>
                <w:lang w:val="en-US" w:eastAsia="zh-CN"/>
              </w:rPr>
              <w:t>根据生态环境主管部门公布的环境质量数据及项目所在区域环境质量监测报告，项目所在区域环境质量状况良好，满足环境质量底线要求。同时，根据项目运营期环境影响分析内容可知，项目的建设运营不会导致项目所在区域环境质量突破环境质量底线</w:t>
            </w:r>
            <w:r>
              <w:rPr>
                <w:sz w:val="24"/>
              </w:rPr>
              <w:t>。</w:t>
            </w:r>
          </w:p>
          <w:p>
            <w:pPr>
              <w:spacing w:line="360" w:lineRule="auto"/>
              <w:ind w:firstLine="480" w:firstLineChars="200"/>
              <w:rPr>
                <w:sz w:val="24"/>
              </w:rPr>
            </w:pPr>
            <w:r>
              <w:rPr>
                <w:sz w:val="24"/>
              </w:rPr>
              <w:t>（3）资源利用上线</w:t>
            </w:r>
          </w:p>
          <w:p>
            <w:pPr>
              <w:spacing w:line="360" w:lineRule="auto"/>
              <w:ind w:firstLine="480" w:firstLineChars="200"/>
              <w:rPr>
                <w:sz w:val="24"/>
              </w:rPr>
            </w:pPr>
            <w:r>
              <w:rPr>
                <w:sz w:val="24"/>
              </w:rPr>
              <w:t>项目不属于高能耗、高污染、资源型企业，用水来自</w:t>
            </w:r>
            <w:r>
              <w:rPr>
                <w:rFonts w:hint="eastAsia"/>
                <w:sz w:val="24"/>
                <w:lang w:val="en-US" w:eastAsia="zh-CN"/>
              </w:rPr>
              <w:t>市政供水</w:t>
            </w:r>
            <w:r>
              <w:rPr>
                <w:sz w:val="24"/>
              </w:rPr>
              <w:t>，用电来自市政供电。水电等资源利用不会突破区域的资源利用上线。</w:t>
            </w:r>
          </w:p>
          <w:p>
            <w:pPr>
              <w:spacing w:line="384" w:lineRule="auto"/>
              <w:ind w:firstLine="480" w:firstLineChars="200"/>
              <w:rPr>
                <w:sz w:val="24"/>
              </w:rPr>
            </w:pPr>
            <w:r>
              <w:rPr>
                <w:sz w:val="24"/>
              </w:rPr>
              <w:t>（4）生态环境准入清单</w:t>
            </w:r>
          </w:p>
        </w:tc>
      </w:tr>
    </w:tbl>
    <w:p>
      <w:pPr>
        <w:sectPr>
          <w:footerReference w:type="default" r:id="rId8"/>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2"/>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p>
            <w:pPr>
              <w:spacing w:line="384" w:lineRule="auto"/>
              <w:ind w:firstLine="480" w:firstLineChars="200"/>
              <w:rPr>
                <w:rFonts w:hint="eastAsia"/>
                <w:sz w:val="24"/>
              </w:rPr>
            </w:pPr>
            <w:r>
              <w:rPr>
                <w:sz w:val="24"/>
              </w:rPr>
              <w:t>本项目</w:t>
            </w:r>
            <w:r>
              <w:rPr>
                <w:rFonts w:hint="eastAsia"/>
                <w:sz w:val="24"/>
                <w:lang w:eastAsia="zh-CN"/>
              </w:rPr>
              <w:t>位于南昌市青山湖区高新南大道3699号弘泰大厦6楼</w:t>
            </w:r>
            <w:r>
              <w:rPr>
                <w:sz w:val="24"/>
              </w:rPr>
              <w:t>，取得了</w:t>
            </w:r>
            <w:r>
              <w:rPr>
                <w:rFonts w:hint="eastAsia"/>
                <w:sz w:val="24"/>
                <w:lang w:eastAsia="zh-CN"/>
              </w:rPr>
              <w:t>南昌市青山湖区发展和改革委员会</w:t>
            </w:r>
            <w:r>
              <w:rPr>
                <w:sz w:val="24"/>
              </w:rPr>
              <w:t>对本项目的备案（统一项目代码为</w:t>
            </w:r>
            <w:r>
              <w:rPr>
                <w:rFonts w:hint="eastAsia"/>
                <w:sz w:val="24"/>
                <w:lang w:eastAsia="zh-CN"/>
              </w:rPr>
              <w:t>2302-360111-04-01-571530</w:t>
            </w:r>
            <w:r>
              <w:rPr>
                <w:sz w:val="24"/>
              </w:rPr>
              <w:t>），</w:t>
            </w:r>
            <w:r>
              <w:rPr>
                <w:rFonts w:hint="eastAsia"/>
                <w:sz w:val="24"/>
              </w:rPr>
              <w:t>根据</w:t>
            </w:r>
            <w:r>
              <w:rPr>
                <w:rFonts w:hint="eastAsia"/>
                <w:sz w:val="24"/>
                <w:lang w:eastAsia="zh-CN"/>
              </w:rPr>
              <w:t>《产业结构调整指导目录》（2021年修订本）</w:t>
            </w:r>
            <w:r>
              <w:rPr>
                <w:rFonts w:hint="eastAsia"/>
                <w:sz w:val="24"/>
              </w:rPr>
              <w:t>，本项目属于</w:t>
            </w:r>
            <w:r>
              <w:rPr>
                <w:rFonts w:hint="eastAsia"/>
                <w:sz w:val="24"/>
                <w:lang w:eastAsia="zh-CN"/>
              </w:rPr>
              <w:t>鼓励类“三十一、科技服务业：1、工业设计、气象、生物、新材料、新能源、节能、环保、测绘、海洋等专业科技服务，标准化服务、计量测试、质量认证和检验检测服务、科技普及”的范畴，</w:t>
            </w:r>
            <w:r>
              <w:rPr>
                <w:rFonts w:hint="eastAsia"/>
                <w:sz w:val="24"/>
                <w:lang w:val="en-US" w:eastAsia="zh-CN"/>
              </w:rPr>
              <w:t>本项目符合当地生态环境准入要求</w:t>
            </w:r>
            <w:r>
              <w:rPr>
                <w:rFonts w:hint="eastAsia"/>
                <w:sz w:val="24"/>
              </w:rPr>
              <w:t>。</w:t>
            </w:r>
          </w:p>
          <w:p>
            <w:pPr>
              <w:spacing w:line="384" w:lineRule="auto"/>
              <w:ind w:firstLine="480" w:firstLineChars="200"/>
              <w:rPr>
                <w:sz w:val="24"/>
              </w:rPr>
            </w:pPr>
            <w:r>
              <w:rPr>
                <w:sz w:val="24"/>
              </w:rPr>
              <w:t>综上所述，本项目不在三线一单的约束范围内，符合建设要求。</w:t>
            </w:r>
          </w:p>
          <w:p>
            <w:pPr>
              <w:spacing w:line="360" w:lineRule="auto"/>
              <w:ind w:firstLine="480" w:firstLineChars="200"/>
              <w:jc w:val="left"/>
              <w:rPr>
                <w:b/>
                <w:sz w:val="24"/>
              </w:rPr>
            </w:pPr>
            <w:r>
              <w:rPr>
                <w:b/>
                <w:sz w:val="24"/>
              </w:rPr>
              <w:t>2、与</w:t>
            </w:r>
            <w:r>
              <w:rPr>
                <w:rFonts w:hint="eastAsia"/>
                <w:b/>
                <w:sz w:val="24"/>
              </w:rPr>
              <w:t>《南昌市人民政府关于印发南昌市“三线一单”生态环境分区管控方案的通知》(洪府发</w:t>
            </w:r>
            <w:r>
              <w:rPr>
                <w:rFonts w:hint="eastAsia"/>
                <w:b/>
                <w:sz w:val="24"/>
                <w:lang w:eastAsia="zh-CN"/>
              </w:rPr>
              <w:t>〔</w:t>
            </w:r>
            <w:r>
              <w:rPr>
                <w:rFonts w:hint="eastAsia"/>
                <w:b/>
                <w:sz w:val="24"/>
              </w:rPr>
              <w:t>2021</w:t>
            </w:r>
            <w:r>
              <w:rPr>
                <w:rFonts w:hint="eastAsia"/>
                <w:b/>
                <w:sz w:val="24"/>
                <w:lang w:eastAsia="zh-CN"/>
              </w:rPr>
              <w:t>〕</w:t>
            </w:r>
            <w:r>
              <w:rPr>
                <w:rFonts w:hint="eastAsia"/>
                <w:b/>
                <w:sz w:val="24"/>
              </w:rPr>
              <w:t>1号</w:t>
            </w:r>
            <w:r>
              <w:rPr>
                <w:rFonts w:hint="eastAsia"/>
                <w:b/>
                <w:sz w:val="24"/>
                <w:lang w:eastAsia="zh-CN"/>
              </w:rPr>
              <w:t>）</w:t>
            </w:r>
            <w:r>
              <w:rPr>
                <w:b/>
                <w:sz w:val="24"/>
              </w:rPr>
              <w:t>相符性分析</w:t>
            </w:r>
          </w:p>
          <w:p>
            <w:pPr>
              <w:pStyle w:val="CH1"/>
              <w:bidi w:val="0"/>
              <w:rPr>
                <w:rFonts w:hint="eastAsia"/>
              </w:rPr>
            </w:pPr>
            <w:r>
              <w:rPr>
                <w:rFonts w:hint="eastAsia"/>
              </w:rPr>
              <w:t>2021年1月26日，南昌市人民政府发布《南昌市人民政府关于印发南昌市“三线一单”生态环境分区管控方案的通知》(洪府发</w:t>
            </w:r>
            <w:r>
              <w:rPr>
                <w:rFonts w:hint="eastAsia"/>
                <w:lang w:eastAsia="zh-CN"/>
              </w:rPr>
              <w:t>〔</w:t>
            </w:r>
            <w:r>
              <w:rPr>
                <w:rFonts w:hint="eastAsia"/>
              </w:rPr>
              <w:t>2021</w:t>
            </w:r>
            <w:r>
              <w:rPr>
                <w:rFonts w:hint="eastAsia"/>
                <w:lang w:eastAsia="zh-CN"/>
              </w:rPr>
              <w:t>〕</w:t>
            </w:r>
            <w:r>
              <w:rPr>
                <w:rFonts w:hint="eastAsia"/>
              </w:rPr>
              <w:t>1号</w:t>
            </w:r>
            <w:r>
              <w:rPr>
                <w:rFonts w:hint="eastAsia"/>
                <w:lang w:eastAsia="zh-CN"/>
              </w:rPr>
              <w:t>）</w:t>
            </w:r>
            <w:r>
              <w:rPr>
                <w:rFonts w:hint="eastAsia"/>
              </w:rPr>
              <w:t>，其中提到：</w:t>
            </w:r>
          </w:p>
          <w:p>
            <w:pPr>
              <w:pStyle w:val="CH1"/>
              <w:bidi w:val="0"/>
              <w:rPr>
                <w:rFonts w:hint="eastAsia"/>
              </w:rPr>
            </w:pPr>
            <w:r>
              <w:rPr>
                <w:rFonts w:hint="eastAsia"/>
              </w:rPr>
              <w:t>(1</w:t>
            </w:r>
            <w:r>
              <w:rPr>
                <w:rFonts w:hint="eastAsia"/>
                <w:lang w:eastAsia="zh-CN"/>
              </w:rPr>
              <w:t>）</w:t>
            </w:r>
            <w:r>
              <w:rPr>
                <w:rFonts w:hint="eastAsia"/>
              </w:rPr>
              <w:t>划分环境管控单元</w:t>
            </w:r>
          </w:p>
          <w:p>
            <w:pPr>
              <w:pStyle w:val="CH1"/>
              <w:bidi w:val="0"/>
              <w:rPr>
                <w:rFonts w:hint="eastAsia"/>
              </w:rPr>
            </w:pPr>
            <w:r>
              <w:rPr>
                <w:rFonts w:hint="eastAsia"/>
              </w:rPr>
              <w:t>全市共划定环境管控单元95个(其中2个环境管控单元属赣江新区直管区范围，分别是金桥乡沿赣新大道以东区域、儒乐湖核心区</w:t>
            </w:r>
            <w:r>
              <w:rPr>
                <w:rFonts w:hint="eastAsia"/>
                <w:lang w:eastAsia="zh-CN"/>
              </w:rPr>
              <w:t>）</w:t>
            </w:r>
            <w:r>
              <w:rPr>
                <w:rFonts w:hint="eastAsia"/>
              </w:rPr>
              <w:t>，分为优先保护单元、重点管控单元、一般管控单元三类，实施分类管控。</w:t>
            </w:r>
          </w:p>
          <w:p>
            <w:pPr>
              <w:pStyle w:val="CH1"/>
              <w:bidi w:val="0"/>
              <w:rPr>
                <w:rFonts w:hint="eastAsia"/>
              </w:rPr>
            </w:pPr>
            <w:r>
              <w:rPr>
                <w:rFonts w:hint="eastAsia"/>
              </w:rPr>
              <w:t>其中，优先保护单元10个，约占全市国土面积的18.85%。重点管控单元60个，约占全市国土面积的30.53%。一般单元25个，为优先保护单元和重点管控单元之外的其他区域，约占全市国土面积的50.62%。</w:t>
            </w:r>
          </w:p>
          <w:p>
            <w:pPr>
              <w:pStyle w:val="CH1"/>
              <w:bidi w:val="0"/>
              <w:rPr>
                <w:rFonts w:hint="eastAsia"/>
              </w:rPr>
            </w:pPr>
            <w:r>
              <w:rPr>
                <w:rFonts w:hint="eastAsia"/>
              </w:rPr>
              <w:t>(2</w:t>
            </w:r>
            <w:r>
              <w:rPr>
                <w:rFonts w:hint="eastAsia"/>
                <w:lang w:eastAsia="zh-CN"/>
              </w:rPr>
              <w:t>）</w:t>
            </w:r>
            <w:r>
              <w:rPr>
                <w:rFonts w:hint="eastAsia"/>
              </w:rPr>
              <w:t>制定生态环境准入清单</w:t>
            </w:r>
          </w:p>
          <w:p>
            <w:pPr>
              <w:pStyle w:val="CH1"/>
              <w:bidi w:val="0"/>
              <w:spacing w:after="0"/>
              <w:rPr>
                <w:rFonts w:hint="eastAsia"/>
              </w:rPr>
            </w:pPr>
          </w:p>
        </w:tc>
      </w:tr>
    </w:tbl>
    <w:p>
      <w:pPr>
        <w:sectPr>
          <w:footerReference w:type="default" r:id="rId9"/>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3"/>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p>
            <w:pPr>
              <w:pStyle w:val="CH1"/>
              <w:bidi w:val="0"/>
              <w:spacing w:before="0"/>
              <w:rPr>
                <w:rFonts w:hint="eastAsia"/>
              </w:rPr>
            </w:pPr>
            <w:r>
              <w:rPr>
                <w:rFonts w:hint="eastAsia"/>
              </w:rPr>
              <w:t>优先保护单元依法禁止或限制大规模、高强度的工业和城镇开发建设，管控单元内的开发建设活动在符合法律法规和相关规划的前提下，按照保护优先的原则，避免损害所在单元的生态服务功能和生态产品质量；涉及生态保护红线的，按照国家和省相关规定进行管控；在功能受损的优先保护单元优先开展生态保护修复活动，恢复生态系统服务功能。重点管控单元应优化空间和产业布局，结合生态环境质量达标情况以及经济社会发展水平等，按照差别化的生态环境准入要求，加强污染物排放控制和环境风险防控，不断提升资源利用效率，稳步改善生态环境质量。一般管控单元主要任务是永久基本农田保护及管理、农业农村污染治理和农村人居环境改善，执行生态环境保护的基本要求。</w:t>
            </w:r>
          </w:p>
          <w:p>
            <w:pPr>
              <w:pStyle w:val="CH1"/>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lang w:eastAsia="zh-CN"/>
              </w:rPr>
            </w:pPr>
            <w:r>
              <w:rPr>
                <w:sz w:val="24"/>
              </w:rPr>
              <mc:AlternateContent>
                <mc:Choice Requires="wps">
                  <w:drawing>
                    <wp:anchor distT="0" distB="0" distL="114300" distR="114300" simplePos="0" relativeHeight="251659264" behindDoc="0" locked="0" layoutInCell="1" allowOverlap="1">
                      <wp:simplePos x="0" y="0"/>
                      <wp:positionH relativeFrom="column">
                        <wp:posOffset>2458085</wp:posOffset>
                      </wp:positionH>
                      <wp:positionV relativeFrom="paragraph">
                        <wp:posOffset>2307590</wp:posOffset>
                      </wp:positionV>
                      <wp:extent cx="757555" cy="241300"/>
                      <wp:effectExtent l="0" t="0" r="0" b="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4368800" y="3830320"/>
                                <a:ext cx="757555" cy="2413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rPr>
                                  </w:pPr>
                                  <w:r>
                                    <w:rPr>
                                      <w:rFonts w:hint="eastAsia"/>
                                      <w:b/>
                                      <w:bCs/>
                                      <w:lang w:val="en-US" w:eastAsia="zh-CN"/>
                                    </w:rPr>
                                    <w:t>项目位置</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4" o:spid="_x0000_s1025" type="#_x0000_t202" style="width:59.65pt;height:19pt;margin-top:181.7pt;margin-left:193.55pt;mso-wrap-distance-bottom:0;mso-wrap-distance-left:9pt;mso-wrap-distance-right:9pt;mso-wrap-distance-top:0;position:absolute;v-text-anchor:top;z-index:251658240" filled="f" fillcolor="this" stroked="f" strokeweight="0.5pt">
                      <v:textbox>
                        <w:txbxContent>
                          <w:p>
                            <w:pPr>
                              <w:rPr>
                                <w:rFonts w:hint="eastAsia"/>
                                <w:b/>
                                <w:bCs/>
                              </w:rPr>
                            </w:pPr>
                            <w:r>
                              <w:rPr>
                                <w:rFonts w:hint="eastAsia"/>
                                <w:b/>
                                <w:bCs/>
                                <w:lang w:val="en-US" w:eastAsia="zh-CN"/>
                              </w:rPr>
                              <w:t>项目位置</w:t>
                            </w:r>
                          </w:p>
                        </w:txbxContent>
                      </v:textbox>
                    </v:shape>
                  </w:pict>
                </mc:Fallback>
              </mc:AlternateContent>
            </w:r>
            <w:r>
              <w:rPr>
                <w:sz w:val="24"/>
              </w:rPr>
              <mc:AlternateContent>
                <mc:Choice Requires="wpg">
                  <w:drawing>
                    <wp:anchor distT="0" distB="0" distL="114300" distR="114300" simplePos="0" relativeHeight="251661312" behindDoc="0" locked="0" layoutInCell="1" allowOverlap="1">
                      <wp:simplePos x="0" y="0"/>
                      <wp:positionH relativeFrom="column">
                        <wp:posOffset>2466340</wp:posOffset>
                      </wp:positionH>
                      <wp:positionV relativeFrom="paragraph">
                        <wp:posOffset>2526030</wp:posOffset>
                      </wp:positionV>
                      <wp:extent cx="198120" cy="278130"/>
                      <wp:effectExtent l="12700" t="0" r="17780" b="26670"/>
                      <wp:wrapNone/>
                      <wp:docPr id="15" name="组合 15"/>
                      <wp:cNvGraphicFramePr/>
                      <a:graphic xmlns:a="http://schemas.openxmlformats.org/drawingml/2006/main">
                        <a:graphicData uri="http://schemas.microsoft.com/office/word/2010/wordprocessingGroup">
                          <wpg:wgp xmlns:wpg="http://schemas.microsoft.com/office/word/2010/wordprocessingGroup">
                            <wpg:cNvGrpSpPr/>
                            <wpg:grpSpPr>
                              <a:xfrm>
                                <a:off x="0" y="0"/>
                                <a:ext cx="198120" cy="278130"/>
                                <a:chOff x="6909" y="91943"/>
                                <a:chExt cx="312" cy="438"/>
                              </a:xfrm>
                            </wpg:grpSpPr>
                            <wps:wsp xmlns:wps="http://schemas.microsoft.com/office/word/2010/wordprocessingShape">
                              <wps:cNvPr id="12" name="五角星 12"/>
                              <wps:cNvSpPr/>
                              <wps:spPr>
                                <a:xfrm>
                                  <a:off x="6909" y="92243"/>
                                  <a:ext cx="119" cy="138"/>
                                </a:xfrm>
                                <a:prstGeom prst="star5">
                                  <a:avLst/>
                                </a:prstGeom>
                                <a:solidFill>
                                  <a:srgbClr val="03FB09"/>
                                </a:solidFill>
                                <a:ln>
                                  <a:solidFill>
                                    <a:srgbClr val="02FC0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3" name="直接箭头连接符 13"/>
                              <wps:cNvCnPr>
                                <a:stCxn id="12" idx="0"/>
                              </wps:cNvCnPr>
                              <wps:spPr>
                                <a:xfrm flipV="1">
                                  <a:off x="6969" y="91943"/>
                                  <a:ext cx="252" cy="3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5" o:spid="_x0000_s1026" style="width:18pt;height:24pt;margin-top:198.9pt;margin-left:194.2pt;mso-wrap-distance-bottom:0;mso-wrap-distance-left:9pt;mso-wrap-distance-right:9pt;mso-wrap-distance-top:0;position:absolute;z-index:251660288" coordorigin="478315,4534175" coordsize="21600,21600">
                      <v:shape id="_x0000_s1027" style="width:8238;height:6805;left:478315;position:absolute;top:4548970;v-text-anchor:middle" coordsize="21600,21600" path="m,8250l8251,8251l8251,8251l10800,l10800,l13349,8251l13349,8251l21600,8250l21600,8250l14925,13349l14925,13349l17475,21600l17475,21600l10800,16501l10800,16501l4125,21600l4125,21600l6675,13349xe" fillcolor="#03fb09" stroked="t" strokecolor="#02fc07" strokeweight="2pt"/>
                      <v:shapetype id="_x0000_t32" coordsize="21600,21600" o:spt="32" o:oned="t" path="m,l21600,21600e" filled="f">
                        <v:path arrowok="t" fillok="f" o:connecttype="none"/>
                        <o:lock v:ext="edit" shapetype="t"/>
                      </v:shapetype>
                      <v:shape id="_x0000_s1028" type="#_x0000_t32" style="width:17446;height:14795;flip:y;left:482469;position:absolute;top:4534175;v-text-anchor:top" fillcolor="this" stroked="t" strokecolor="black" strokeweight="0.75pt">
                        <v:stroke endarrow="open"/>
                      </v:shape>
                    </v:group>
                  </w:pict>
                </mc:Fallback>
              </mc:AlternateContent>
            </w:r>
            <w:r>
              <w:rPr>
                <w:rFonts w:eastAsia="宋体" w:hint="eastAsia"/>
                <w:lang w:eastAsia="zh-CN"/>
              </w:rPr>
              <w:drawing>
                <wp:inline distT="0" distB="0" distL="114300" distR="114300">
                  <wp:extent cx="4681855" cy="4775200"/>
                  <wp:effectExtent l="0" t="0" r="4445" b="6350"/>
                  <wp:docPr id="9" name="图片 9" descr="南昌市环境管控单元分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南昌市环境管控单元分类图"/>
                          <pic:cNvPicPr>
                            <a:picLocks noChangeAspect="1"/>
                          </pic:cNvPicPr>
                        </pic:nvPicPr>
                        <pic:blipFill>
                          <a:blip xmlns:r="http://schemas.openxmlformats.org/officeDocument/2006/relationships" r:embed="rId10"/>
                          <a:stretch>
                            <a:fillRect/>
                          </a:stretch>
                        </pic:blipFill>
                        <pic:spPr>
                          <a:xfrm>
                            <a:off x="0" y="0"/>
                            <a:ext cx="4681855" cy="4775200"/>
                          </a:xfrm>
                          <a:prstGeom prst="rect">
                            <a:avLst/>
                          </a:prstGeom>
                        </pic:spPr>
                      </pic:pic>
                    </a:graphicData>
                  </a:graphic>
                </wp:inline>
              </w:drawing>
            </w:r>
          </w:p>
          <w:p>
            <w:pPr>
              <w:pStyle w:val="yt2"/>
              <w:spacing w:after="120" w:afterLines="50"/>
            </w:pPr>
            <w:r>
              <w:rPr>
                <w:rFonts w:hint="eastAsia"/>
                <w:lang w:eastAsia="zh-CN"/>
              </w:rPr>
              <w:t>南昌市</w:t>
            </w:r>
            <w:r>
              <w:t>环境管控单元分类图</w:t>
            </w:r>
          </w:p>
          <w:p>
            <w:pPr>
              <w:spacing w:line="396" w:lineRule="auto"/>
              <w:ind w:firstLine="480" w:firstLineChars="200"/>
              <w:rPr>
                <w:sz w:val="24"/>
              </w:rPr>
            </w:pPr>
            <w:r>
              <w:rPr>
                <w:sz w:val="24"/>
              </w:rPr>
              <w:t>本项目</w:t>
            </w:r>
            <w:r>
              <w:rPr>
                <w:rFonts w:hint="eastAsia"/>
                <w:sz w:val="24"/>
                <w:lang w:eastAsia="zh-CN"/>
              </w:rPr>
              <w:t>位于南昌市青山湖区高新南大道3699号弘泰大厦6楼</w:t>
            </w:r>
            <w:r>
              <w:rPr>
                <w:sz w:val="24"/>
              </w:rPr>
              <w:t>，对照</w:t>
            </w:r>
            <w:r>
              <w:rPr>
                <w:rFonts w:hint="eastAsia"/>
                <w:sz w:val="24"/>
                <w:lang w:val="en-US" w:eastAsia="zh-CN"/>
              </w:rPr>
              <w:t>南昌市</w:t>
            </w:r>
            <w:r>
              <w:rPr>
                <w:sz w:val="24"/>
              </w:rPr>
              <w:t>环境管控单元分类图，本项目</w:t>
            </w:r>
            <w:r>
              <w:rPr>
                <w:rFonts w:hint="eastAsia"/>
                <w:sz w:val="24"/>
                <w:lang w:val="en-US" w:eastAsia="zh-CN"/>
              </w:rPr>
              <w:t>建设位置属于青山湖区重点管控单元4(环境管控单元编码：ZH36011120004)。本项目已针对项目产生的废气、废水、噪声、固废提出了相应的治理措施，均能实现达标排放，对周边环境影响较小，与通知要求相符</w:t>
            </w:r>
            <w:r>
              <w:rPr>
                <w:rFonts w:hint="eastAsia"/>
                <w:sz w:val="24"/>
                <w:lang w:eastAsia="zh-CN"/>
              </w:rPr>
              <w:t>。</w:t>
            </w:r>
            <w:r>
              <w:rPr>
                <w:rFonts w:hint="eastAsia"/>
                <w:sz w:val="24"/>
                <w:lang w:val="en-US" w:eastAsia="zh-CN"/>
              </w:rPr>
              <w:t>即项目建设</w:t>
            </w:r>
            <w:r>
              <w:rPr>
                <w:sz w:val="24"/>
              </w:rPr>
              <w:t>符合《</w:t>
            </w:r>
            <w:r>
              <w:rPr>
                <w:rFonts w:hint="eastAsia"/>
                <w:sz w:val="24"/>
                <w:lang w:eastAsia="zh-CN"/>
              </w:rPr>
              <w:t>南昌市</w:t>
            </w:r>
            <w:r>
              <w:rPr>
                <w:sz w:val="24"/>
              </w:rPr>
              <w:t>人民政府关于印发</w:t>
            </w:r>
            <w:r>
              <w:rPr>
                <w:rFonts w:hint="eastAsia"/>
                <w:sz w:val="24"/>
                <w:lang w:eastAsia="zh-CN"/>
              </w:rPr>
              <w:t>南昌市</w:t>
            </w:r>
            <w:r>
              <w:rPr>
                <w:sz w:val="24"/>
              </w:rPr>
              <w:t>“三线一单”生态环境分区管控方案的通知》（</w:t>
            </w:r>
            <w:r>
              <w:rPr>
                <w:rFonts w:hint="eastAsia"/>
                <w:sz w:val="24"/>
                <w:lang w:eastAsia="zh-CN"/>
              </w:rPr>
              <w:t>洪府发〔2021〕1号</w:t>
            </w:r>
            <w:r>
              <w:rPr>
                <w:sz w:val="24"/>
              </w:rPr>
              <w:t>）的要求。</w:t>
            </w:r>
          </w:p>
          <w:p>
            <w:pPr>
              <w:spacing w:line="360" w:lineRule="auto"/>
              <w:ind w:firstLine="480" w:firstLineChars="200"/>
              <w:jc w:val="left"/>
              <w:rPr>
                <w:b/>
                <w:sz w:val="24"/>
              </w:rPr>
            </w:pPr>
            <w:r>
              <w:rPr>
                <w:rFonts w:hint="eastAsia"/>
                <w:b/>
                <w:bCs/>
                <w:sz w:val="24"/>
                <w:szCs w:val="32"/>
              </w:rPr>
              <w:t>3</w:t>
            </w:r>
            <w:r>
              <w:rPr>
                <w:b/>
                <w:bCs/>
                <w:sz w:val="24"/>
                <w:szCs w:val="32"/>
              </w:rPr>
              <w:t>、</w:t>
            </w:r>
            <w:r>
              <w:rPr>
                <w:b/>
                <w:sz w:val="24"/>
              </w:rPr>
              <w:t>与《</w:t>
            </w:r>
            <w:r>
              <w:rPr>
                <w:rFonts w:hint="eastAsia"/>
                <w:b/>
                <w:sz w:val="24"/>
                <w:lang w:eastAsia="zh-CN"/>
              </w:rPr>
              <w:t>关于印发南昌市生态环境总体准入要求及环境管控单元生态环境准入清单的通知</w:t>
            </w:r>
            <w:r>
              <w:rPr>
                <w:b/>
                <w:sz w:val="24"/>
              </w:rPr>
              <w:t>》（</w:t>
            </w:r>
            <w:r>
              <w:rPr>
                <w:rFonts w:hint="eastAsia"/>
                <w:b/>
                <w:sz w:val="24"/>
                <w:lang w:eastAsia="zh-CN"/>
              </w:rPr>
              <w:t>洪环发〔2021〕16号</w:t>
            </w:r>
            <w:r>
              <w:rPr>
                <w:b/>
                <w:sz w:val="24"/>
              </w:rPr>
              <w:t>）相符性分析</w:t>
            </w:r>
          </w:p>
          <w:p>
            <w:pPr>
              <w:adjustRightInd/>
              <w:snapToGrid w:val="0"/>
              <w:spacing w:line="360" w:lineRule="auto"/>
              <w:ind w:firstLine="480" w:firstLineChars="200"/>
              <w:rPr>
                <w:sz w:val="24"/>
              </w:rPr>
            </w:pPr>
            <w:r>
              <w:rPr>
                <w:rFonts w:ascii="Times New Roman" w:eastAsia="宋体" w:hAnsi="Times New Roman" w:cs="Times New Roman" w:hint="eastAsia"/>
                <w:sz w:val="24"/>
              </w:rPr>
              <w:t>根据南昌市生态环境局发布的《关于印发南昌市生态环境总体准入要求及环境管控单元生态环境准人清单的通知》（洪环发〔2021〕16号）文件要求</w:t>
            </w:r>
            <w:r>
              <w:rPr>
                <w:rFonts w:ascii="Times New Roman" w:eastAsia="宋体" w:hAnsi="Times New Roman" w:cs="Times New Roman" w:hint="eastAsia"/>
                <w:sz w:val="24"/>
                <w:lang w:val="en-US" w:eastAsia="zh-CN"/>
              </w:rPr>
              <w:t>对照分析</w:t>
            </w:r>
            <w:r>
              <w:rPr>
                <w:rFonts w:ascii="Times New Roman" w:eastAsia="宋体" w:hAnsi="Times New Roman" w:cs="Times New Roman" w:hint="eastAsia"/>
                <w:sz w:val="24"/>
              </w:rPr>
              <w:t>相符性：</w:t>
            </w:r>
          </w:p>
        </w:tc>
      </w:tr>
    </w:tbl>
    <w:p>
      <w:pPr>
        <w:sectPr>
          <w:footerReference w:type="default" r:id="rId11"/>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4"/>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p>
            <w:pPr>
              <w:pStyle w:val="yt1"/>
              <w:rPr>
                <w:rFonts w:cs="Times New Roman"/>
                <w:kern w:val="2"/>
                <w:sz w:val="21"/>
                <w:lang w:val="en-US" w:eastAsia="zh-CN" w:bidi="ar-SA"/>
              </w:rPr>
            </w:pPr>
            <w:r>
              <w:rPr>
                <w:rFonts w:ascii="Times New Roman" w:eastAsia="宋体" w:hAnsi="Times New Roman" w:cs="Times New Roman" w:hint="eastAsia"/>
                <w:b/>
                <w:kern w:val="2"/>
                <w:sz w:val="21"/>
                <w:szCs w:val="21"/>
                <w:lang w:val="en-US" w:eastAsia="zh-CN" w:bidi="ar-SA"/>
              </w:rPr>
              <w:t>与南昌</w:t>
            </w:r>
            <w:r>
              <w:rPr>
                <w:rFonts w:ascii="Times New Roman" w:eastAsia="宋体" w:hAnsi="Times New Roman" w:cs="Times New Roman"/>
                <w:b/>
                <w:kern w:val="2"/>
                <w:sz w:val="21"/>
                <w:szCs w:val="21"/>
                <w:lang w:val="en-US" w:eastAsia="zh-CN" w:bidi="ar-SA"/>
              </w:rPr>
              <w:t>市</w:t>
            </w:r>
            <w:r>
              <w:rPr>
                <w:rFonts w:ascii="Times New Roman" w:eastAsia="宋体" w:hAnsi="Times New Roman" w:cs="Times New Roman" w:hint="eastAsia"/>
                <w:b/>
                <w:kern w:val="2"/>
                <w:sz w:val="21"/>
                <w:szCs w:val="21"/>
                <w:lang w:val="en-US" w:eastAsia="zh-CN" w:bidi="ar-SA"/>
              </w:rPr>
              <w:t>生态环境总体准入要求相符性分析</w:t>
            </w:r>
          </w:p>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
            <w:tblGrid>
              <w:gridCol w:w="569"/>
              <w:gridCol w:w="739"/>
              <w:gridCol w:w="3946"/>
              <w:gridCol w:w="1836"/>
              <w:gridCol w:w="464"/>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Ex>
              <w:trPr>
                <w:trHeight w:val="340"/>
              </w:trPr>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b/>
                      <w:bCs/>
                      <w:color w:val="auto"/>
                      <w:szCs w:val="21"/>
                    </w:rPr>
                  </w:pPr>
                  <w:r>
                    <w:rPr>
                      <w:rFonts w:ascii="Times New Roman" w:eastAsia="宋体" w:hAnsi="Times New Roman" w:cs="Times New Roman" w:hint="eastAsia"/>
                      <w:b/>
                      <w:bCs/>
                      <w:color w:val="auto"/>
                      <w:kern w:val="2"/>
                      <w:sz w:val="21"/>
                      <w:szCs w:val="21"/>
                      <w:lang w:val="en-US" w:eastAsia="zh-CN" w:bidi="ar-SA"/>
                    </w:rPr>
                    <w:t>管控维度</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b/>
                      <w:bCs/>
                      <w:color w:val="auto"/>
                      <w:szCs w:val="21"/>
                    </w:rPr>
                  </w:pPr>
                  <w:r>
                    <w:rPr>
                      <w:rFonts w:ascii="Times New Roman" w:eastAsia="宋体" w:hAnsi="Times New Roman" w:cs="Times New Roman" w:hint="eastAsia"/>
                      <w:b/>
                      <w:bCs/>
                      <w:color w:val="auto"/>
                      <w:kern w:val="2"/>
                      <w:sz w:val="21"/>
                      <w:szCs w:val="21"/>
                      <w:lang w:val="en-US" w:eastAsia="zh-CN" w:bidi="ar-SA"/>
                    </w:rPr>
                    <w:t>管控</w:t>
                  </w:r>
                </w:p>
                <w:p>
                  <w:pPr>
                    <w:widowControl w:val="0"/>
                    <w:pBdr>
                      <w:top w:val="none" w:sz="0" w:space="1" w:color="auto"/>
                      <w:left w:val="none" w:sz="0" w:space="4" w:color="auto"/>
                      <w:bottom w:val="none" w:sz="0" w:space="1" w:color="auto"/>
                      <w:right w:val="none" w:sz="0" w:space="4" w:color="auto"/>
                    </w:pBdr>
                    <w:adjustRightInd w:val="0"/>
                    <w:snapToGrid w:val="0"/>
                    <w:jc w:val="center"/>
                    <w:rPr>
                      <w:b/>
                      <w:bCs/>
                      <w:color w:val="auto"/>
                      <w:szCs w:val="21"/>
                    </w:rPr>
                  </w:pPr>
                  <w:r>
                    <w:rPr>
                      <w:rFonts w:ascii="Times New Roman" w:eastAsia="宋体" w:hAnsi="Times New Roman" w:cs="Times New Roman" w:hint="eastAsia"/>
                      <w:b/>
                      <w:bCs/>
                      <w:color w:val="auto"/>
                      <w:kern w:val="2"/>
                      <w:sz w:val="21"/>
                      <w:szCs w:val="21"/>
                      <w:lang w:val="en-US" w:eastAsia="zh-CN" w:bidi="ar-SA"/>
                    </w:rPr>
                    <w:t>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b/>
                      <w:bCs/>
                      <w:color w:val="auto"/>
                      <w:szCs w:val="21"/>
                    </w:rPr>
                  </w:pPr>
                  <w:r>
                    <w:rPr>
                      <w:rFonts w:ascii="Times New Roman" w:eastAsia="宋体" w:hAnsi="Times New Roman" w:cs="Times New Roman" w:hint="eastAsia"/>
                      <w:b/>
                      <w:bCs/>
                      <w:color w:val="auto"/>
                      <w:kern w:val="2"/>
                      <w:sz w:val="21"/>
                      <w:szCs w:val="21"/>
                      <w:lang w:val="en-US" w:eastAsia="zh-CN" w:bidi="ar-SA"/>
                    </w:rPr>
                    <w:t>生态环境管控要求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default"/>
                      <w:b/>
                      <w:bCs/>
                      <w:color w:val="auto"/>
                      <w:szCs w:val="21"/>
                    </w:rPr>
                  </w:pPr>
                  <w:r>
                    <w:rPr>
                      <w:rFonts w:ascii="Times New Roman" w:eastAsia="宋体" w:hAnsi="Times New Roman" w:cs="Times New Roman" w:hint="eastAsia"/>
                      <w:b/>
                      <w:bCs/>
                      <w:color w:val="auto"/>
                      <w:kern w:val="2"/>
                      <w:sz w:val="21"/>
                      <w:szCs w:val="21"/>
                      <w:lang w:val="en-US" w:eastAsia="zh-CN" w:bidi="ar-SA"/>
                    </w:rPr>
                    <w:t>项目情况</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default"/>
                      <w:b/>
                      <w:bCs/>
                      <w:color w:val="auto"/>
                      <w:szCs w:val="21"/>
                    </w:rPr>
                  </w:pPr>
                  <w:r>
                    <w:rPr>
                      <w:rFonts w:ascii="Times New Roman" w:eastAsia="宋体" w:hAnsi="Times New Roman" w:cs="Times New Roman" w:hint="eastAsia"/>
                      <w:b/>
                      <w:bCs/>
                      <w:color w:val="auto"/>
                      <w:kern w:val="2"/>
                      <w:sz w:val="21"/>
                      <w:szCs w:val="21"/>
                      <w:lang w:val="en-US" w:eastAsia="zh-CN" w:bidi="ar-SA"/>
                    </w:rPr>
                    <w:t>相符性</w:t>
                  </w:r>
                </w:p>
              </w:tc>
            </w:tr>
            <w:tr>
              <w:tblPrEx>
                <w:tblW w:w="0" w:type="auto"/>
                <w:tblInd w:w="0" w:type="dxa"/>
                <w:tblCellMar>
                  <w:top w:w="0" w:type="dxa"/>
                  <w:left w:w="0" w:type="dxa"/>
                  <w:bottom w:w="0" w:type="dxa"/>
                  <w:right w:w="0" w:type="dxa"/>
                </w:tblCellMar>
              </w:tblPrEx>
              <w:trPr>
                <w:trHeight w:val="340"/>
              </w:trPr>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空间布局约束</w:t>
                  </w:r>
                </w:p>
              </w:tc>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禁止开发建设活动的要求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禁止新建《产业结构调整指导目录》限制类和</w:t>
                  </w:r>
                  <w:r>
                    <w:rPr>
                      <w:rFonts w:ascii="Times New Roman" w:eastAsia="宋体" w:hAnsi="Times New Roman" w:cs="Times New Roman" w:hint="eastAsia"/>
                      <w:color w:val="auto"/>
                      <w:kern w:val="2"/>
                      <w:sz w:val="21"/>
                      <w:szCs w:val="21"/>
                      <w:lang w:val="en-US" w:eastAsia="zh-CN" w:bidi="ar-SA"/>
                    </w:rPr>
                    <w:t>淘汰</w:t>
                  </w:r>
                  <w:r>
                    <w:rPr>
                      <w:rFonts w:ascii="Times New Roman" w:eastAsia="宋体" w:hAnsi="Times New Roman" w:cs="Times New Roman"/>
                      <w:color w:val="auto"/>
                      <w:kern w:val="2"/>
                      <w:sz w:val="21"/>
                      <w:szCs w:val="21"/>
                      <w:lang w:val="en-US" w:eastAsia="zh-CN" w:bidi="ar-SA"/>
                    </w:rPr>
                    <w:t>类项目，现有产业改、扩建不得使用《产业结构调整指寻目录》规定的淘汰类规模和生产工艺。</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本项目属于鼓励类项目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default"/>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禁止引进产业规划禁止类项目进入</w:t>
                  </w:r>
                  <w:r>
                    <w:rPr>
                      <w:rFonts w:ascii="Times New Roman" w:eastAsia="宋体" w:hAnsi="Times New Roman" w:cs="Times New Roman" w:hint="eastAsia"/>
                      <w:color w:val="auto"/>
                      <w:kern w:val="2"/>
                      <w:sz w:val="21"/>
                      <w:szCs w:val="21"/>
                      <w:lang w:val="en-US" w:eastAsia="zh-CN" w:bidi="ar-SA"/>
                    </w:rPr>
                    <w:t>园</w:t>
                  </w:r>
                  <w:r>
                    <w:rPr>
                      <w:rFonts w:ascii="Times New Roman" w:eastAsia="宋体" w:hAnsi="Times New Roman" w:cs="Times New Roman"/>
                      <w:color w:val="auto"/>
                      <w:kern w:val="2"/>
                      <w:sz w:val="21"/>
                      <w:szCs w:val="21"/>
                      <w:lang w:val="en-US" w:eastAsia="zh-CN" w:bidi="ar-SA"/>
                    </w:rPr>
                    <w:t>区。</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本项目属于鼓励类项目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生态保护红</w:t>
                  </w:r>
                  <w:r>
                    <w:rPr>
                      <w:rFonts w:ascii="Times New Roman" w:eastAsia="宋体" w:hAnsi="Times New Roman" w:cs="Times New Roman" w:hint="eastAsia"/>
                      <w:color w:val="auto"/>
                      <w:kern w:val="2"/>
                      <w:sz w:val="21"/>
                      <w:szCs w:val="21"/>
                      <w:lang w:val="en-US" w:eastAsia="zh-CN" w:bidi="ar-SA"/>
                    </w:rPr>
                    <w:t>线</w:t>
                  </w:r>
                  <w:r>
                    <w:rPr>
                      <w:rFonts w:ascii="Times New Roman" w:eastAsia="宋体" w:hAnsi="Times New Roman" w:cs="Times New Roman"/>
                      <w:color w:val="auto"/>
                      <w:kern w:val="2"/>
                      <w:sz w:val="21"/>
                      <w:szCs w:val="21"/>
                      <w:lang w:val="en-US" w:eastAsia="zh-CN" w:bidi="ar-SA"/>
                    </w:rPr>
                    <w:t>内，自然保护地核心保护区原则上禁止人为活动。</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项目不在</w:t>
                  </w:r>
                  <w:r>
                    <w:rPr>
                      <w:rFonts w:ascii="Times New Roman" w:eastAsia="宋体" w:hAnsi="Times New Roman" w:cs="Times New Roman"/>
                      <w:color w:val="auto"/>
                      <w:kern w:val="2"/>
                      <w:sz w:val="21"/>
                      <w:szCs w:val="21"/>
                      <w:lang w:val="en-US" w:eastAsia="zh-CN" w:bidi="ar-SA"/>
                    </w:rPr>
                    <w:t>生态保护红</w:t>
                  </w:r>
                  <w:r>
                    <w:rPr>
                      <w:rFonts w:ascii="Times New Roman" w:eastAsia="宋体" w:hAnsi="Times New Roman" w:cs="Times New Roman" w:hint="eastAsia"/>
                      <w:color w:val="auto"/>
                      <w:kern w:val="2"/>
                      <w:sz w:val="21"/>
                      <w:szCs w:val="21"/>
                      <w:lang w:val="en-US" w:eastAsia="zh-CN" w:bidi="ar-SA"/>
                    </w:rPr>
                    <w:t>线、</w:t>
                  </w:r>
                  <w:r>
                    <w:rPr>
                      <w:rFonts w:ascii="Times New Roman" w:eastAsia="宋体" w:hAnsi="Times New Roman" w:cs="Times New Roman"/>
                      <w:color w:val="auto"/>
                      <w:kern w:val="2"/>
                      <w:sz w:val="21"/>
                      <w:szCs w:val="21"/>
                      <w:lang w:val="en-US" w:eastAsia="zh-CN" w:bidi="ar-SA"/>
                    </w:rPr>
                    <w:t>自然保护地核心保护区内</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限制开发建设活动的要求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县级及以上城市建成区禁止新建35蒸吨/小时及以下燃煤锅炉。</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default"/>
                      <w:color w:val="auto"/>
                      <w:szCs w:val="21"/>
                    </w:rPr>
                  </w:pPr>
                  <w:r>
                    <w:rPr>
                      <w:rFonts w:ascii="Times New Roman" w:eastAsia="宋体" w:hAnsi="Times New Roman" w:cs="Times New Roman" w:hint="eastAsia"/>
                      <w:color w:val="auto"/>
                      <w:kern w:val="2"/>
                      <w:sz w:val="21"/>
                      <w:szCs w:val="21"/>
                      <w:lang w:val="en-US" w:eastAsia="zh-CN" w:bidi="ar-SA"/>
                    </w:rPr>
                    <w:t>项目不涉及锅炉</w:t>
                  </w:r>
                  <w:r>
                    <w:rPr>
                      <w:rFonts w:cs="Times New Roman" w:hint="eastAsia"/>
                      <w:color w:val="auto"/>
                      <w:kern w:val="2"/>
                      <w:sz w:val="21"/>
                      <w:szCs w:val="21"/>
                      <w:lang w:val="en-US" w:eastAsia="zh-CN" w:bidi="ar-SA"/>
                    </w:rPr>
                    <w:t>建设</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不得新建规模不符合各行业准入条件中的项目。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default"/>
                      <w:color w:val="auto"/>
                      <w:szCs w:val="21"/>
                    </w:rPr>
                  </w:pPr>
                  <w:r>
                    <w:rPr>
                      <w:rFonts w:ascii="Times New Roman" w:eastAsia="宋体" w:hAnsi="Times New Roman" w:cs="Times New Roman" w:hint="eastAsia"/>
                      <w:color w:val="auto"/>
                      <w:kern w:val="2"/>
                      <w:sz w:val="21"/>
                      <w:szCs w:val="21"/>
                      <w:lang w:val="en-US" w:eastAsia="zh-CN" w:bidi="ar-SA"/>
                    </w:rPr>
                    <w:t>本项目不涉及行业准入规模要求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禁止新建、扩建不符合国家产能置换要求的严重过剩产能行业的项目。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本项目不属于过剩产能行业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禁止新建采用含汞工艺的电石法聚氯乙烯生产项目。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本项目不属于</w:t>
                  </w:r>
                  <w:r>
                    <w:rPr>
                      <w:rFonts w:ascii="Times New Roman" w:eastAsia="宋体" w:hAnsi="Times New Roman" w:cs="Times New Roman"/>
                      <w:color w:val="auto"/>
                      <w:kern w:val="2"/>
                      <w:sz w:val="21"/>
                      <w:szCs w:val="21"/>
                      <w:lang w:val="en-US" w:eastAsia="zh-CN" w:bidi="ar-SA"/>
                    </w:rPr>
                    <w:t>电石法聚氯乙烯生产项目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禁止在</w:t>
                  </w:r>
                  <w:r>
                    <w:rPr>
                      <w:rFonts w:ascii="Times New Roman" w:eastAsia="宋体" w:hAnsi="Times New Roman" w:cs="Times New Roman" w:hint="eastAsia"/>
                      <w:color w:val="auto"/>
                      <w:kern w:val="2"/>
                      <w:sz w:val="21"/>
                      <w:szCs w:val="21"/>
                      <w:lang w:val="en-US" w:eastAsia="zh-CN" w:bidi="ar-SA"/>
                    </w:rPr>
                    <w:t>鄱阳湖</w:t>
                  </w:r>
                  <w:r>
                    <w:rPr>
                      <w:rFonts w:ascii="Times New Roman" w:eastAsia="宋体" w:hAnsi="Times New Roman" w:cs="Times New Roman"/>
                      <w:color w:val="auto"/>
                      <w:kern w:val="2"/>
                      <w:sz w:val="21"/>
                      <w:szCs w:val="21"/>
                      <w:lang w:val="en-US" w:eastAsia="zh-CN" w:bidi="ar-SA"/>
                    </w:rPr>
                    <w:t>生态经济区滨湖控制开发带内新建、改建、扩建化学制浆造纸、印染、制革、电镀等排放含磷、氮、重金属等污染物的企业和项目。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本项目不属于</w:t>
                  </w:r>
                  <w:r>
                    <w:rPr>
                      <w:rFonts w:ascii="Times New Roman" w:eastAsia="宋体" w:hAnsi="Times New Roman" w:cs="Times New Roman"/>
                      <w:color w:val="auto"/>
                      <w:kern w:val="2"/>
                      <w:sz w:val="21"/>
                      <w:szCs w:val="21"/>
                      <w:lang w:val="en-US" w:eastAsia="zh-CN" w:bidi="ar-SA"/>
                    </w:rPr>
                    <w:t>化学制浆造纸、印染、制革、电镀等排放含磷、氮、重金属等污染物的企业和项目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严格限制企业新建自制水煤气发生炉。</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本项目不涉及</w:t>
                  </w:r>
                  <w:r>
                    <w:rPr>
                      <w:rFonts w:ascii="Times New Roman" w:eastAsia="宋体" w:hAnsi="Times New Roman" w:cs="Times New Roman"/>
                      <w:color w:val="auto"/>
                      <w:kern w:val="2"/>
                      <w:sz w:val="21"/>
                      <w:szCs w:val="21"/>
                      <w:lang w:val="en-US" w:eastAsia="zh-CN" w:bidi="ar-SA"/>
                    </w:rPr>
                    <w:t>自制水煤气发生炉</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不得在赣江、抚河保护区范围内进行规模化畜禽养殖；不得在赣江和抚河</w:t>
                  </w:r>
                  <w:r>
                    <w:rPr>
                      <w:rFonts w:ascii="Times New Roman" w:eastAsia="宋体" w:hAnsi="Times New Roman" w:cs="Times New Roman" w:hint="eastAsia"/>
                      <w:color w:val="auto"/>
                      <w:kern w:val="2"/>
                      <w:sz w:val="21"/>
                      <w:szCs w:val="21"/>
                      <w:lang w:val="en-US" w:eastAsia="zh-CN" w:bidi="ar-SA"/>
                    </w:rPr>
                    <w:t>干</w:t>
                  </w:r>
                  <w:r>
                    <w:rPr>
                      <w:rFonts w:ascii="Times New Roman" w:eastAsia="宋体" w:hAnsi="Times New Roman" w:cs="Times New Roman"/>
                      <w:color w:val="auto"/>
                      <w:kern w:val="2"/>
                      <w:sz w:val="21"/>
                      <w:szCs w:val="21"/>
                      <w:lang w:val="en-US" w:eastAsia="zh-CN" w:bidi="ar-SA"/>
                    </w:rPr>
                    <w:t>流及</w:t>
                  </w:r>
                  <w:r>
                    <w:rPr>
                      <w:rFonts w:ascii="Times New Roman" w:eastAsia="宋体" w:hAnsi="Times New Roman" w:cs="Times New Roman" w:hint="eastAsia"/>
                      <w:color w:val="auto"/>
                      <w:kern w:val="2"/>
                      <w:sz w:val="21"/>
                      <w:szCs w:val="21"/>
                      <w:lang w:val="en-US" w:eastAsia="zh-CN" w:bidi="ar-SA"/>
                    </w:rPr>
                    <w:t>鄱阳湖</w:t>
                  </w:r>
                  <w:r>
                    <w:rPr>
                      <w:rFonts w:ascii="Times New Roman" w:eastAsia="宋体" w:hAnsi="Times New Roman" w:cs="Times New Roman"/>
                      <w:color w:val="auto"/>
                      <w:kern w:val="2"/>
                      <w:sz w:val="21"/>
                      <w:szCs w:val="21"/>
                      <w:lang w:val="en-US" w:eastAsia="zh-CN" w:bidi="ar-SA"/>
                    </w:rPr>
                    <w:t>岸线5公里</w:t>
                  </w:r>
                  <w:r>
                    <w:rPr>
                      <w:rFonts w:ascii="Times New Roman" w:eastAsia="宋体" w:hAnsi="Times New Roman" w:cs="Times New Roman" w:hint="eastAsia"/>
                      <w:color w:val="auto"/>
                      <w:kern w:val="2"/>
                      <w:sz w:val="21"/>
                      <w:szCs w:val="21"/>
                      <w:lang w:val="en-US" w:eastAsia="zh-CN" w:bidi="ar-SA"/>
                    </w:rPr>
                    <w:t>范围</w:t>
                  </w:r>
                  <w:r>
                    <w:rPr>
                      <w:rFonts w:ascii="Times New Roman" w:eastAsia="宋体" w:hAnsi="Times New Roman" w:cs="Times New Roman"/>
                      <w:color w:val="auto"/>
                      <w:kern w:val="2"/>
                      <w:sz w:val="21"/>
                      <w:szCs w:val="21"/>
                      <w:lang w:val="en-US" w:eastAsia="zh-CN" w:bidi="ar-SA"/>
                    </w:rPr>
                    <w:t>内新布局重化工</w:t>
                  </w:r>
                  <w:r>
                    <w:rPr>
                      <w:rFonts w:ascii="Times New Roman" w:eastAsia="宋体" w:hAnsi="Times New Roman" w:cs="Times New Roman" w:hint="eastAsia"/>
                      <w:color w:val="auto"/>
                      <w:kern w:val="2"/>
                      <w:sz w:val="21"/>
                      <w:szCs w:val="21"/>
                      <w:lang w:val="en-US" w:eastAsia="zh-CN" w:bidi="ar-SA"/>
                    </w:rPr>
                    <w:t>园区</w:t>
                  </w:r>
                  <w:r>
                    <w:rPr>
                      <w:rFonts w:ascii="Times New Roman" w:eastAsia="宋体" w:hAnsi="Times New Roman" w:cs="Times New Roman"/>
                      <w:color w:val="auto"/>
                      <w:kern w:val="2"/>
                      <w:sz w:val="21"/>
                      <w:szCs w:val="21"/>
                      <w:lang w:val="en-US" w:eastAsia="zh-CN" w:bidi="ar-SA"/>
                    </w:rPr>
                    <w:t>，1公里</w:t>
                  </w:r>
                  <w:r>
                    <w:rPr>
                      <w:rFonts w:ascii="Times New Roman" w:eastAsia="宋体" w:hAnsi="Times New Roman" w:cs="Times New Roman" w:hint="eastAsia"/>
                      <w:color w:val="auto"/>
                      <w:kern w:val="2"/>
                      <w:sz w:val="21"/>
                      <w:szCs w:val="21"/>
                      <w:lang w:val="en-US" w:eastAsia="zh-CN" w:bidi="ar-SA"/>
                    </w:rPr>
                    <w:t>范围</w:t>
                  </w:r>
                  <w:r>
                    <w:rPr>
                      <w:rFonts w:ascii="Times New Roman" w:eastAsia="宋体" w:hAnsi="Times New Roman" w:cs="Times New Roman"/>
                      <w:color w:val="auto"/>
                      <w:kern w:val="2"/>
                      <w:sz w:val="21"/>
                      <w:szCs w:val="21"/>
                      <w:lang w:val="en-US" w:eastAsia="zh-CN" w:bidi="ar-SA"/>
                    </w:rPr>
                    <w:t>内新上化工、造纸、制革、冶炼等重污染项目。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本项目不属于</w:t>
                  </w:r>
                  <w:r>
                    <w:rPr>
                      <w:rFonts w:ascii="Times New Roman" w:eastAsia="宋体" w:hAnsi="Times New Roman" w:cs="Times New Roman"/>
                      <w:color w:val="auto"/>
                      <w:kern w:val="2"/>
                      <w:sz w:val="21"/>
                      <w:szCs w:val="21"/>
                      <w:lang w:val="en-US" w:eastAsia="zh-CN" w:bidi="ar-SA"/>
                    </w:rPr>
                    <w:t>畜禽养殖</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color w:val="auto"/>
                      <w:kern w:val="2"/>
                      <w:sz w:val="21"/>
                      <w:szCs w:val="21"/>
                      <w:lang w:val="en-US" w:eastAsia="zh-CN" w:bidi="ar-SA"/>
                    </w:rPr>
                    <w:t>化工、造纸、制革、冶炼等重污染项目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禁止在鄱阳湖最高水位线外1-3公里</w:t>
                  </w:r>
                  <w:r>
                    <w:rPr>
                      <w:rFonts w:ascii="Times New Roman" w:eastAsia="宋体" w:hAnsi="Times New Roman" w:cs="Times New Roman" w:hint="eastAsia"/>
                      <w:color w:val="auto"/>
                      <w:kern w:val="2"/>
                      <w:sz w:val="21"/>
                      <w:szCs w:val="21"/>
                      <w:lang w:val="en-US" w:eastAsia="zh-CN" w:bidi="ar-SA"/>
                    </w:rPr>
                    <w:t>范围</w:t>
                  </w:r>
                  <w:r>
                    <w:rPr>
                      <w:rFonts w:ascii="Times New Roman" w:eastAsia="宋体" w:hAnsi="Times New Roman" w:cs="Times New Roman"/>
                      <w:color w:val="auto"/>
                      <w:kern w:val="2"/>
                      <w:sz w:val="21"/>
                      <w:szCs w:val="21"/>
                      <w:lang w:val="en-US" w:eastAsia="zh-CN" w:bidi="ar-SA"/>
                    </w:rPr>
                    <w:t>内新建、改扩建各类高能耗、高排放行业项目和《污水综合排效标准》中一类污染物和持久性有机污染物的建设项目。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项目</w:t>
                  </w:r>
                  <w:r>
                    <w:rPr>
                      <w:rFonts w:ascii="Times New Roman" w:eastAsia="宋体" w:hAnsi="Times New Roman" w:cs="Times New Roman"/>
                      <w:color w:val="auto"/>
                      <w:kern w:val="2"/>
                      <w:sz w:val="21"/>
                      <w:szCs w:val="21"/>
                      <w:lang w:val="en-US" w:eastAsia="zh-CN" w:bidi="ar-SA"/>
                    </w:rPr>
                    <w:t>不在鄱阳湖最高水位线外1~3公里范围内</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禁止建设不符合国家、省级批准的内河航道及港口布局规划的码头</w:t>
                  </w:r>
                  <w:r>
                    <w:rPr>
                      <w:rFonts w:ascii="Times New Roman" w:eastAsia="宋体" w:hAnsi="Times New Roman" w:cs="Times New Roman" w:hint="eastAsia"/>
                      <w:color w:val="auto"/>
                      <w:kern w:val="2"/>
                      <w:sz w:val="21"/>
                      <w:szCs w:val="21"/>
                      <w:lang w:val="en-US" w:eastAsia="zh-CN" w:bidi="ar-SA"/>
                    </w:rPr>
                    <w:t>项目</w:t>
                  </w:r>
                  <w:r>
                    <w:rPr>
                      <w:rFonts w:ascii="Times New Roman" w:eastAsia="宋体" w:hAnsi="Times New Roman" w:cs="Times New Roman"/>
                      <w:color w:val="auto"/>
                      <w:kern w:val="2"/>
                      <w:sz w:val="21"/>
                      <w:szCs w:val="21"/>
                      <w:lang w:val="en-US" w:eastAsia="zh-CN" w:bidi="ar-SA"/>
                    </w:rPr>
                    <w:t>以及配套设施、锚地等工程。禁止新建、扩建不符合国家、省级批准的港口总体规划的码头项目及其配套设施、锚地等工程。</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w:t>
                  </w:r>
                  <w:r>
                    <w:rPr>
                      <w:rFonts w:ascii="Times New Roman" w:eastAsia="宋体" w:hAnsi="Times New Roman" w:cs="Times New Roman"/>
                      <w:color w:val="auto"/>
                      <w:kern w:val="2"/>
                      <w:sz w:val="21"/>
                      <w:szCs w:val="21"/>
                      <w:lang w:val="en-US" w:eastAsia="zh-CN" w:bidi="ar-SA"/>
                    </w:rPr>
                    <w:t>不属于码头项目以及配套设施、锚地等工程</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在环境风险防控重点区域如居民集中区、医院和学校附近、重要水源涵养生态功能区等，以及因环境污染导致环境质量不能稳定达标的区域内，禁止新建或扩建可能引发环境风险的项目。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default"/>
                      <w:color w:val="auto"/>
                      <w:szCs w:val="21"/>
                    </w:rPr>
                  </w:pPr>
                  <w:r>
                    <w:rPr>
                      <w:rFonts w:ascii="Times New Roman" w:eastAsia="宋体" w:hAnsi="Times New Roman" w:cs="Times New Roman" w:hint="eastAsia"/>
                      <w:color w:val="auto"/>
                      <w:kern w:val="2"/>
                      <w:sz w:val="21"/>
                      <w:szCs w:val="21"/>
                      <w:lang w:val="en-US" w:eastAsia="zh-CN" w:bidi="ar-SA"/>
                    </w:rPr>
                    <w:t>项目所在区域属于环境质量达标区，项目环境风险较小</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bl>
          <w:p/>
        </w:tc>
      </w:tr>
    </w:tbl>
    <w:p>
      <w:pPr>
        <w:sectPr>
          <w:footerReference w:type="default" r:id="rId12"/>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5"/>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
            <w:tblGrid>
              <w:gridCol w:w="569"/>
              <w:gridCol w:w="739"/>
              <w:gridCol w:w="3946"/>
              <w:gridCol w:w="1836"/>
              <w:gridCol w:w="464"/>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Ex>
              <w:trPr>
                <w:trHeight w:val="340"/>
              </w:trPr>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禁止在居民区、学校、医疗和养老机构等周边新建有色金属冶炼、焦化等行业企业。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不属于有色金属冶炼、焦化等行业企业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在水源地一级保护区内禁止新建、改建、扩建与供水设施和保护水源无关的建设项目，不得从事网箱养殖、旅游、游泳、垂钓或者其他可能污染水源的活动；在水源地二级保护区内禁止新建、改建、扩建排放污染物的建设项目；在水源地准保护区内禁止新建、扩建对水体污染严重的建设项目，改建建设项目，不得增加排污量。</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不属于水源地一级、二级、保护区及水源地准保护区</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严格限制“三磷”（磷矿、磷肥和含磷农药制造等磷化工企业、磷石膏库）产业向本区域内转移。</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不属于“三磷”（磷矿、磷肥和含磷农药制造等磷化工企业、磷石膏库）产业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不得在优先保护类耕地集中区城新建有色金属冶炼、石油加工、化工、焦化、电镀、制革、危险废物利用等项目。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不在休闲保护类耕地集中区域</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不得在农产品生产区施用高毒高残留农药。</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不在农产品生产区</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优化调整VOCs排放产业布局，原则上中心区域内不得再新建和扩建VOCs排放量大的有机化工、医药（化学原料药制造）、表面涂装等行业企业。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不属于VOCs排放量</w:t>
                  </w:r>
                  <w:r>
                    <w:rPr>
                      <w:rFonts w:ascii="Times New Roman" w:eastAsia="宋体" w:hAnsi="Times New Roman" w:cs="Times New Roman"/>
                      <w:color w:val="auto"/>
                      <w:kern w:val="2"/>
                      <w:sz w:val="21"/>
                      <w:szCs w:val="21"/>
                      <w:lang w:val="en-US" w:eastAsia="zh-CN" w:bidi="ar-SA"/>
                    </w:rPr>
                    <w:t>大的有机化工、医药（化学原料药制造）、表面涂装等行业企业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严格危化品港口建设项目审批管理，不得在自然保护区核心区及缓冲区内新建码头工程。</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不属于码头工程</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禁止在禁采区和禁采期内采砂（禁采区和禁采期以省政府批复的采砂规划为依据）。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不属于采砂工程</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不得在各县区划定的禁养区内设置养殖场和养殖小区。</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不属于养殖场和养殖小区</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现有涉重金属重点行业落后产能应逐步淘汰，严格执行重金属相关行业准入条件，不得新建落后产能或产能</w:t>
                  </w:r>
                  <w:r>
                    <w:rPr>
                      <w:rFonts w:ascii="Times New Roman" w:eastAsia="宋体" w:hAnsi="Times New Roman" w:cs="Times New Roman" w:hint="eastAsia"/>
                      <w:color w:val="auto"/>
                      <w:kern w:val="2"/>
                      <w:sz w:val="21"/>
                      <w:szCs w:val="21"/>
                      <w:lang w:val="en-US" w:eastAsia="zh-CN" w:bidi="ar-SA"/>
                    </w:rPr>
                    <w:t>严</w:t>
                  </w:r>
                  <w:r>
                    <w:rPr>
                      <w:rFonts w:ascii="Times New Roman" w:eastAsia="宋体" w:hAnsi="Times New Roman" w:cs="Times New Roman"/>
                      <w:color w:val="auto"/>
                      <w:kern w:val="2"/>
                      <w:sz w:val="21"/>
                      <w:szCs w:val="21"/>
                      <w:lang w:val="en-US" w:eastAsia="zh-CN" w:bidi="ar-SA"/>
                    </w:rPr>
                    <w:t>重过剩行业的建设项目。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不属于落后产能和产能严</w:t>
                  </w:r>
                  <w:r>
                    <w:rPr>
                      <w:rFonts w:ascii="Times New Roman" w:eastAsia="宋体" w:hAnsi="Times New Roman" w:cs="Times New Roman"/>
                      <w:color w:val="auto"/>
                      <w:kern w:val="2"/>
                      <w:sz w:val="21"/>
                      <w:szCs w:val="21"/>
                      <w:lang w:val="en-US" w:eastAsia="zh-CN" w:bidi="ar-SA"/>
                    </w:rPr>
                    <w:t>重过剩行业的建设项目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现有岸线内的非法采砂活动、非法码头应开展专项检查和整治，规范采砂行为和码头经营活动。</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不属于采砂、码头项目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在重金属污染防控红线区域内，禁止新建、改建、扩建增加重金属污染物排放的项目。严格控制重金属污染物排放项目的总体规模，严格限制排放重金属污染物的投资项目。因重金属污染导致环境质量不能稳定达标区域，禁止新建相关项目。现有的重金属排放企业，要严格执行涉重金属排放建设项目周边安全防护距离相关规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default"/>
                      <w:color w:val="auto"/>
                      <w:szCs w:val="21"/>
                    </w:rPr>
                  </w:pPr>
                  <w:r>
                    <w:rPr>
                      <w:rFonts w:ascii="Times New Roman" w:eastAsia="宋体" w:hAnsi="Times New Roman" w:cs="Times New Roman" w:hint="eastAsia"/>
                      <w:color w:val="auto"/>
                      <w:kern w:val="2"/>
                      <w:sz w:val="21"/>
                      <w:szCs w:val="21"/>
                      <w:lang w:val="en-US" w:eastAsia="zh-CN" w:bidi="ar-SA"/>
                    </w:rPr>
                    <w:t>不涉及重金属污染防控红线区域，不涉及重金属排放</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after="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after="0"/>
                    <w:jc w:val="center"/>
                    <w:rPr>
                      <w:color w:val="auto"/>
                      <w:szCs w:val="21"/>
                    </w:rPr>
                  </w:pPr>
                  <w:r>
                    <w:rPr>
                      <w:rFonts w:ascii="Times New Roman" w:eastAsia="宋体" w:hAnsi="Times New Roman" w:cs="Times New Roman" w:hint="eastAsia"/>
                      <w:color w:val="auto"/>
                      <w:kern w:val="2"/>
                      <w:sz w:val="21"/>
                      <w:szCs w:val="21"/>
                      <w:lang w:val="en-US" w:eastAsia="zh-CN" w:bidi="ar-SA"/>
                    </w:rPr>
                    <w:t>不属于</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after="0"/>
                    <w:jc w:val="center"/>
                    <w:rPr>
                      <w:rFonts w:hint="eastAsia"/>
                      <w:color w:val="auto"/>
                      <w:szCs w:val="21"/>
                    </w:rPr>
                  </w:pPr>
                </w:p>
              </w:tc>
            </w:tr>
          </w:tbl>
          <w:p/>
        </w:tc>
      </w:tr>
    </w:tbl>
    <w:p>
      <w:pPr>
        <w:sectPr>
          <w:footerReference w:type="default" r:id="rId13"/>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6"/>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
            <w:tblGrid>
              <w:gridCol w:w="569"/>
              <w:gridCol w:w="739"/>
              <w:gridCol w:w="3946"/>
              <w:gridCol w:w="1836"/>
              <w:gridCol w:w="464"/>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Ex>
              <w:trPr>
                <w:trHeight w:val="340"/>
              </w:trPr>
              <w:tc>
                <w:tcPr>
                  <w:tcW w:w="0" w:type="auto"/>
                  <w:vMerge w:val="restart"/>
                  <w:tcBorders>
                    <w:tl2br w:val="nil"/>
                    <w:tr2bl w:val="nil"/>
                  </w:tcBorders>
                  <w:shd w:val="clear" w:color="auto" w:fill="auto"/>
                  <w:tcMar>
                    <w:left w:w="105" w:type="dxa"/>
                    <w:right w:w="105" w:type="dxa"/>
                  </w:tcMar>
                  <w:vAlign w:val="center"/>
                </w:tcPr>
                <w:p/>
              </w:tc>
              <w:tc>
                <w:tcPr>
                  <w:tcW w:w="0" w:type="auto"/>
                  <w:vMerge w:val="restart"/>
                  <w:tcBorders>
                    <w:tl2br w:val="nil"/>
                    <w:tr2bl w:val="nil"/>
                  </w:tcBorders>
                  <w:shd w:val="clear" w:color="auto" w:fill="auto"/>
                  <w:tcMar>
                    <w:left w:w="105" w:type="dxa"/>
                    <w:right w:w="105" w:type="dxa"/>
                  </w:tcMar>
                  <w:vAlign w:val="center"/>
                </w:tc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before="0"/>
                    <w:jc w:val="center"/>
                    <w:rPr>
                      <w:color w:val="auto"/>
                      <w:szCs w:val="21"/>
                    </w:rPr>
                  </w:pPr>
                  <w:r>
                    <w:rPr>
                      <w:rFonts w:ascii="Times New Roman" w:eastAsia="宋体" w:hAnsi="Times New Roman" w:cs="Times New Roman"/>
                      <w:color w:val="auto"/>
                      <w:kern w:val="2"/>
                      <w:sz w:val="21"/>
                      <w:szCs w:val="21"/>
                      <w:lang w:val="en-US" w:eastAsia="zh-CN" w:bidi="ar-SA"/>
                    </w:rPr>
                    <w:t>造纸、焦化、氮肥、有色金属冶炼、印染、农副食品加工、原料药制造、制革、农药、电镀等重点行业建设项目新建、改建、扩建实施主要水污染排放总量等量或减量置换。</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before="0"/>
                    <w:jc w:val="center"/>
                    <w:rPr>
                      <w:color w:val="auto"/>
                      <w:szCs w:val="21"/>
                    </w:rPr>
                  </w:pPr>
                  <w:r>
                    <w:rPr>
                      <w:rFonts w:ascii="Times New Roman" w:eastAsia="宋体" w:hAnsi="Times New Roman" w:cs="Times New Roman"/>
                      <w:color w:val="auto"/>
                      <w:kern w:val="2"/>
                      <w:sz w:val="21"/>
                      <w:szCs w:val="21"/>
                      <w:lang w:val="en-US" w:eastAsia="zh-CN" w:bidi="ar-SA"/>
                    </w:rPr>
                    <w:t>造纸、焦化、氮肥、有色金属冶炼、印染、农副食品加工、原料药制造、制革、农药、电镀等重点行业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before="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不符合空间布局要求活动的退出要求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现有自然保护区核心区及缓冲区内已有的各类生产设施以及危化品、石油类油位应逐步拆除。</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不涉及自然保护区核心区及缓冲区内</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现有赣江和抚河南昌段及鄱阳湖岸线1公里范围内的落后化工产能项目必须依法关闭退出，1</w:t>
                  </w:r>
                  <w:r>
                    <w:rPr>
                      <w:rFonts w:ascii="Times New Roman" w:eastAsia="宋体" w:hAnsi="Times New Roman" w:cs="Times New Roman" w:hint="eastAsia"/>
                      <w:color w:val="auto"/>
                      <w:kern w:val="2"/>
                      <w:sz w:val="21"/>
                      <w:szCs w:val="21"/>
                      <w:lang w:val="en-US" w:eastAsia="zh-CN" w:bidi="ar-SA"/>
                    </w:rPr>
                    <w:t>公里范围</w:t>
                  </w:r>
                  <w:r>
                    <w:rPr>
                      <w:rFonts w:ascii="Times New Roman" w:eastAsia="宋体" w:hAnsi="Times New Roman" w:cs="Times New Roman"/>
                      <w:color w:val="auto"/>
                      <w:kern w:val="2"/>
                      <w:sz w:val="21"/>
                      <w:szCs w:val="21"/>
                      <w:lang w:val="en-US" w:eastAsia="zh-CN" w:bidi="ar-SA"/>
                    </w:rPr>
                    <w:t>内风险突出、无法实现就地改造的化工企业必须完成搬迁。</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本项目不属于化工项目及化工企业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位于城镇人口密集区内，安全、卫生防护距离不能满足相关要求和不符合规划的现有危险化学品生产企业限期退出或依法关停。</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本项目不属于化工项目及化工企业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“五河一湖”岸线延伸</w:t>
                  </w:r>
                  <w:r>
                    <w:rPr>
                      <w:rFonts w:ascii="Times New Roman" w:eastAsia="宋体" w:hAnsi="Times New Roman" w:cs="Times New Roman" w:hint="eastAsia"/>
                      <w:color w:val="auto"/>
                      <w:kern w:val="2"/>
                      <w:sz w:val="21"/>
                      <w:szCs w:val="21"/>
                      <w:lang w:val="en-US" w:eastAsia="zh-CN" w:bidi="ar-SA"/>
                    </w:rPr>
                    <w:t>路程</w:t>
                  </w:r>
                  <w:r>
                    <w:rPr>
                      <w:rFonts w:ascii="Times New Roman" w:eastAsia="宋体" w:hAnsi="Times New Roman" w:cs="Times New Roman"/>
                      <w:color w:val="auto"/>
                      <w:kern w:val="2"/>
                      <w:sz w:val="21"/>
                      <w:szCs w:val="21"/>
                      <w:lang w:val="en-US" w:eastAsia="zh-CN" w:bidi="ar-SA"/>
                    </w:rPr>
                    <w:t>1公里范围内禁止新建重化工项目，督促已有化工企业逐步搬迁进入合规园</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本项目不属于化工项目及化工企业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深入开展非法采砂整治工作。严格采砂管理，全面规范采砂行为，坚决打击非法开采。</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本项目不属于采砂项目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饮用水水源一级保护区内已建成的与供水设施和保护水源无关的建设项目，由县级以上人民政府责令拆除或者关闭。饮用水水源二级保护区内已建成的排放污染物的建设项目，由县级以上人民政府责令拆除或者关闭。</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本项目不涉及饮用水水源以及、二级保护区</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对不符合产业政策要求的落后产能和“僵尸企业”，以及环境风险、安全隐患突出而又无法搬迁或转型企业，依法实施关停。</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w:t>
                  </w:r>
                  <w:r>
                    <w:rPr>
                      <w:rFonts w:ascii="Times New Roman" w:eastAsia="宋体" w:hAnsi="Times New Roman" w:cs="Times New Roman"/>
                      <w:color w:val="auto"/>
                      <w:kern w:val="2"/>
                      <w:sz w:val="21"/>
                      <w:szCs w:val="21"/>
                      <w:lang w:val="en-US" w:eastAsia="zh-CN" w:bidi="ar-SA"/>
                    </w:rPr>
                    <w:t>落后产能和“僵尸企业”，以及环境风险、安全隐患突出</w:t>
                  </w:r>
                  <w:r>
                    <w:rPr>
                      <w:rFonts w:ascii="Times New Roman" w:eastAsia="宋体" w:hAnsi="Times New Roman" w:cs="Times New Roman" w:hint="eastAsia"/>
                      <w:color w:val="auto"/>
                      <w:kern w:val="2"/>
                      <w:sz w:val="21"/>
                      <w:szCs w:val="21"/>
                      <w:lang w:val="en-US" w:eastAsia="zh-CN" w:bidi="ar-SA"/>
                    </w:rPr>
                    <w:t>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现有主城区或规划为商住、文教的区域的工业企业限期退出；城市建成区内的现有建材、有色金属、造纸、印染、原料药制造、化工等污染较重或严重影响环境的企业应有序搬迁、改造或依法关闭。</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default"/>
                      <w:color w:val="auto"/>
                      <w:szCs w:val="21"/>
                    </w:rPr>
                  </w:pPr>
                  <w:r>
                    <w:rPr>
                      <w:rFonts w:ascii="Times New Roman" w:eastAsia="宋体" w:hAnsi="Times New Roman" w:cs="Times New Roman" w:hint="eastAsia"/>
                      <w:color w:val="auto"/>
                      <w:kern w:val="2"/>
                      <w:sz w:val="21"/>
                      <w:szCs w:val="21"/>
                      <w:lang w:val="en-US" w:eastAsia="zh-CN" w:bidi="ar-SA"/>
                    </w:rPr>
                    <w:t>项目位置不在主城区，且不属于</w:t>
                  </w:r>
                  <w:r>
                    <w:rPr>
                      <w:rFonts w:ascii="Times New Roman" w:eastAsia="宋体" w:hAnsi="Times New Roman" w:cs="Times New Roman"/>
                      <w:color w:val="auto"/>
                      <w:kern w:val="2"/>
                      <w:sz w:val="21"/>
                      <w:szCs w:val="21"/>
                      <w:lang w:val="en-US" w:eastAsia="zh-CN" w:bidi="ar-SA"/>
                    </w:rPr>
                    <w:t>污染较重或严重影响环境的企业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全面取缔</w:t>
                  </w:r>
                  <w:r>
                    <w:rPr>
                      <w:rFonts w:ascii="Times New Roman" w:eastAsia="宋体" w:hAnsi="Times New Roman" w:cs="Times New Roman" w:hint="eastAsia"/>
                      <w:color w:val="auto"/>
                      <w:kern w:val="2"/>
                      <w:sz w:val="21"/>
                      <w:szCs w:val="21"/>
                      <w:lang w:val="en-US" w:eastAsia="zh-CN" w:bidi="ar-SA"/>
                    </w:rPr>
                    <w:t>河湖</w:t>
                  </w:r>
                  <w:r>
                    <w:rPr>
                      <w:rFonts w:ascii="Times New Roman" w:eastAsia="宋体" w:hAnsi="Times New Roman" w:cs="Times New Roman"/>
                      <w:color w:val="auto"/>
                      <w:kern w:val="2"/>
                      <w:sz w:val="21"/>
                      <w:szCs w:val="21"/>
                      <w:lang w:val="en-US" w:eastAsia="zh-CN" w:bidi="ar-SA"/>
                    </w:rPr>
                    <w:t>水库网箱养殖，禁止湖泊水库投放无机肥、有机肥和生物复合肥养殖。</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不属于河湖水库网箱养殖</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有机化工、医药（化学原料药制造）、表面涂装、塑料制品、包装印刷行业不符合生态环境功能区划、环境功能区划，大气环境防护距离和卫生防护距离不能满足要求的污染企业一律依法实施停产整治、限期搬迁或关闭。</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本项目不属于有机化工、医药</w:t>
                  </w:r>
                  <w:r>
                    <w:rPr>
                      <w:rFonts w:ascii="Times New Roman" w:eastAsia="宋体" w:hAnsi="Times New Roman" w:cs="Times New Roman"/>
                      <w:color w:val="auto"/>
                      <w:kern w:val="2"/>
                      <w:sz w:val="21"/>
                      <w:szCs w:val="21"/>
                      <w:lang w:val="en-US" w:eastAsia="zh-CN" w:bidi="ar-SA"/>
                    </w:rPr>
                    <w:t>（化学原料药制造）、表面涂装、塑料制品、包装印刷行业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after="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允许排放量要求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COD</w:t>
                  </w:r>
                  <w:r>
                    <w:rPr>
                      <w:rFonts w:ascii="Times New Roman" w:eastAsia="宋体" w:hAnsi="Times New Roman" w:cs="Times New Roman"/>
                      <w:color w:val="auto"/>
                      <w:kern w:val="2"/>
                      <w:sz w:val="21"/>
                      <w:szCs w:val="21"/>
                      <w:lang w:val="en-US" w:eastAsia="zh-CN" w:bidi="ar-SA"/>
                    </w:rPr>
                    <w:t>、氨氮、二氧化硫、氮氧化物、VOCs、温室气体等的排放量执行省级下达的管控指标要求。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本项目符合总量控制指标要求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bl>
          <w:p/>
        </w:tc>
      </w:tr>
    </w:tbl>
    <w:p>
      <w:pPr>
        <w:sectPr>
          <w:footerReference w:type="default" r:id="rId14"/>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7"/>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
            <w:tblGrid>
              <w:gridCol w:w="569"/>
              <w:gridCol w:w="739"/>
              <w:gridCol w:w="3946"/>
              <w:gridCol w:w="1836"/>
              <w:gridCol w:w="464"/>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Ex>
              <w:trPr>
                <w:trHeight w:val="340"/>
              </w:trPr>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before="0"/>
                    <w:jc w:val="center"/>
                    <w:rPr>
                      <w:color w:val="auto"/>
                      <w:szCs w:val="21"/>
                    </w:rPr>
                  </w:pPr>
                  <w:r>
                    <w:rPr>
                      <w:rFonts w:ascii="Times New Roman" w:eastAsia="宋体" w:hAnsi="Times New Roman" w:cs="Times New Roman"/>
                      <w:color w:val="auto"/>
                      <w:kern w:val="2"/>
                      <w:sz w:val="21"/>
                      <w:szCs w:val="21"/>
                      <w:lang w:val="en-US" w:eastAsia="zh-CN" w:bidi="ar-SA"/>
                    </w:rPr>
                    <w:t>污染物排放管控</w:t>
                  </w:r>
                </w:p>
              </w:tc>
              <w:tc>
                <w:tcPr>
                  <w:tcW w:w="0" w:type="auto"/>
                  <w:vMerge w:val="restart"/>
                  <w:tcBorders>
                    <w:tl2br w:val="nil"/>
                    <w:tr2bl w:val="nil"/>
                  </w:tcBorders>
                  <w:shd w:val="clear" w:color="auto" w:fill="auto"/>
                  <w:tcMar>
                    <w:left w:w="105" w:type="dxa"/>
                    <w:right w:w="105" w:type="dxa"/>
                  </w:tcMar>
                  <w:vAlign w:val="center"/>
                </w:tcPr>
                <w:p/>
              </w:tc>
              <w:tc>
                <w:tcPr>
                  <w:tcW w:w="0" w:type="auto"/>
                  <w:tcBorders>
                    <w:tl2br w:val="nil"/>
                    <w:tr2bl w:val="nil"/>
                  </w:tcBorders>
                  <w:shd w:val="clear" w:color="auto" w:fill="auto"/>
                  <w:tcMar>
                    <w:left w:w="105" w:type="dxa"/>
                    <w:right w:w="105" w:type="dxa"/>
                  </w:tcMar>
                  <w:vAlign w:val="center"/>
                </w:tcPr>
                <w:p/>
              </w:tc>
              <w:tc>
                <w:tcPr>
                  <w:tcW w:w="0" w:type="auto"/>
                  <w:tcBorders>
                    <w:tl2br w:val="nil"/>
                    <w:tr2bl w:val="nil"/>
                  </w:tcBorders>
                  <w:shd w:val="clear" w:color="auto" w:fill="auto"/>
                  <w:tcMar>
                    <w:left w:w="105" w:type="dxa"/>
                    <w:right w:w="105" w:type="dxa"/>
                  </w:tcMar>
                  <w:vAlign w:val="center"/>
                </w:tcPr>
                <w:p/>
              </w:tc>
              <w:tc>
                <w:tcPr>
                  <w:tcW w:w="0" w:type="auto"/>
                  <w:tcBorders>
                    <w:tl2br w:val="nil"/>
                    <w:tr2bl w:val="nil"/>
                  </w:tcBorders>
                  <w:shd w:val="clear" w:color="auto" w:fill="auto"/>
                  <w:tcMar>
                    <w:left w:w="105" w:type="dxa"/>
                    <w:right w:w="105" w:type="dxa"/>
                  </w:tcMar>
                  <w:vAlign w:val="center"/>
                </w:tcP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after="0"/>
                    <w:jc w:val="center"/>
                    <w:rPr>
                      <w:color w:val="auto"/>
                      <w:szCs w:val="21"/>
                    </w:rPr>
                  </w:pPr>
                  <w:r>
                    <w:rPr>
                      <w:rFonts w:ascii="Times New Roman" w:eastAsia="宋体" w:hAnsi="Times New Roman" w:cs="Times New Roman"/>
                      <w:color w:val="auto"/>
                      <w:kern w:val="2"/>
                      <w:sz w:val="21"/>
                      <w:szCs w:val="21"/>
                      <w:lang w:val="en-US" w:eastAsia="zh-CN" w:bidi="ar-SA"/>
                    </w:rPr>
                    <w:t>300</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after="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tc>
              <w:tc>
                <w:tcPr>
                  <w:tcW w:w="0" w:type="auto"/>
                  <w:vMerge/>
                  <w:tcBorders>
                    <w:tl2br w:val="nil"/>
                    <w:tr2bl w:val="nil"/>
                  </w:tcBorders>
                  <w:shd w:val="clear" w:color="auto" w:fill="auto"/>
                  <w:tcMar>
                    <w:left w:w="105" w:type="dxa"/>
                    <w:right w:w="105" w:type="dxa"/>
                  </w:tcMar>
                  <w:vAlign w:val="center"/>
                </w:tc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before="0"/>
                    <w:jc w:val="center"/>
                    <w:rPr>
                      <w:color w:val="auto"/>
                      <w:szCs w:val="21"/>
                    </w:rPr>
                  </w:pPr>
                  <w:r>
                    <w:rPr>
                      <w:rFonts w:ascii="Times New Roman" w:eastAsia="宋体" w:hAnsi="Times New Roman" w:cs="Times New Roman"/>
                      <w:color w:val="auto"/>
                      <w:kern w:val="2"/>
                      <w:sz w:val="21"/>
                      <w:szCs w:val="21"/>
                      <w:lang w:val="en-US" w:eastAsia="zh-CN" w:bidi="ar-SA"/>
                    </w:rPr>
                    <w:t xml:space="preserve"> 吨级以上规模（含）的货运港口、港区和码头以及所有旅游客运码头废水持放应达到《鄱阳湖生态经济区水污染物排放标准》规定的排放限值。</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before="0"/>
                    <w:jc w:val="center"/>
                    <w:rPr>
                      <w:color w:val="auto"/>
                      <w:szCs w:val="21"/>
                    </w:rPr>
                  </w:pPr>
                  <w:r>
                    <w:rPr>
                      <w:rFonts w:ascii="Times New Roman" w:eastAsia="宋体" w:hAnsi="Times New Roman" w:cs="Times New Roman"/>
                      <w:color w:val="auto"/>
                      <w:kern w:val="2"/>
                      <w:sz w:val="21"/>
                      <w:szCs w:val="21"/>
                      <w:lang w:val="en-US" w:eastAsia="zh-CN" w:bidi="ar-SA"/>
                    </w:rPr>
                    <w:t>不属于货运港口、港区和码头以及所有旅游客运码头项目</w:t>
                  </w:r>
                </w:p>
              </w:tc>
              <w:tc>
                <w:tcPr>
                  <w:tcW w:w="0" w:type="auto"/>
                  <w:tcBorders>
                    <w:tl2br w:val="nil"/>
                    <w:tr2bl w:val="nil"/>
                  </w:tcBorders>
                  <w:shd w:val="clear" w:color="auto" w:fill="auto"/>
                  <w:tcMar>
                    <w:left w:w="105" w:type="dxa"/>
                    <w:right w:w="105" w:type="dxa"/>
                  </w:tcMar>
                  <w:vAlign w:val="center"/>
                </w:tcP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重点防控区域要坚持新增产能与淘汰产能“等量替换”成“减量置换”的原则，实行重点防控的重金属污染物排放总量控制制度。</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不涉及重金属污染物排放总量控制</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现有源提标升级改造</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县城及以上城镇生活污水处理厂执行一级A排放标准。</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污水处理厂执行一级A排放标准</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现有造纸、焦化、氮肥、印染、制药、制革行业应进一步推进清洁化改造工作。有色金属、农副食品加工、农药、电镀等重点行业企业按照法律法规要求，按时完成清洁化改造。</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不属于造纸、焦化、氮肥、印染、创药、制革行业</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现有畜禽规模养殖场应加强配套治污设施改造，提升配套质量。</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不属于畜禽养殖项目</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环境风险防控</w:t>
                  </w:r>
                </w:p>
              </w:tc>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联防联控要求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加强饮用水水源地环境风险防范和应急预警，建立跨区县和上下游沟通和联动机制，重点防范突发性水污染事件。</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不涉及</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逐</w:t>
                  </w:r>
                  <w:r>
                    <w:rPr>
                      <w:rFonts w:ascii="Times New Roman" w:eastAsia="宋体" w:hAnsi="Times New Roman" w:cs="Times New Roman"/>
                      <w:color w:val="auto"/>
                      <w:kern w:val="2"/>
                      <w:sz w:val="21"/>
                      <w:szCs w:val="21"/>
                      <w:lang w:val="en-US" w:eastAsia="zh-CN" w:bidi="ar-SA"/>
                    </w:rPr>
                    <w:t>步建立总磷排放控制</w:t>
                  </w:r>
                  <w:r>
                    <w:rPr>
                      <w:rFonts w:ascii="Times New Roman" w:eastAsia="宋体" w:hAnsi="Times New Roman" w:cs="Times New Roman" w:hint="eastAsia"/>
                      <w:color w:val="auto"/>
                      <w:kern w:val="2"/>
                      <w:sz w:val="21"/>
                      <w:szCs w:val="21"/>
                      <w:lang w:val="en-US" w:eastAsia="zh-CN" w:bidi="ar-SA"/>
                    </w:rPr>
                    <w:t>台账</w:t>
                  </w:r>
                  <w:r>
                    <w:rPr>
                      <w:rFonts w:ascii="Times New Roman" w:eastAsia="宋体" w:hAnsi="Times New Roman" w:cs="Times New Roman"/>
                      <w:color w:val="auto"/>
                      <w:kern w:val="2"/>
                      <w:sz w:val="21"/>
                      <w:szCs w:val="21"/>
                      <w:lang w:val="en-US" w:eastAsia="zh-CN" w:bidi="ar-SA"/>
                    </w:rPr>
                    <w:t>，推进区域水体总磷联防联控。</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不涉及</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继续推进昌九区城大气污染联防联控工作机制，推动昌九区域空气质量不断改善。</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不涉及</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其他环境风险防控要求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对于安全利用类农用地，要制定实施受污染耕地安全利用方案，采取农艺调控、替代种植等措施，降低农产品超标风险。强化农产品质量检测。</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不涉及</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加强对严格管控类耕地的用途管理，依法划定特定农产品禁止生产区域，严禁种植食用农产品，禁止在有毒有害物质超过规定标准的区域生产、捕捞、采集食用特定农产品和建立特定农产品生产基地。</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不涉及</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对于已污染地块，应依法开展建设用地土壤环境状况调查、风险评估和污染地块治理与修复活动，符合相应规划用地土壤环境质量要求的地块，可进入用地程序。</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不涉及</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生产、存储危险化学品及产生大量废水的企业，应配套有效措施，防止因渗漏污染地下水、土壤，以及因事故废水直排污染地表水体。</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default"/>
                      <w:color w:val="auto"/>
                      <w:szCs w:val="21"/>
                    </w:rPr>
                  </w:pPr>
                  <w:r>
                    <w:rPr>
                      <w:rFonts w:ascii="Times New Roman" w:eastAsia="宋体" w:hAnsi="Times New Roman" w:cs="Times New Roman" w:hint="eastAsia"/>
                      <w:color w:val="auto"/>
                      <w:kern w:val="2"/>
                      <w:sz w:val="21"/>
                      <w:szCs w:val="21"/>
                      <w:lang w:val="en-US" w:eastAsia="zh-CN" w:bidi="ar-SA"/>
                    </w:rPr>
                    <w:t>项目使用少量危险化学品，严格管控使用，设置有危废暂存间等防范措施，正常运营不存在地下水及土壤污染途径</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产生、利用或处置固体废物（含危险废物）的企业，在贮存、转移、利用、处置固体废物（含危险废物）过程中，应配套防扬散、防流失、防渗漏及其他防止污染环境的措施。</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default"/>
                      <w:color w:val="auto"/>
                      <w:szCs w:val="21"/>
                    </w:rPr>
                  </w:pPr>
                  <w:r>
                    <w:rPr>
                      <w:rFonts w:ascii="Times New Roman" w:eastAsia="宋体" w:hAnsi="Times New Roman" w:cs="Times New Roman" w:hint="eastAsia"/>
                      <w:color w:val="auto"/>
                      <w:kern w:val="2"/>
                      <w:sz w:val="21"/>
                      <w:szCs w:val="21"/>
                      <w:lang w:val="en-US" w:eastAsia="zh-CN" w:bidi="ar-SA"/>
                    </w:rPr>
                    <w:t>本项目配套</w:t>
                  </w:r>
                  <w:r>
                    <w:rPr>
                      <w:rFonts w:cs="Times New Roman" w:hint="eastAsia"/>
                      <w:color w:val="auto"/>
                      <w:kern w:val="2"/>
                      <w:sz w:val="21"/>
                      <w:szCs w:val="21"/>
                      <w:lang w:val="en-US" w:eastAsia="zh-CN" w:bidi="ar-SA"/>
                    </w:rPr>
                    <w:t>有</w:t>
                  </w:r>
                  <w:r>
                    <w:rPr>
                      <w:rFonts w:ascii="Times New Roman" w:eastAsia="宋体" w:hAnsi="Times New Roman" w:cs="Times New Roman" w:hint="eastAsia"/>
                      <w:color w:val="auto"/>
                      <w:kern w:val="2"/>
                      <w:sz w:val="21"/>
                      <w:szCs w:val="21"/>
                      <w:lang w:val="en-US" w:eastAsia="zh-CN" w:bidi="ar-SA"/>
                    </w:rPr>
                    <w:t>防扬散、防流失、防渗漏</w:t>
                  </w:r>
                  <w:r>
                    <w:rPr>
                      <w:rFonts w:cs="Times New Roman" w:hint="eastAsia"/>
                      <w:color w:val="auto"/>
                      <w:kern w:val="2"/>
                      <w:sz w:val="21"/>
                      <w:szCs w:val="21"/>
                      <w:lang w:val="en-US" w:eastAsia="zh-CN" w:bidi="ar-SA"/>
                    </w:rPr>
                    <w:t>措施区域贮存固废</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after="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after="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after="0"/>
                    <w:jc w:val="center"/>
                    <w:rPr>
                      <w:color w:val="auto"/>
                      <w:szCs w:val="21"/>
                    </w:rPr>
                  </w:pPr>
                  <w:r>
                    <w:rPr>
                      <w:rFonts w:ascii="Times New Roman" w:eastAsia="宋体" w:hAnsi="Times New Roman" w:cs="Times New Roman"/>
                      <w:color w:val="auto"/>
                      <w:kern w:val="2"/>
                      <w:sz w:val="21"/>
                      <w:szCs w:val="21"/>
                      <w:lang w:val="en-US" w:eastAsia="zh-CN" w:bidi="ar-SA"/>
                    </w:rPr>
                    <w:t>南昌市区城用水总量、万元GDP用水量、万元工业增加值用水量执行省级下达的管控指标要求。2035年</w:t>
                  </w:r>
                  <w:r>
                    <w:rPr>
                      <w:rFonts w:ascii="Times New Roman" w:eastAsia="宋体" w:hAnsi="Times New Roman" w:cs="Times New Roman" w:hint="eastAsia"/>
                      <w:color w:val="auto"/>
                      <w:kern w:val="2"/>
                      <w:sz w:val="21"/>
                      <w:szCs w:val="21"/>
                      <w:lang w:val="en-US" w:eastAsia="zh-CN" w:bidi="ar-SA"/>
                    </w:rPr>
                    <w:t>城区</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bl>
          <w:p/>
        </w:tc>
      </w:tr>
    </w:tbl>
    <w:p>
      <w:pPr>
        <w:sectPr>
          <w:footerReference w:type="default" r:id="rId15"/>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8"/>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tbl>
            <w:tblPr>
              <w:tblStyle w:val="TableNormal"/>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
            <w:tblGrid>
              <w:gridCol w:w="569"/>
              <w:gridCol w:w="739"/>
              <w:gridCol w:w="3946"/>
              <w:gridCol w:w="1836"/>
              <w:gridCol w:w="464"/>
            </w:tblGrid>
            <w:tr>
              <w:tblPrEx>
                <w:tblW w:w="0" w:type="auto"/>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Ex>
              <w:trPr>
                <w:trHeight w:val="340"/>
              </w:trPr>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before="0"/>
                    <w:jc w:val="center"/>
                    <w:rPr>
                      <w:color w:val="auto"/>
                      <w:szCs w:val="21"/>
                    </w:rPr>
                  </w:pPr>
                  <w:r>
                    <w:rPr>
                      <w:rFonts w:ascii="Times New Roman" w:eastAsia="宋体" w:hAnsi="Times New Roman" w:cs="Times New Roman"/>
                      <w:color w:val="auto"/>
                      <w:kern w:val="2"/>
                      <w:sz w:val="21"/>
                      <w:szCs w:val="21"/>
                      <w:lang w:val="en-US" w:eastAsia="zh-CN" w:bidi="ar-SA"/>
                    </w:rPr>
                    <w:t>资源利用效率要求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before="0"/>
                    <w:jc w:val="center"/>
                    <w:rPr>
                      <w:color w:val="auto"/>
                      <w:szCs w:val="21"/>
                    </w:rPr>
                  </w:pPr>
                  <w:r>
                    <w:rPr>
                      <w:rFonts w:ascii="Times New Roman" w:eastAsia="宋体" w:hAnsi="Times New Roman" w:cs="Times New Roman"/>
                      <w:color w:val="auto"/>
                      <w:kern w:val="2"/>
                      <w:sz w:val="21"/>
                      <w:szCs w:val="21"/>
                      <w:lang w:val="en-US" w:eastAsia="zh-CN" w:bidi="ar-SA"/>
                    </w:rPr>
                    <w:t>水资源利用总量要求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spacing w:before="0"/>
                    <w:jc w:val="center"/>
                    <w:rPr>
                      <w:color w:val="auto"/>
                      <w:szCs w:val="21"/>
                    </w:rPr>
                  </w:pPr>
                  <w:r>
                    <w:rPr>
                      <w:rFonts w:ascii="Times New Roman" w:eastAsia="宋体" w:hAnsi="Times New Roman" w:cs="Times New Roman"/>
                      <w:color w:val="auto"/>
                      <w:kern w:val="2"/>
                      <w:sz w:val="21"/>
                      <w:szCs w:val="21"/>
                      <w:lang w:val="en-US" w:eastAsia="zh-CN" w:bidi="ar-SA"/>
                    </w:rPr>
                    <w:t>用水总量不得超过35.10亿m²。</w:t>
                  </w:r>
                </w:p>
              </w:tc>
              <w:tc>
                <w:tcPr>
                  <w:tcW w:w="0" w:type="auto"/>
                  <w:tcBorders>
                    <w:tl2br w:val="nil"/>
                    <w:tr2bl w:val="nil"/>
                  </w:tcBorders>
                  <w:shd w:val="clear" w:color="auto" w:fill="auto"/>
                  <w:tcMar>
                    <w:left w:w="105" w:type="dxa"/>
                    <w:right w:w="105" w:type="dxa"/>
                  </w:tcMar>
                  <w:vAlign w:val="center"/>
                </w:tcPr>
                <w:p/>
              </w:tc>
              <w:tc>
                <w:tcPr>
                  <w:tcW w:w="0" w:type="auto"/>
                  <w:tcBorders>
                    <w:tl2br w:val="nil"/>
                    <w:tr2bl w:val="nil"/>
                  </w:tcBorders>
                  <w:shd w:val="clear" w:color="auto" w:fill="auto"/>
                  <w:tcMar>
                    <w:left w:w="105" w:type="dxa"/>
                    <w:right w:w="105" w:type="dxa"/>
                  </w:tcMar>
                  <w:vAlign w:val="center"/>
                </w:tcP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地下水开采要求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严格控制开采深层承压水，地热水、矿泉水开发应严格实行取水许可和采矿许可。</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不涉及地下水开采</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能源利用总量及效率要求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逐年降低全市煤炭消费比重，逐年提高天然气占一次能源消费比重。</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能源消费总量、规模以上工业企业单位工业增加值能耗执行省级下达的管控指标要求。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val="restart"/>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禁燃区要求</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color w:val="auto"/>
                      <w:kern w:val="2"/>
                      <w:sz w:val="21"/>
                      <w:szCs w:val="21"/>
                      <w:lang w:val="en-US" w:eastAsia="zh-CN" w:bidi="ar-SA"/>
                    </w:rPr>
                    <w:t>南昌县、进贤县、安义县应逐步划定辖区禁燃区</w:t>
                  </w:r>
                  <w:r>
                    <w:rPr>
                      <w:rFonts w:ascii="Times New Roman" w:eastAsia="宋体" w:hAnsi="Times New Roman" w:cs="Times New Roman" w:hint="eastAsia"/>
                      <w:color w:val="auto"/>
                      <w:kern w:val="2"/>
                      <w:sz w:val="21"/>
                      <w:szCs w:val="21"/>
                      <w:lang w:val="en-US" w:eastAsia="zh-CN" w:bidi="ar-SA"/>
                    </w:rPr>
                    <w:t>范围</w:t>
                  </w:r>
                  <w:r>
                    <w:rPr>
                      <w:rFonts w:ascii="Times New Roman" w:eastAsia="宋体" w:hAnsi="Times New Roman" w:cs="Times New Roman"/>
                      <w:color w:val="auto"/>
                      <w:kern w:val="2"/>
                      <w:sz w:val="21"/>
                      <w:szCs w:val="21"/>
                      <w:lang w:val="en-US" w:eastAsia="zh-CN" w:bidi="ar-SA"/>
                    </w:rPr>
                    <w:t>。</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符合</w:t>
                  </w:r>
                </w:p>
              </w:tc>
            </w:tr>
            <w:tr>
              <w:tblPrEx>
                <w:tblW w:w="0" w:type="auto"/>
                <w:tblInd w:w="0" w:type="dxa"/>
                <w:tblCellMar>
                  <w:top w:w="0" w:type="dxa"/>
                  <w:left w:w="0" w:type="dxa"/>
                  <w:bottom w:w="0" w:type="dxa"/>
                  <w:right w:w="0" w:type="dxa"/>
                </w:tblCellMar>
              </w:tblPrEx>
              <w:trPr>
                <w:trHeight w:val="340"/>
              </w:trPr>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vMerge/>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禁止在划定的高污染燃料禁燃区燃用高污染燃料，新建、扩建燃用高污染燃料的项目和设施；禁燃区内现有使用高污染燃料的区域应分期分批次淘汰或实施清洁能源改造。</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color w:val="auto"/>
                      <w:szCs w:val="21"/>
                    </w:rPr>
                  </w:pPr>
                  <w:r>
                    <w:rPr>
                      <w:rFonts w:ascii="Times New Roman" w:eastAsia="宋体" w:hAnsi="Times New Roman" w:cs="Times New Roman" w:hint="eastAsia"/>
                      <w:color w:val="auto"/>
                      <w:kern w:val="2"/>
                      <w:sz w:val="21"/>
                      <w:szCs w:val="21"/>
                      <w:lang w:val="en-US" w:eastAsia="zh-CN" w:bidi="ar-SA"/>
                    </w:rPr>
                    <w:t>本项目</w:t>
                  </w:r>
                  <w:r>
                    <w:rPr>
                      <w:rFonts w:ascii="Times New Roman" w:eastAsia="宋体" w:hAnsi="Times New Roman" w:cs="Times New Roman"/>
                      <w:color w:val="auto"/>
                      <w:kern w:val="2"/>
                      <w:sz w:val="21"/>
                      <w:szCs w:val="21"/>
                      <w:lang w:val="en-US" w:eastAsia="zh-CN" w:bidi="ar-SA"/>
                    </w:rPr>
                    <w:t>不使用燃料</w:t>
                  </w:r>
                </w:p>
              </w:tc>
              <w:tc>
                <w:tcPr>
                  <w:tcW w:w="0" w:type="auto"/>
                  <w:tcBorders>
                    <w:tl2br w:val="nil"/>
                    <w:tr2bl w:val="nil"/>
                  </w:tcBorders>
                  <w:shd w:val="clear" w:color="auto" w:fill="auto"/>
                  <w:tcMar>
                    <w:left w:w="105" w:type="dxa"/>
                    <w:right w:w="105" w:type="dxa"/>
                  </w:tcMar>
                  <w:vAlign w:val="center"/>
                </w:tcPr>
                <w:p>
                  <w:pPr>
                    <w:widowControl w:val="0"/>
                    <w:pBdr>
                      <w:top w:val="none" w:sz="0" w:space="1" w:color="auto"/>
                      <w:left w:val="none" w:sz="0" w:space="4" w:color="auto"/>
                      <w:bottom w:val="none" w:sz="0" w:space="1" w:color="auto"/>
                      <w:right w:val="none" w:sz="0" w:space="4" w:color="auto"/>
                    </w:pBdr>
                    <w:adjustRightInd w:val="0"/>
                    <w:snapToGrid w:val="0"/>
                    <w:jc w:val="center"/>
                    <w:rPr>
                      <w:rFonts w:hint="eastAsia"/>
                      <w:color w:val="auto"/>
                      <w:szCs w:val="21"/>
                    </w:rPr>
                  </w:pPr>
                  <w:r>
                    <w:rPr>
                      <w:rFonts w:ascii="Times New Roman" w:eastAsia="宋体" w:hAnsi="Times New Roman" w:cs="Times New Roman" w:hint="eastAsia"/>
                      <w:color w:val="auto"/>
                      <w:kern w:val="2"/>
                      <w:sz w:val="21"/>
                      <w:szCs w:val="21"/>
                      <w:lang w:val="en-US" w:eastAsia="zh-CN" w:bidi="ar-SA"/>
                    </w:rPr>
                    <w:t>符合</w:t>
                  </w:r>
                </w:p>
              </w:tc>
            </w:tr>
          </w:tbl>
          <w:p>
            <w:pPr>
              <w:pStyle w:val="yt"/>
              <w:ind w:firstLine="480"/>
              <w:rPr>
                <w:rFonts w:hint="eastAsia"/>
              </w:rPr>
            </w:pPr>
            <w:r>
              <w:rPr>
                <w:rFonts w:hint="eastAsia"/>
              </w:rPr>
              <w:t>本项目</w:t>
            </w:r>
            <w:r>
              <w:rPr>
                <w:rFonts w:hint="eastAsia"/>
                <w:lang w:eastAsia="zh-CN"/>
              </w:rPr>
              <w:t>属于青山湖区重点管控单元4(环境管控单元编码：ZH36011120004)</w:t>
            </w:r>
            <w:r>
              <w:rPr>
                <w:rFonts w:hint="eastAsia"/>
              </w:rPr>
              <w:t>；该管控单元具体准入要求见下表。</w:t>
            </w:r>
          </w:p>
          <w:p>
            <w:pPr>
              <w:pStyle w:val="yt1"/>
            </w:pPr>
            <w:r>
              <w:rPr>
                <w:rFonts w:hint="eastAsia"/>
              </w:rPr>
              <w:t>项目</w:t>
            </w:r>
            <w:r>
              <w:t>与</w:t>
            </w:r>
            <w:r>
              <w:rPr>
                <w:rFonts w:hint="eastAsia"/>
              </w:rPr>
              <w:t>所在环境综合管控单元</w:t>
            </w:r>
            <w:r>
              <w:t>生态环境准入清单相符性分析表</w:t>
            </w:r>
          </w:p>
          <w:tbl>
            <w:tblPr>
              <w:tblStyle w:val="A00"/>
              <w:tblW w:w="4996" w:type="pct"/>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CellMar>
                <w:top w:w="0" w:type="dxa"/>
                <w:left w:w="0" w:type="dxa"/>
                <w:bottom w:w="0" w:type="dxa"/>
                <w:right w:w="0" w:type="dxa"/>
              </w:tblCellMar>
            </w:tblPr>
            <w:tblGrid>
              <w:gridCol w:w="385"/>
              <w:gridCol w:w="1494"/>
              <w:gridCol w:w="2513"/>
              <w:gridCol w:w="2620"/>
              <w:gridCol w:w="536"/>
            </w:tblGrid>
            <w:tr>
              <w:tblPrEx>
                <w:tblW w:w="4996" w:type="pct"/>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CellMar>
                  <w:top w:w="0" w:type="dxa"/>
                  <w:left w:w="0" w:type="dxa"/>
                  <w:bottom w:w="0" w:type="dxa"/>
                  <w:right w:w="0" w:type="dxa"/>
                </w:tblCellMar>
              </w:tblPrEx>
              <w:trPr>
                <w:trHeight w:val="298"/>
              </w:trPr>
              <w:tc>
                <w:tcPr>
                  <w:tcW w:w="255" w:type="pct"/>
                  <w:tcBorders>
                    <w:tl2br w:val="nil"/>
                    <w:tr2bl w:val="nil"/>
                  </w:tcBorders>
                  <w:vAlign w:val="center"/>
                </w:tcPr>
                <w:p>
                  <w:pPr>
                    <w:pStyle w:val="CXY1"/>
                    <w:bidi w:val="0"/>
                    <w:rPr>
                      <w:rFonts w:hint="default"/>
                      <w:b/>
                      <w:bCs/>
                      <w:lang w:val="en-US" w:eastAsia="zh-CN"/>
                    </w:rPr>
                  </w:pPr>
                  <w:r>
                    <w:rPr>
                      <w:rFonts w:hint="default"/>
                      <w:b/>
                      <w:bCs/>
                      <w:lang w:val="en-US" w:eastAsia="zh-CN"/>
                    </w:rPr>
                    <w:t>维度</w:t>
                  </w:r>
                </w:p>
              </w:tc>
              <w:tc>
                <w:tcPr>
                  <w:tcW w:w="989" w:type="pct"/>
                  <w:tcBorders>
                    <w:tl2br w:val="nil"/>
                    <w:tr2bl w:val="nil"/>
                  </w:tcBorders>
                  <w:vAlign w:val="center"/>
                </w:tcPr>
                <w:p>
                  <w:pPr>
                    <w:pStyle w:val="CXY1"/>
                    <w:bidi w:val="0"/>
                    <w:rPr>
                      <w:rFonts w:hint="default"/>
                      <w:b/>
                      <w:bCs/>
                      <w:lang w:val="en-US" w:eastAsia="zh-CN"/>
                    </w:rPr>
                  </w:pPr>
                  <w:r>
                    <w:rPr>
                      <w:rFonts w:hint="default"/>
                      <w:b/>
                      <w:bCs/>
                      <w:lang w:val="en-US" w:eastAsia="zh-CN"/>
                    </w:rPr>
                    <w:t>清单编制要求</w:t>
                  </w:r>
                </w:p>
              </w:tc>
              <w:tc>
                <w:tcPr>
                  <w:tcW w:w="1663" w:type="pct"/>
                  <w:tcBorders>
                    <w:tl2br w:val="nil"/>
                    <w:tr2bl w:val="nil"/>
                  </w:tcBorders>
                  <w:vAlign w:val="center"/>
                </w:tcPr>
                <w:p>
                  <w:pPr>
                    <w:pStyle w:val="CXY1"/>
                    <w:bidi w:val="0"/>
                    <w:rPr>
                      <w:rFonts w:hint="default"/>
                      <w:b/>
                      <w:bCs/>
                      <w:lang w:val="en-US" w:eastAsia="zh-CN"/>
                    </w:rPr>
                  </w:pPr>
                  <w:r>
                    <w:rPr>
                      <w:rFonts w:hint="default"/>
                      <w:b/>
                      <w:bCs/>
                      <w:lang w:val="en-US" w:eastAsia="zh-CN"/>
                    </w:rPr>
                    <w:t>准入要求</w:t>
                  </w:r>
                </w:p>
              </w:tc>
              <w:tc>
                <w:tcPr>
                  <w:tcW w:w="1735" w:type="pct"/>
                  <w:tcBorders>
                    <w:tl2br w:val="nil"/>
                    <w:tr2bl w:val="nil"/>
                  </w:tcBorders>
                  <w:vAlign w:val="center"/>
                </w:tcPr>
                <w:p>
                  <w:pPr>
                    <w:pStyle w:val="CXY1"/>
                    <w:bidi w:val="0"/>
                    <w:rPr>
                      <w:rFonts w:hint="default"/>
                      <w:b/>
                      <w:bCs/>
                    </w:rPr>
                  </w:pPr>
                  <w:r>
                    <w:rPr>
                      <w:rFonts w:hint="default"/>
                      <w:b/>
                      <w:bCs/>
                      <w:lang w:val="en-US" w:eastAsia="zh-CN"/>
                    </w:rPr>
                    <w:t>本项目</w:t>
                  </w:r>
                </w:p>
              </w:tc>
              <w:tc>
                <w:tcPr>
                  <w:tcW w:w="355" w:type="pct"/>
                  <w:tcBorders>
                    <w:tl2br w:val="nil"/>
                    <w:tr2bl w:val="nil"/>
                  </w:tcBorders>
                  <w:vAlign w:val="center"/>
                </w:tcPr>
                <w:p>
                  <w:pPr>
                    <w:pStyle w:val="CXY1"/>
                    <w:bidi w:val="0"/>
                    <w:rPr>
                      <w:rFonts w:hint="default"/>
                      <w:b/>
                      <w:bCs/>
                      <w:lang w:val="en-US" w:eastAsia="zh-CN"/>
                    </w:rPr>
                  </w:pPr>
                  <w:r>
                    <w:rPr>
                      <w:rFonts w:hint="eastAsia"/>
                      <w:b/>
                      <w:bCs/>
                      <w:lang w:val="en-US" w:eastAsia="zh-CN"/>
                    </w:rPr>
                    <w:t>相符情况</w:t>
                  </w:r>
                </w:p>
              </w:tc>
            </w:tr>
            <w:tr>
              <w:tblPrEx>
                <w:tblW w:w="4996" w:type="pct"/>
                <w:tblInd w:w="0" w:type="dxa"/>
                <w:tblCellMar>
                  <w:top w:w="0" w:type="dxa"/>
                  <w:left w:w="0" w:type="dxa"/>
                  <w:bottom w:w="0" w:type="dxa"/>
                  <w:right w:w="0" w:type="dxa"/>
                </w:tblCellMar>
              </w:tblPrEx>
              <w:trPr>
                <w:trHeight w:val="263"/>
              </w:trPr>
              <w:tc>
                <w:tcPr>
                  <w:tcW w:w="255" w:type="pct"/>
                  <w:vMerge w:val="restart"/>
                  <w:tcBorders>
                    <w:tl2br w:val="nil"/>
                    <w:tr2bl w:val="nil"/>
                  </w:tcBorders>
                  <w:vAlign w:val="center"/>
                </w:tcPr>
                <w:p>
                  <w:pPr>
                    <w:pStyle w:val="CXY1"/>
                    <w:bidi w:val="0"/>
                    <w:rPr>
                      <w:rFonts w:hint="default"/>
                      <w:lang w:val="en-US" w:eastAsia="zh-CN"/>
                    </w:rPr>
                  </w:pPr>
                  <w:r>
                    <w:rPr>
                      <w:rFonts w:hint="default"/>
                      <w:lang w:val="en-US" w:eastAsia="zh-CN"/>
                    </w:rPr>
                    <w:t>空间布局约束</w:t>
                  </w:r>
                </w:p>
              </w:tc>
              <w:tc>
                <w:tcPr>
                  <w:tcW w:w="989" w:type="pct"/>
                  <w:tcBorders>
                    <w:tl2br w:val="nil"/>
                    <w:tr2bl w:val="nil"/>
                  </w:tcBorders>
                  <w:vAlign w:val="center"/>
                </w:tcPr>
                <w:p>
                  <w:pPr>
                    <w:pStyle w:val="CXY1"/>
                    <w:bidi w:val="0"/>
                    <w:rPr>
                      <w:rFonts w:hint="default"/>
                      <w:lang w:val="en-US" w:eastAsia="zh-CN"/>
                    </w:rPr>
                  </w:pPr>
                  <w:r>
                    <w:rPr>
                      <w:rFonts w:hint="default"/>
                      <w:lang w:val="en-US" w:eastAsia="zh-CN"/>
                    </w:rPr>
                    <w:t>允许开发建设活动的要求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w:t>
                  </w:r>
                </w:p>
              </w:tc>
              <w:tc>
                <w:tcPr>
                  <w:tcW w:w="355" w:type="pct"/>
                  <w:tcBorders>
                    <w:tl2br w:val="nil"/>
                    <w:tr2bl w:val="nil"/>
                  </w:tcBorders>
                  <w:vAlign w:val="center"/>
                </w:tcPr>
                <w:p>
                  <w:pPr>
                    <w:pStyle w:val="CXY1"/>
                    <w:bidi w:val="0"/>
                    <w:rPr>
                      <w:rFonts w:hint="default"/>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476"/>
              </w:trPr>
              <w:tc>
                <w:tcPr>
                  <w:tcW w:w="255" w:type="pct"/>
                  <w:vMerge/>
                  <w:tcBorders>
                    <w:tl2br w:val="nil"/>
                    <w:tr2bl w:val="nil"/>
                  </w:tcBorders>
                  <w:vAlign w:val="center"/>
                </w:tcPr>
                <w:p>
                  <w:pPr>
                    <w:pStyle w:val="CXY1"/>
                    <w:bidi w:val="0"/>
                    <w:rPr>
                      <w:rFonts w:hint="default"/>
                      <w:lang w:val="en-US" w:eastAsia="zh-CN"/>
                    </w:rPr>
                  </w:pPr>
                </w:p>
              </w:tc>
              <w:tc>
                <w:tcPr>
                  <w:tcW w:w="989" w:type="pct"/>
                  <w:tcBorders>
                    <w:tl2br w:val="nil"/>
                    <w:tr2bl w:val="nil"/>
                  </w:tcBorders>
                  <w:vAlign w:val="center"/>
                </w:tcPr>
                <w:p>
                  <w:pPr>
                    <w:pStyle w:val="CXY1"/>
                    <w:bidi w:val="0"/>
                    <w:rPr>
                      <w:rFonts w:hint="default"/>
                      <w:lang w:val="en-US" w:eastAsia="zh-CN"/>
                    </w:rPr>
                  </w:pPr>
                  <w:r>
                    <w:rPr>
                      <w:rFonts w:hint="default"/>
                      <w:lang w:val="en-US" w:eastAsia="zh-CN"/>
                    </w:rPr>
                    <w:t>禁止开发建设活动的要求</w:t>
                  </w:r>
                </w:p>
              </w:tc>
              <w:tc>
                <w:tcPr>
                  <w:tcW w:w="1663" w:type="pct"/>
                  <w:tcBorders>
                    <w:tl2br w:val="nil"/>
                    <w:tr2bl w:val="nil"/>
                  </w:tcBorders>
                  <w:vAlign w:val="center"/>
                </w:tcPr>
                <w:p>
                  <w:pPr>
                    <w:pStyle w:val="CXY1"/>
                    <w:bidi w:val="0"/>
                    <w:rPr>
                      <w:rFonts w:hint="default"/>
                      <w:lang w:val="en-US" w:eastAsia="zh-CN"/>
                    </w:rPr>
                  </w:pPr>
                  <w:r>
                    <w:rPr>
                      <w:rFonts w:hint="eastAsia"/>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eastAsia"/>
                      <w:lang w:val="en-US" w:eastAsia="zh-CN"/>
                    </w:rPr>
                    <w:t>/</w:t>
                  </w:r>
                </w:p>
              </w:tc>
              <w:tc>
                <w:tcPr>
                  <w:tcW w:w="355" w:type="pct"/>
                  <w:tcBorders>
                    <w:tl2br w:val="nil"/>
                    <w:tr2bl w:val="nil"/>
                  </w:tcBorders>
                  <w:vAlign w:val="center"/>
                </w:tcPr>
                <w:p>
                  <w:pPr>
                    <w:pStyle w:val="CXY1"/>
                    <w:bidi w:val="0"/>
                    <w:rPr>
                      <w:rFonts w:hint="default"/>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711"/>
              </w:trPr>
              <w:tc>
                <w:tcPr>
                  <w:tcW w:w="255" w:type="pct"/>
                  <w:vMerge/>
                  <w:tcBorders>
                    <w:tl2br w:val="nil"/>
                    <w:tr2bl w:val="nil"/>
                  </w:tcBorders>
                  <w:vAlign w:val="center"/>
                </w:tcPr>
                <w:p>
                  <w:pPr>
                    <w:pStyle w:val="CXY1"/>
                    <w:bidi w:val="0"/>
                    <w:rPr>
                      <w:rFonts w:hint="default"/>
                      <w:lang w:val="en-US" w:eastAsia="zh-CN"/>
                    </w:rPr>
                  </w:pPr>
                </w:p>
              </w:tc>
              <w:tc>
                <w:tcPr>
                  <w:tcW w:w="989" w:type="pct"/>
                  <w:tcBorders>
                    <w:tl2br w:val="nil"/>
                    <w:tr2bl w:val="nil"/>
                  </w:tcBorders>
                  <w:vAlign w:val="center"/>
                </w:tcPr>
                <w:p>
                  <w:pPr>
                    <w:pStyle w:val="CXY1"/>
                    <w:bidi w:val="0"/>
                    <w:rPr>
                      <w:rFonts w:hint="default"/>
                      <w:lang w:val="en-US" w:eastAsia="zh-CN"/>
                    </w:rPr>
                  </w:pPr>
                  <w:r>
                    <w:rPr>
                      <w:rFonts w:hint="default"/>
                      <w:lang w:val="en-US" w:eastAsia="zh-CN"/>
                    </w:rPr>
                    <w:t>限制开发建设活动的要求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1、现有与服装项目配套的印染项目不得擅自扩大规模。2、现有排放废水和废气工业企业项目其污染物排放只降不增。3、不得新建不符合园区主导产业定位的农药(原药生产</w:t>
                  </w:r>
                  <w:r>
                    <w:rPr>
                      <w:rFonts w:hint="eastAsia"/>
                      <w:lang w:val="en-US" w:eastAsia="zh-CN"/>
                    </w:rPr>
                    <w:t>）</w:t>
                  </w:r>
                  <w:r>
                    <w:rPr>
                      <w:rFonts w:hint="default"/>
                      <w:lang w:val="en-US" w:eastAsia="zh-CN"/>
                    </w:rPr>
                    <w:t>、钢铁、焦化、水泥(熟料</w:t>
                  </w:r>
                  <w:r>
                    <w:rPr>
                      <w:rFonts w:hint="eastAsia"/>
                      <w:lang w:val="en-US" w:eastAsia="zh-CN"/>
                    </w:rPr>
                    <w:t>）</w:t>
                  </w:r>
                  <w:r>
                    <w:rPr>
                      <w:rFonts w:hint="default"/>
                      <w:lang w:val="en-US" w:eastAsia="zh-CN"/>
                    </w:rPr>
                    <w:t>、有色金属冶炼等重污染企业。</w:t>
                  </w:r>
                </w:p>
              </w:tc>
              <w:tc>
                <w:tcPr>
                  <w:tcW w:w="1735" w:type="pct"/>
                  <w:tcBorders>
                    <w:tl2br w:val="nil"/>
                    <w:tr2bl w:val="nil"/>
                  </w:tcBorders>
                  <w:vAlign w:val="center"/>
                </w:tcPr>
                <w:p>
                  <w:pPr>
                    <w:pStyle w:val="CXY1"/>
                    <w:bidi w:val="0"/>
                    <w:rPr>
                      <w:rFonts w:hint="default"/>
                      <w:lang w:val="en-US" w:eastAsia="zh-CN"/>
                    </w:rPr>
                  </w:pPr>
                  <w:r>
                    <w:rPr>
                      <w:rFonts w:hint="eastAsia"/>
                      <w:lang w:val="en-US" w:eastAsia="zh-CN"/>
                    </w:rPr>
                    <w:t>本项目为环境检测实验室建设项目，不属于印染、</w:t>
                  </w:r>
                  <w:r>
                    <w:rPr>
                      <w:rFonts w:hint="default"/>
                      <w:lang w:val="en-US" w:eastAsia="zh-CN"/>
                    </w:rPr>
                    <w:t>农药(原药生产</w:t>
                  </w:r>
                  <w:r>
                    <w:rPr>
                      <w:rFonts w:hint="eastAsia"/>
                      <w:lang w:val="en-US" w:eastAsia="zh-CN"/>
                    </w:rPr>
                    <w:t>）</w:t>
                  </w:r>
                  <w:r>
                    <w:rPr>
                      <w:rFonts w:hint="default"/>
                      <w:lang w:val="en-US" w:eastAsia="zh-CN"/>
                    </w:rPr>
                    <w:t>、钢铁、焦化、水泥(熟料</w:t>
                  </w:r>
                  <w:r>
                    <w:rPr>
                      <w:rFonts w:hint="eastAsia"/>
                      <w:lang w:val="en-US" w:eastAsia="zh-CN"/>
                    </w:rPr>
                    <w:t>）</w:t>
                  </w:r>
                  <w:r>
                    <w:rPr>
                      <w:rFonts w:hint="default"/>
                      <w:lang w:val="en-US" w:eastAsia="zh-CN"/>
                    </w:rPr>
                    <w:t>、有色金属冶炼等重污染</w:t>
                  </w:r>
                  <w:r>
                    <w:rPr>
                      <w:rFonts w:hint="eastAsia"/>
                      <w:lang w:val="en-US" w:eastAsia="zh-CN"/>
                    </w:rPr>
                    <w:t>工业企业项目</w:t>
                  </w:r>
                </w:p>
              </w:tc>
              <w:tc>
                <w:tcPr>
                  <w:tcW w:w="355" w:type="pct"/>
                  <w:tcBorders>
                    <w:tl2br w:val="nil"/>
                    <w:tr2bl w:val="nil"/>
                  </w:tcBorders>
                  <w:vAlign w:val="center"/>
                </w:tcPr>
                <w:p>
                  <w:pPr>
                    <w:pStyle w:val="CXY1"/>
                    <w:bidi w:val="0"/>
                    <w:rPr>
                      <w:rFonts w:hint="default"/>
                      <w:lang w:val="en-US" w:eastAsia="zh-CN"/>
                    </w:rPr>
                  </w:pPr>
                  <w:r>
                    <w:rPr>
                      <w:rFonts w:hint="eastAsia"/>
                      <w:lang w:val="en-US" w:eastAsia="zh-CN"/>
                    </w:rPr>
                    <w:t>符合</w:t>
                  </w:r>
                </w:p>
              </w:tc>
            </w:tr>
            <w:tr>
              <w:tblPrEx>
                <w:tblW w:w="4996" w:type="pct"/>
                <w:tblInd w:w="0" w:type="dxa"/>
                <w:tblCellMar>
                  <w:top w:w="0" w:type="dxa"/>
                  <w:left w:w="0" w:type="dxa"/>
                  <w:bottom w:w="0" w:type="dxa"/>
                  <w:right w:w="0" w:type="dxa"/>
                </w:tblCellMar>
              </w:tblPrEx>
              <w:trPr>
                <w:trHeight w:val="476"/>
              </w:trPr>
              <w:tc>
                <w:tcPr>
                  <w:tcW w:w="255" w:type="pct"/>
                  <w:vMerge/>
                  <w:tcBorders>
                    <w:tl2br w:val="nil"/>
                    <w:tr2bl w:val="nil"/>
                  </w:tcBorders>
                  <w:vAlign w:val="center"/>
                </w:tcPr>
                <w:p>
                  <w:pPr>
                    <w:pStyle w:val="CXY1"/>
                    <w:bidi w:val="0"/>
                    <w:rPr>
                      <w:rFonts w:hint="default"/>
                      <w:lang w:val="en-US" w:eastAsia="zh-CN"/>
                    </w:rPr>
                  </w:pPr>
                </w:p>
              </w:tc>
              <w:tc>
                <w:tcPr>
                  <w:tcW w:w="989" w:type="pct"/>
                  <w:tcBorders>
                    <w:tl2br w:val="nil"/>
                    <w:tr2bl w:val="nil"/>
                  </w:tcBorders>
                  <w:vAlign w:val="center"/>
                </w:tcPr>
                <w:p>
                  <w:pPr>
                    <w:pStyle w:val="CXY1"/>
                    <w:bidi w:val="0"/>
                    <w:rPr>
                      <w:rFonts w:hint="default"/>
                      <w:lang w:val="en-US" w:eastAsia="zh-CN"/>
                    </w:rPr>
                  </w:pPr>
                  <w:r>
                    <w:rPr>
                      <w:rFonts w:hint="default"/>
                      <w:lang w:val="en-US" w:eastAsia="zh-CN"/>
                    </w:rPr>
                    <w:t>不符合空间布局要求活动的推出要求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1、现有的化工企业应限期或逐步退出。2、现有能源、环保、安全、技术达不到标准或生产不合格产品或淘汰产能依法依规关停退出。</w:t>
                  </w:r>
                </w:p>
              </w:tc>
              <w:tc>
                <w:tcPr>
                  <w:tcW w:w="1735" w:type="pct"/>
                  <w:tcBorders>
                    <w:tl2br w:val="nil"/>
                    <w:tr2bl w:val="nil"/>
                  </w:tcBorders>
                  <w:vAlign w:val="center"/>
                </w:tcPr>
                <w:p>
                  <w:pPr>
                    <w:pStyle w:val="CXY1"/>
                    <w:bidi w:val="0"/>
                    <w:rPr>
                      <w:rFonts w:hint="default"/>
                      <w:lang w:val="en-US" w:eastAsia="zh-CN"/>
                    </w:rPr>
                  </w:pPr>
                  <w:r>
                    <w:rPr>
                      <w:rFonts w:hint="eastAsia"/>
                      <w:lang w:val="en-US" w:eastAsia="zh-CN"/>
                    </w:rPr>
                    <w:t>本项目不属于</w:t>
                  </w:r>
                  <w:r>
                    <w:rPr>
                      <w:rFonts w:hint="default"/>
                      <w:lang w:val="en-US" w:eastAsia="zh-CN"/>
                    </w:rPr>
                    <w:t>化工企业</w:t>
                  </w:r>
                  <w:r>
                    <w:rPr>
                      <w:rFonts w:hint="eastAsia"/>
                      <w:lang w:val="en-US" w:eastAsia="zh-CN"/>
                    </w:rPr>
                    <w:t>、不属于</w:t>
                  </w:r>
                  <w:r>
                    <w:rPr>
                      <w:rFonts w:hint="default"/>
                      <w:lang w:val="en-US" w:eastAsia="zh-CN"/>
                    </w:rPr>
                    <w:t>能源、环保、安全、技术达不到标准或生产不合格产品或淘汰产能</w:t>
                  </w:r>
                  <w:r>
                    <w:rPr>
                      <w:rFonts w:hint="eastAsia"/>
                      <w:lang w:val="en-US" w:eastAsia="zh-CN"/>
                    </w:rPr>
                    <w:t>项目</w:t>
                  </w:r>
                </w:p>
              </w:tc>
              <w:tc>
                <w:tcPr>
                  <w:tcW w:w="355" w:type="pct"/>
                  <w:tcBorders>
                    <w:tl2br w:val="nil"/>
                    <w:tr2bl w:val="nil"/>
                  </w:tcBorders>
                  <w:vAlign w:val="center"/>
                </w:tcPr>
                <w:p>
                  <w:pPr>
                    <w:pStyle w:val="CXY1"/>
                    <w:bidi w:val="0"/>
                    <w:rPr>
                      <w:rFonts w:hint="default"/>
                      <w:lang w:val="en-US" w:eastAsia="zh-CN"/>
                    </w:rPr>
                  </w:pPr>
                  <w:r>
                    <w:rPr>
                      <w:rFonts w:hint="eastAsia"/>
                      <w:lang w:val="en-US" w:eastAsia="zh-CN"/>
                    </w:rPr>
                    <w:t>符合</w:t>
                  </w:r>
                </w:p>
              </w:tc>
            </w:tr>
            <w:tr>
              <w:tblPrEx>
                <w:tblW w:w="4996" w:type="pct"/>
                <w:tblInd w:w="0" w:type="dxa"/>
                <w:tblCellMar>
                  <w:top w:w="0" w:type="dxa"/>
                  <w:left w:w="0" w:type="dxa"/>
                  <w:bottom w:w="0" w:type="dxa"/>
                  <w:right w:w="0" w:type="dxa"/>
                </w:tblCellMar>
              </w:tblPrEx>
              <w:trPr>
                <w:trHeight w:val="99"/>
              </w:trPr>
              <w:tc>
                <w:tcPr>
                  <w:tcW w:w="255" w:type="pct"/>
                  <w:vMerge w:val="restart"/>
                  <w:tcBorders>
                    <w:tl2br w:val="nil"/>
                    <w:tr2bl w:val="nil"/>
                  </w:tcBorders>
                  <w:vAlign w:val="center"/>
                </w:tcPr>
                <w:p>
                  <w:pPr>
                    <w:pStyle w:val="CXY1"/>
                    <w:bidi w:val="0"/>
                    <w:rPr>
                      <w:rFonts w:hint="default"/>
                      <w:lang w:val="en-US" w:eastAsia="zh-CN"/>
                    </w:rPr>
                  </w:pPr>
                  <w:r>
                    <w:rPr>
                      <w:rFonts w:hint="default"/>
                      <w:lang w:val="en-US" w:eastAsia="zh-CN"/>
                    </w:rPr>
                    <w:t>污染物排放管控</w:t>
                  </w:r>
                </w:p>
              </w:tc>
              <w:tc>
                <w:tcPr>
                  <w:tcW w:w="989" w:type="pct"/>
                  <w:tcBorders>
                    <w:tl2br w:val="nil"/>
                    <w:tr2bl w:val="nil"/>
                  </w:tcBorders>
                  <w:vAlign w:val="center"/>
                </w:tcPr>
                <w:p>
                  <w:pPr>
                    <w:pStyle w:val="CXY1"/>
                    <w:bidi w:val="0"/>
                    <w:rPr>
                      <w:rFonts w:hint="default"/>
                      <w:lang w:val="en-US" w:eastAsia="zh-CN"/>
                    </w:rPr>
                  </w:pPr>
                  <w:r>
                    <w:rPr>
                      <w:rFonts w:hint="default"/>
                      <w:lang w:val="en-US" w:eastAsia="zh-CN"/>
                    </w:rPr>
                    <w:t>现有源升级改造</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现有印染、医药行业其污染</w:t>
                  </w:r>
                </w:p>
                <w:p>
                  <w:pPr>
                    <w:pStyle w:val="CXY1"/>
                    <w:bidi w:val="0"/>
                    <w:rPr>
                      <w:rFonts w:hint="default"/>
                      <w:lang w:val="en-US" w:eastAsia="zh-CN"/>
                    </w:rPr>
                  </w:pPr>
                  <w:r>
                    <w:rPr>
                      <w:rFonts w:hint="default"/>
                      <w:lang w:val="en-US" w:eastAsia="zh-CN"/>
                    </w:rPr>
                    <w:t>物排放应达相应行业标准要求</w:t>
                  </w:r>
                </w:p>
              </w:tc>
              <w:tc>
                <w:tcPr>
                  <w:tcW w:w="1735" w:type="pct"/>
                  <w:tcBorders>
                    <w:tl2br w:val="nil"/>
                    <w:tr2bl w:val="nil"/>
                  </w:tcBorders>
                  <w:vAlign w:val="center"/>
                </w:tcPr>
                <w:p>
                  <w:pPr>
                    <w:pStyle w:val="CXY1"/>
                    <w:bidi w:val="0"/>
                    <w:rPr>
                      <w:rFonts w:hint="default"/>
                      <w:lang w:val="en-US" w:eastAsia="zh-CN"/>
                    </w:rPr>
                  </w:pPr>
                  <w:r>
                    <w:rPr>
                      <w:rFonts w:hint="eastAsia"/>
                      <w:lang w:val="en-US" w:eastAsia="zh-CN"/>
                    </w:rPr>
                    <w:t>项目不属于</w:t>
                  </w:r>
                  <w:r>
                    <w:rPr>
                      <w:rFonts w:hint="default"/>
                      <w:lang w:val="en-US" w:eastAsia="zh-CN"/>
                    </w:rPr>
                    <w:t>印染、医药行业</w:t>
                  </w:r>
                  <w:r>
                    <w:rPr>
                      <w:rFonts w:hint="eastAsia"/>
                      <w:lang w:val="en-US" w:eastAsia="zh-CN"/>
                    </w:rPr>
                    <w:t>，项目污染物将达标排放</w:t>
                  </w:r>
                </w:p>
              </w:tc>
              <w:tc>
                <w:tcPr>
                  <w:tcW w:w="355" w:type="pct"/>
                  <w:tcBorders>
                    <w:tl2br w:val="nil"/>
                    <w:tr2bl w:val="nil"/>
                  </w:tcBorders>
                  <w:vAlign w:val="center"/>
                </w:tcPr>
                <w:p>
                  <w:pPr>
                    <w:pStyle w:val="CXY1"/>
                    <w:bidi w:val="0"/>
                    <w:rPr>
                      <w:rFonts w:hint="default"/>
                      <w:lang w:val="en-US" w:eastAsia="zh-CN"/>
                    </w:rPr>
                  </w:pPr>
                  <w:r>
                    <w:rPr>
                      <w:rFonts w:hint="eastAsia"/>
                      <w:lang w:val="en-US" w:eastAsia="zh-CN"/>
                    </w:rPr>
                    <w:t>符合</w:t>
                  </w:r>
                </w:p>
              </w:tc>
            </w:tr>
            <w:tr>
              <w:tblPrEx>
                <w:tblW w:w="4996" w:type="pct"/>
                <w:tblInd w:w="0" w:type="dxa"/>
                <w:tblCellMar>
                  <w:top w:w="0" w:type="dxa"/>
                  <w:left w:w="0" w:type="dxa"/>
                  <w:bottom w:w="0" w:type="dxa"/>
                  <w:right w:w="0" w:type="dxa"/>
                </w:tblCellMar>
              </w:tblPrEx>
              <w:trPr>
                <w:trHeight w:val="263"/>
              </w:trPr>
              <w:tc>
                <w:tcPr>
                  <w:tcW w:w="255" w:type="pct"/>
                  <w:vMerge/>
                  <w:tcBorders>
                    <w:tl2br w:val="nil"/>
                    <w:tr2bl w:val="nil"/>
                  </w:tcBorders>
                  <w:vAlign w:val="center"/>
                </w:tcPr>
                <w:p>
                  <w:pPr>
                    <w:pStyle w:val="CXY1"/>
                    <w:bidi w:val="0"/>
                    <w:rPr>
                      <w:rFonts w:hint="default"/>
                      <w:lang w:val="en-US" w:eastAsia="zh-CN"/>
                    </w:rPr>
                  </w:pPr>
                </w:p>
              </w:tc>
              <w:tc>
                <w:tcPr>
                  <w:tcW w:w="989" w:type="pct"/>
                  <w:tcBorders>
                    <w:tl2br w:val="nil"/>
                    <w:tr2bl w:val="nil"/>
                  </w:tcBorders>
                  <w:vAlign w:val="center"/>
                </w:tcPr>
                <w:p>
                  <w:pPr>
                    <w:pStyle w:val="CXY1"/>
                    <w:bidi w:val="0"/>
                    <w:rPr>
                      <w:rFonts w:hint="default"/>
                      <w:lang w:val="en-US" w:eastAsia="zh-CN"/>
                    </w:rPr>
                  </w:pPr>
                  <w:r>
                    <w:rPr>
                      <w:rFonts w:hint="default"/>
                      <w:lang w:val="en-US" w:eastAsia="zh-CN"/>
                    </w:rPr>
                    <w:t>新增源等量或</w:t>
                  </w:r>
                  <w:r>
                    <w:rPr>
                      <w:rFonts w:hint="eastAsia"/>
                      <w:lang w:val="en-US" w:eastAsia="zh-CN"/>
                    </w:rPr>
                    <w:t>倍</w:t>
                  </w:r>
                  <w:r>
                    <w:rPr>
                      <w:rFonts w:hint="default"/>
                      <w:lang w:val="en-US" w:eastAsia="zh-CN"/>
                    </w:rPr>
                    <w:t>量替代</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新建项目污染物排放量应实施区域平衡，区域污染物排放总量不增加。</w:t>
                  </w:r>
                </w:p>
              </w:tc>
              <w:tc>
                <w:tcPr>
                  <w:tcW w:w="1735" w:type="pct"/>
                  <w:tcBorders>
                    <w:tl2br w:val="nil"/>
                    <w:tr2bl w:val="nil"/>
                  </w:tcBorders>
                  <w:vAlign w:val="center"/>
                </w:tcPr>
                <w:p>
                  <w:pPr>
                    <w:pStyle w:val="CXY1"/>
                    <w:bidi w:val="0"/>
                    <w:rPr>
                      <w:rFonts w:hint="default"/>
                      <w:lang w:val="en-US" w:eastAsia="zh-CN"/>
                    </w:rPr>
                  </w:pPr>
                  <w:r>
                    <w:rPr>
                      <w:rFonts w:hint="eastAsia"/>
                      <w:lang w:val="en-US" w:eastAsia="zh-CN"/>
                    </w:rPr>
                    <w:t>项目无需额外申请总量</w:t>
                  </w:r>
                </w:p>
              </w:tc>
              <w:tc>
                <w:tcPr>
                  <w:tcW w:w="355" w:type="pct"/>
                  <w:tcBorders>
                    <w:tl2br w:val="nil"/>
                    <w:tr2bl w:val="nil"/>
                  </w:tcBorders>
                  <w:vAlign w:val="center"/>
                </w:tcPr>
                <w:p>
                  <w:pPr>
                    <w:pStyle w:val="CXY1"/>
                    <w:bidi w:val="0"/>
                    <w:rPr>
                      <w:rFonts w:hint="default"/>
                      <w:lang w:val="en-US" w:eastAsia="zh-CN"/>
                    </w:rPr>
                  </w:pPr>
                  <w:r>
                    <w:rPr>
                      <w:rFonts w:hint="eastAsia"/>
                      <w:lang w:val="en-US" w:eastAsia="zh-CN"/>
                    </w:rPr>
                    <w:t>符合</w:t>
                  </w:r>
                </w:p>
              </w:tc>
            </w:tr>
            <w:tr>
              <w:tblPrEx>
                <w:tblW w:w="4996" w:type="pct"/>
                <w:tblInd w:w="0" w:type="dxa"/>
                <w:tblCellMar>
                  <w:top w:w="0" w:type="dxa"/>
                  <w:left w:w="0" w:type="dxa"/>
                  <w:bottom w:w="0" w:type="dxa"/>
                  <w:right w:w="0" w:type="dxa"/>
                </w:tblCellMar>
              </w:tblPrEx>
              <w:trPr>
                <w:trHeight w:val="263"/>
              </w:trPr>
              <w:tc>
                <w:tcPr>
                  <w:tcW w:w="255" w:type="pct"/>
                  <w:vMerge/>
                  <w:tcBorders>
                    <w:tl2br w:val="nil"/>
                    <w:tr2bl w:val="nil"/>
                  </w:tcBorders>
                  <w:vAlign w:val="center"/>
                </w:tcPr>
                <w:p>
                  <w:pPr>
                    <w:pStyle w:val="CXY1"/>
                    <w:bidi w:val="0"/>
                    <w:rPr>
                      <w:rFonts w:hint="default"/>
                      <w:lang w:val="en-US" w:eastAsia="zh-CN"/>
                    </w:rPr>
                  </w:pPr>
                </w:p>
              </w:tc>
              <w:tc>
                <w:tcPr>
                  <w:tcW w:w="989" w:type="pct"/>
                  <w:tcBorders>
                    <w:tl2br w:val="nil"/>
                    <w:tr2bl w:val="nil"/>
                  </w:tcBorders>
                  <w:vAlign w:val="center"/>
                </w:tcPr>
                <w:p>
                  <w:pPr>
                    <w:pStyle w:val="CXY1"/>
                    <w:bidi w:val="0"/>
                    <w:spacing w:after="0"/>
                    <w:rPr>
                      <w:rFonts w:hint="default"/>
                      <w:lang w:val="en-US" w:eastAsia="zh-CN"/>
                    </w:rPr>
                  </w:pPr>
                </w:p>
              </w:tc>
              <w:tc>
                <w:tcPr>
                  <w:tcW w:w="1663" w:type="pct"/>
                  <w:tcBorders>
                    <w:tl2br w:val="nil"/>
                    <w:tr2bl w:val="nil"/>
                  </w:tcBorders>
                  <w:vAlign w:val="center"/>
                </w:tcPr>
                <w:p>
                  <w:pPr>
                    <w:pStyle w:val="CXY1"/>
                    <w:bidi w:val="0"/>
                    <w:rPr>
                      <w:rFonts w:hint="default"/>
                      <w:lang w:val="en-US" w:eastAsia="zh-CN"/>
                    </w:rPr>
                  </w:pPr>
                  <w:r>
                    <w:rPr>
                      <w:rFonts w:hint="eastAsia"/>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eastAsia"/>
                      <w:lang w:val="en-US" w:eastAsia="zh-CN"/>
                    </w:rPr>
                    <w:t>无</w:t>
                  </w:r>
                </w:p>
              </w:tc>
              <w:tc>
                <w:tcPr>
                  <w:tcW w:w="355" w:type="pct"/>
                  <w:tcBorders>
                    <w:tl2br w:val="nil"/>
                    <w:tr2bl w:val="nil"/>
                  </w:tcBorders>
                  <w:vAlign w:val="center"/>
                </w:tcPr>
                <w:p>
                  <w:pPr>
                    <w:pStyle w:val="CXY1"/>
                    <w:bidi w:val="0"/>
                    <w:rPr>
                      <w:rFonts w:hint="default"/>
                      <w:lang w:val="en-US" w:eastAsia="zh-CN"/>
                    </w:rPr>
                  </w:pPr>
                  <w:r>
                    <w:rPr>
                      <w:rFonts w:hint="eastAsia"/>
                      <w:lang w:val="en-US" w:eastAsia="zh-CN"/>
                    </w:rPr>
                    <w:t>符合</w:t>
                  </w:r>
                </w:p>
              </w:tc>
            </w:tr>
          </w:tbl>
          <w:p/>
        </w:tc>
      </w:tr>
    </w:tbl>
    <w:p>
      <w:pPr>
        <w:sectPr>
          <w:footerReference w:type="default" r:id="rId16"/>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9"/>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tbl>
            <w:tblPr>
              <w:tblStyle w:val="A110"/>
              <w:tblW w:w="4996" w:type="pct"/>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CellMar>
                <w:top w:w="0" w:type="dxa"/>
                <w:left w:w="0" w:type="dxa"/>
                <w:bottom w:w="0" w:type="dxa"/>
                <w:right w:w="0" w:type="dxa"/>
              </w:tblCellMar>
            </w:tblPr>
            <w:tblGrid>
              <w:gridCol w:w="385"/>
              <w:gridCol w:w="746"/>
              <w:gridCol w:w="748"/>
              <w:gridCol w:w="2513"/>
              <w:gridCol w:w="2620"/>
              <w:gridCol w:w="536"/>
            </w:tblGrid>
            <w:tr>
              <w:tblPrEx>
                <w:tblW w:w="4996" w:type="pct"/>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CellMar>
                  <w:top w:w="0" w:type="dxa"/>
                  <w:left w:w="0" w:type="dxa"/>
                  <w:bottom w:w="0" w:type="dxa"/>
                  <w:right w:w="0" w:type="dxa"/>
                </w:tblCellMar>
              </w:tblPrEx>
              <w:trPr>
                <w:trHeight w:val="263"/>
              </w:trPr>
              <w:tc>
                <w:tcPr>
                  <w:tcW w:w="255" w:type="pct"/>
                  <w:vMerge w:val="restart"/>
                  <w:tcBorders>
                    <w:tl2br w:val="nil"/>
                    <w:tr2bl w:val="nil"/>
                  </w:tcBorders>
                  <w:vAlign w:val="center"/>
                </w:tcPr>
                <w:p/>
              </w:tc>
              <w:tc>
                <w:tcPr>
                  <w:tcW w:w="989" w:type="pct"/>
                  <w:gridSpan w:val="2"/>
                  <w:tcBorders>
                    <w:tl2br w:val="nil"/>
                    <w:tr2bl w:val="nil"/>
                  </w:tcBorders>
                  <w:vAlign w:val="center"/>
                </w:tcPr>
                <w:p>
                  <w:pPr>
                    <w:pStyle w:val="CXY1"/>
                    <w:bidi w:val="0"/>
                    <w:spacing w:before="0"/>
                    <w:rPr>
                      <w:rFonts w:hint="default"/>
                      <w:lang w:val="en-US" w:eastAsia="zh-CN"/>
                    </w:rPr>
                  </w:pPr>
                  <w:r>
                    <w:rPr>
                      <w:rFonts w:hint="default"/>
                      <w:lang w:val="en-US" w:eastAsia="zh-CN"/>
                    </w:rPr>
                    <w:t>新增源排放标准限值</w:t>
                  </w:r>
                </w:p>
              </w:tc>
              <w:tc>
                <w:tcPr>
                  <w:tcW w:w="1663" w:type="pct"/>
                  <w:tcBorders>
                    <w:tl2br w:val="nil"/>
                    <w:tr2bl w:val="nil"/>
                  </w:tcBorders>
                  <w:vAlign w:val="center"/>
                </w:tcPr>
                <w:p/>
              </w:tc>
              <w:tc>
                <w:tcPr>
                  <w:tcW w:w="1735" w:type="pct"/>
                  <w:tcBorders>
                    <w:tl2br w:val="nil"/>
                    <w:tr2bl w:val="nil"/>
                  </w:tcBorders>
                  <w:vAlign w:val="center"/>
                </w:tcPr>
                <w:p/>
              </w:tc>
              <w:tc>
                <w:tcPr>
                  <w:tcW w:w="355" w:type="pct"/>
                  <w:tcBorders>
                    <w:tl2br w:val="nil"/>
                    <w:tr2bl w:val="nil"/>
                  </w:tcBorders>
                  <w:vAlign w:val="center"/>
                </w:tcPr>
                <w:p/>
              </w:tc>
            </w:tr>
            <w:tr>
              <w:tblPrEx>
                <w:tblW w:w="4996" w:type="pct"/>
                <w:tblInd w:w="0" w:type="dxa"/>
                <w:tblCellMar>
                  <w:top w:w="0" w:type="dxa"/>
                  <w:left w:w="0" w:type="dxa"/>
                  <w:bottom w:w="0" w:type="dxa"/>
                  <w:right w:w="0" w:type="dxa"/>
                </w:tblCellMar>
              </w:tblPrEx>
              <w:trPr>
                <w:trHeight w:val="294"/>
              </w:trPr>
              <w:tc>
                <w:tcPr>
                  <w:tcW w:w="255" w:type="pct"/>
                  <w:vMerge/>
                  <w:tcBorders>
                    <w:tl2br w:val="nil"/>
                    <w:tr2bl w:val="nil"/>
                  </w:tcBorders>
                  <w:vAlign w:val="center"/>
                </w:tcPr>
                <w:p>
                  <w:pPr>
                    <w:pStyle w:val="CXY1"/>
                    <w:bidi w:val="0"/>
                    <w:rPr>
                      <w:rFonts w:hint="default"/>
                      <w:lang w:val="en-US" w:eastAsia="zh-CN"/>
                    </w:rPr>
                  </w:pPr>
                </w:p>
              </w:tc>
              <w:tc>
                <w:tcPr>
                  <w:tcW w:w="989" w:type="pct"/>
                  <w:gridSpan w:val="2"/>
                  <w:tcBorders>
                    <w:tl2br w:val="nil"/>
                    <w:tr2bl w:val="nil"/>
                  </w:tcBorders>
                  <w:vAlign w:val="center"/>
                </w:tcPr>
                <w:p>
                  <w:pPr>
                    <w:pStyle w:val="CXY1"/>
                    <w:bidi w:val="0"/>
                    <w:rPr>
                      <w:rFonts w:hint="default"/>
                      <w:lang w:val="en-US" w:eastAsia="zh-CN"/>
                    </w:rPr>
                  </w:pPr>
                  <w:r>
                    <w:rPr>
                      <w:rFonts w:hint="default"/>
                      <w:lang w:val="en-US" w:eastAsia="zh-CN"/>
                    </w:rPr>
                    <w:t>污染物排放绩效水平准入要求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污染物排放应达到相应行业准入要求和清洁生产标准要。</w:t>
                  </w:r>
                </w:p>
              </w:tc>
              <w:tc>
                <w:tcPr>
                  <w:tcW w:w="1735" w:type="pct"/>
                  <w:tcBorders>
                    <w:tl2br w:val="nil"/>
                    <w:tr2bl w:val="nil"/>
                  </w:tcBorders>
                  <w:vAlign w:val="center"/>
                </w:tcPr>
                <w:p>
                  <w:pPr>
                    <w:pStyle w:val="CXY1"/>
                    <w:bidi w:val="0"/>
                    <w:rPr>
                      <w:rFonts w:hint="default"/>
                      <w:lang w:val="en-US" w:eastAsia="zh-CN"/>
                    </w:rPr>
                  </w:pPr>
                  <w:r>
                    <w:rPr>
                      <w:rFonts w:hint="eastAsia"/>
                      <w:lang w:val="en-US" w:eastAsia="zh-CN"/>
                    </w:rPr>
                    <w:t>项目</w:t>
                  </w:r>
                  <w:r>
                    <w:rPr>
                      <w:rFonts w:hint="default"/>
                      <w:lang w:val="en-US" w:eastAsia="zh-CN"/>
                    </w:rPr>
                    <w:t>污染物</w:t>
                  </w:r>
                  <w:r>
                    <w:rPr>
                      <w:rFonts w:hint="eastAsia"/>
                      <w:lang w:val="en-US" w:eastAsia="zh-CN"/>
                    </w:rPr>
                    <w:t>将达标</w:t>
                  </w:r>
                  <w:r>
                    <w:rPr>
                      <w:rFonts w:hint="default"/>
                      <w:lang w:val="en-US" w:eastAsia="zh-CN"/>
                    </w:rPr>
                    <w:t>排放</w:t>
                  </w:r>
                </w:p>
              </w:tc>
              <w:tc>
                <w:tcPr>
                  <w:tcW w:w="355" w:type="pct"/>
                  <w:tcBorders>
                    <w:tl2br w:val="nil"/>
                    <w:tr2bl w:val="nil"/>
                  </w:tcBorders>
                  <w:vAlign w:val="center"/>
                </w:tcPr>
                <w:p>
                  <w:pPr>
                    <w:pStyle w:val="CXY1"/>
                    <w:bidi w:val="0"/>
                    <w:rPr>
                      <w:rFonts w:hint="default"/>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val="restart"/>
                  <w:tcBorders>
                    <w:tl2br w:val="nil"/>
                    <w:tr2bl w:val="nil"/>
                  </w:tcBorders>
                  <w:vAlign w:val="center"/>
                </w:tcPr>
                <w:p>
                  <w:pPr>
                    <w:pStyle w:val="CXY1"/>
                    <w:bidi w:val="0"/>
                    <w:rPr>
                      <w:rFonts w:hint="default"/>
                      <w:lang w:val="en-US" w:eastAsia="zh-CN"/>
                    </w:rPr>
                  </w:pPr>
                  <w:r>
                    <w:rPr>
                      <w:rFonts w:hint="default"/>
                      <w:lang w:val="en-US" w:eastAsia="zh-CN"/>
                    </w:rPr>
                    <w:t>环境风险防范</w:t>
                  </w:r>
                </w:p>
              </w:tc>
              <w:tc>
                <w:tcPr>
                  <w:tcW w:w="494" w:type="pct"/>
                  <w:vMerge w:val="restart"/>
                  <w:tcBorders>
                    <w:tl2br w:val="nil"/>
                    <w:tr2bl w:val="nil"/>
                  </w:tcBorders>
                  <w:vAlign w:val="center"/>
                </w:tcPr>
                <w:p>
                  <w:pPr>
                    <w:pStyle w:val="CXY1"/>
                    <w:bidi w:val="0"/>
                    <w:rPr>
                      <w:rFonts w:hint="default"/>
                      <w:lang w:val="en-US" w:eastAsia="zh-CN"/>
                    </w:rPr>
                  </w:pPr>
                  <w:r>
                    <w:rPr>
                      <w:rFonts w:hint="default"/>
                      <w:lang w:val="en-US" w:eastAsia="zh-CN"/>
                    </w:rPr>
                    <w:t>用地环境风险防范</w:t>
                  </w:r>
                </w:p>
              </w:tc>
              <w:tc>
                <w:tcPr>
                  <w:tcW w:w="495" w:type="pct"/>
                  <w:tcBorders>
                    <w:tl2br w:val="nil"/>
                    <w:tr2bl w:val="nil"/>
                  </w:tcBorders>
                  <w:vAlign w:val="center"/>
                </w:tcPr>
                <w:p>
                  <w:pPr>
                    <w:pStyle w:val="CXY1"/>
                    <w:bidi w:val="0"/>
                    <w:rPr>
                      <w:rFonts w:hint="default"/>
                      <w:lang w:val="en-US" w:eastAsia="zh-CN"/>
                    </w:rPr>
                  </w:pPr>
                  <w:r>
                    <w:rPr>
                      <w:rFonts w:hint="default"/>
                      <w:lang w:val="en-US" w:eastAsia="zh-CN"/>
                    </w:rPr>
                    <w:t>严格管控类农用地环境风险防控要求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tcBorders>
                    <w:tl2br w:val="nil"/>
                    <w:tr2bl w:val="nil"/>
                  </w:tcBorders>
                  <w:vAlign w:val="center"/>
                </w:tcPr>
                <w:p>
                  <w:pPr>
                    <w:pStyle w:val="CXY1"/>
                    <w:bidi w:val="0"/>
                    <w:rPr>
                      <w:rFonts w:hint="default"/>
                      <w:lang w:val="en-US" w:eastAsia="zh-CN"/>
                    </w:rPr>
                  </w:pPr>
                </w:p>
              </w:tc>
              <w:tc>
                <w:tcPr>
                  <w:tcW w:w="494" w:type="pct"/>
                  <w:vMerge/>
                  <w:tcBorders>
                    <w:tl2br w:val="nil"/>
                    <w:tr2bl w:val="nil"/>
                  </w:tcBorders>
                  <w:vAlign w:val="center"/>
                </w:tcPr>
                <w:p>
                  <w:pPr>
                    <w:pStyle w:val="CXY1"/>
                    <w:bidi w:val="0"/>
                    <w:rPr>
                      <w:rFonts w:hint="default"/>
                      <w:lang w:val="en-US" w:eastAsia="zh-CN"/>
                    </w:rPr>
                  </w:pPr>
                </w:p>
              </w:tc>
              <w:tc>
                <w:tcPr>
                  <w:tcW w:w="495" w:type="pct"/>
                  <w:tcBorders>
                    <w:tl2br w:val="nil"/>
                    <w:tr2bl w:val="nil"/>
                  </w:tcBorders>
                  <w:vAlign w:val="center"/>
                </w:tcPr>
                <w:p>
                  <w:pPr>
                    <w:pStyle w:val="CXY1"/>
                    <w:bidi w:val="0"/>
                    <w:rPr>
                      <w:rFonts w:hint="default"/>
                      <w:lang w:val="en-US" w:eastAsia="zh-CN"/>
                    </w:rPr>
                  </w:pPr>
                  <w:r>
                    <w:rPr>
                      <w:rFonts w:hint="default"/>
                      <w:lang w:val="en-US" w:eastAsia="zh-CN"/>
                    </w:rPr>
                    <w:t>安全利用类农用地环境风险防控要求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tcBorders>
                    <w:tl2br w:val="nil"/>
                    <w:tr2bl w:val="nil"/>
                  </w:tcBorders>
                  <w:vAlign w:val="center"/>
                </w:tcPr>
                <w:p>
                  <w:pPr>
                    <w:pStyle w:val="CXY1"/>
                    <w:bidi w:val="0"/>
                    <w:rPr>
                      <w:rFonts w:hint="default"/>
                      <w:lang w:val="en-US" w:eastAsia="zh-CN"/>
                    </w:rPr>
                  </w:pPr>
                </w:p>
              </w:tc>
              <w:tc>
                <w:tcPr>
                  <w:tcW w:w="494" w:type="pct"/>
                  <w:vMerge/>
                  <w:tcBorders>
                    <w:tl2br w:val="nil"/>
                    <w:tr2bl w:val="nil"/>
                  </w:tcBorders>
                  <w:vAlign w:val="center"/>
                </w:tcPr>
                <w:p>
                  <w:pPr>
                    <w:pStyle w:val="CXY1"/>
                    <w:bidi w:val="0"/>
                    <w:rPr>
                      <w:rFonts w:hint="default"/>
                      <w:lang w:val="en-US" w:eastAsia="zh-CN"/>
                    </w:rPr>
                  </w:pPr>
                </w:p>
              </w:tc>
              <w:tc>
                <w:tcPr>
                  <w:tcW w:w="495" w:type="pct"/>
                  <w:tcBorders>
                    <w:tl2br w:val="nil"/>
                    <w:tr2bl w:val="nil"/>
                  </w:tcBorders>
                  <w:vAlign w:val="center"/>
                </w:tcPr>
                <w:p>
                  <w:pPr>
                    <w:pStyle w:val="CXY1"/>
                    <w:bidi w:val="0"/>
                    <w:rPr>
                      <w:rFonts w:hint="eastAsia"/>
                      <w:lang w:val="en-US" w:eastAsia="zh-CN"/>
                    </w:rPr>
                  </w:pPr>
                  <w:r>
                    <w:rPr>
                      <w:lang w:val="en-US" w:eastAsia="zh-CN"/>
                    </w:rPr>
                    <w:t>污染地块</w:t>
                  </w:r>
                  <w:r>
                    <w:rPr>
                      <w:rFonts w:hint="eastAsia"/>
                      <w:lang w:val="en-US" w:eastAsia="zh-CN"/>
                    </w:rPr>
                    <w:t>（建设用地）环境风险防控要求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tcBorders>
                    <w:tl2br w:val="nil"/>
                    <w:tr2bl w:val="nil"/>
                  </w:tcBorders>
                  <w:vAlign w:val="center"/>
                </w:tcPr>
                <w:p>
                  <w:pPr>
                    <w:pStyle w:val="CXY1"/>
                    <w:bidi w:val="0"/>
                    <w:rPr>
                      <w:rFonts w:hint="default"/>
                      <w:lang w:val="en-US" w:eastAsia="zh-CN"/>
                    </w:rPr>
                  </w:pPr>
                </w:p>
              </w:tc>
              <w:tc>
                <w:tcPr>
                  <w:tcW w:w="494" w:type="pct"/>
                  <w:vMerge w:val="restart"/>
                  <w:tcBorders>
                    <w:tl2br w:val="nil"/>
                    <w:tr2bl w:val="nil"/>
                  </w:tcBorders>
                  <w:vAlign w:val="center"/>
                </w:tcPr>
                <w:p>
                  <w:pPr>
                    <w:pStyle w:val="CXY1"/>
                    <w:bidi w:val="0"/>
                    <w:rPr>
                      <w:rFonts w:hint="default"/>
                      <w:lang w:val="en-US" w:eastAsia="zh-CN"/>
                    </w:rPr>
                  </w:pPr>
                  <w:r>
                    <w:rPr>
                      <w:rFonts w:hint="default"/>
                      <w:lang w:val="en-US" w:eastAsia="zh-CN"/>
                    </w:rPr>
                    <w:t>园区环境风险防控要求</w:t>
                  </w:r>
                </w:p>
              </w:tc>
              <w:tc>
                <w:tcPr>
                  <w:tcW w:w="495" w:type="pct"/>
                  <w:tcBorders>
                    <w:tl2br w:val="nil"/>
                    <w:tr2bl w:val="nil"/>
                  </w:tcBorders>
                  <w:vAlign w:val="center"/>
                </w:tcPr>
                <w:p>
                  <w:pPr>
                    <w:pStyle w:val="CXY1"/>
                    <w:bidi w:val="0"/>
                    <w:rPr>
                      <w:rFonts w:hint="eastAsia"/>
                      <w:lang w:val="en-US" w:eastAsia="zh-CN"/>
                    </w:rPr>
                  </w:pPr>
                  <w:r>
                    <w:rPr>
                      <w:lang w:val="en-US" w:eastAsia="zh-CN"/>
                    </w:rPr>
                    <w:t>园区敏感点</w:t>
                  </w:r>
                  <w:r>
                    <w:rPr>
                      <w:rFonts w:hint="eastAsia"/>
                      <w:lang w:val="en-US" w:eastAsia="zh-CN"/>
                    </w:rPr>
                    <w:t>风险准入类防控要求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tcBorders>
                    <w:tl2br w:val="nil"/>
                    <w:tr2bl w:val="nil"/>
                  </w:tcBorders>
                  <w:vAlign w:val="center"/>
                </w:tcPr>
                <w:p>
                  <w:pPr>
                    <w:pStyle w:val="CXY1"/>
                    <w:bidi w:val="0"/>
                    <w:rPr>
                      <w:rFonts w:hint="default"/>
                      <w:lang w:val="en-US" w:eastAsia="zh-CN"/>
                    </w:rPr>
                  </w:pPr>
                </w:p>
              </w:tc>
              <w:tc>
                <w:tcPr>
                  <w:tcW w:w="494" w:type="pct"/>
                  <w:vMerge/>
                  <w:tcBorders>
                    <w:tl2br w:val="nil"/>
                    <w:tr2bl w:val="nil"/>
                  </w:tcBorders>
                  <w:vAlign w:val="center"/>
                </w:tcPr>
                <w:p>
                  <w:pPr>
                    <w:pStyle w:val="CXY1"/>
                    <w:bidi w:val="0"/>
                    <w:rPr>
                      <w:rFonts w:hint="default"/>
                      <w:lang w:val="en-US" w:eastAsia="zh-CN"/>
                    </w:rPr>
                  </w:pPr>
                </w:p>
              </w:tc>
              <w:tc>
                <w:tcPr>
                  <w:tcW w:w="495" w:type="pct"/>
                  <w:tcBorders>
                    <w:tl2br w:val="nil"/>
                    <w:tr2bl w:val="nil"/>
                  </w:tcBorders>
                  <w:vAlign w:val="center"/>
                </w:tcPr>
                <w:p>
                  <w:pPr>
                    <w:pStyle w:val="CXY1"/>
                    <w:bidi w:val="0"/>
                    <w:rPr>
                      <w:rFonts w:hint="eastAsia"/>
                      <w:lang w:val="en-US" w:eastAsia="zh-CN"/>
                    </w:rPr>
                  </w:pPr>
                  <w:r>
                    <w:rPr>
                      <w:lang w:val="en-US" w:eastAsia="zh-CN"/>
                    </w:rPr>
                    <w:t>园区风险防控</w:t>
                  </w:r>
                  <w:r>
                    <w:rPr>
                      <w:rFonts w:hint="eastAsia"/>
                      <w:lang w:val="en-US" w:eastAsia="zh-CN"/>
                    </w:rPr>
                    <w:t>体系要求</w:t>
                  </w:r>
                </w:p>
              </w:tc>
              <w:tc>
                <w:tcPr>
                  <w:tcW w:w="1663" w:type="pct"/>
                  <w:tcBorders>
                    <w:tl2br w:val="nil"/>
                    <w:tr2bl w:val="nil"/>
                  </w:tcBorders>
                  <w:vAlign w:val="center"/>
                </w:tcPr>
                <w:p>
                  <w:pPr>
                    <w:pStyle w:val="CXY1"/>
                    <w:bidi w:val="0"/>
                    <w:rPr>
                      <w:rFonts w:hint="eastAsia"/>
                      <w:lang w:val="en-US" w:eastAsia="zh-CN"/>
                    </w:rPr>
                  </w:pPr>
                  <w:r>
                    <w:rPr>
                      <w:rFonts w:hint="eastAsia"/>
                      <w:lang w:val="en-US" w:eastAsia="zh-CN"/>
                    </w:rPr>
                    <w:t>园区应建立具科学性、实效性和可操作性的风险应急预案和环境风险防控体系。</w:t>
                  </w:r>
                </w:p>
              </w:tc>
              <w:tc>
                <w:tcPr>
                  <w:tcW w:w="1735" w:type="pct"/>
                  <w:tcBorders>
                    <w:tl2br w:val="nil"/>
                    <w:tr2bl w:val="nil"/>
                  </w:tcBorders>
                  <w:vAlign w:val="center"/>
                </w:tcPr>
                <w:p>
                  <w:pPr>
                    <w:pStyle w:val="CXY1"/>
                    <w:bidi w:val="0"/>
                    <w:rPr>
                      <w:rFonts w:hint="default"/>
                      <w:lang w:val="en-US" w:eastAsia="zh-CN"/>
                    </w:rPr>
                  </w:pPr>
                  <w:r>
                    <w:rPr>
                      <w:rFonts w:hint="eastAsia"/>
                      <w:lang w:val="en-US" w:eastAsia="zh-CN"/>
                    </w:rPr>
                    <w:t>不涉及</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tcBorders>
                    <w:tl2br w:val="nil"/>
                    <w:tr2bl w:val="nil"/>
                  </w:tcBorders>
                  <w:vAlign w:val="center"/>
                </w:tcPr>
                <w:p>
                  <w:pPr>
                    <w:pStyle w:val="CXY1"/>
                    <w:bidi w:val="0"/>
                    <w:rPr>
                      <w:rFonts w:hint="default"/>
                      <w:lang w:val="en-US" w:eastAsia="zh-CN"/>
                    </w:rPr>
                  </w:pPr>
                </w:p>
              </w:tc>
              <w:tc>
                <w:tcPr>
                  <w:tcW w:w="494" w:type="pct"/>
                  <w:vMerge w:val="restart"/>
                  <w:tcBorders>
                    <w:tl2br w:val="nil"/>
                    <w:tr2bl w:val="nil"/>
                  </w:tcBorders>
                  <w:vAlign w:val="center"/>
                </w:tcPr>
                <w:p>
                  <w:pPr>
                    <w:pStyle w:val="CXY1"/>
                    <w:bidi w:val="0"/>
                    <w:rPr>
                      <w:rFonts w:hint="default"/>
                      <w:lang w:val="en-US" w:eastAsia="zh-CN"/>
                    </w:rPr>
                  </w:pPr>
                  <w:r>
                    <w:rPr>
                      <w:rFonts w:hint="default"/>
                      <w:lang w:val="en-US" w:eastAsia="zh-CN"/>
                    </w:rPr>
                    <w:t>企业环境风险防控要求</w:t>
                  </w:r>
                </w:p>
              </w:tc>
              <w:tc>
                <w:tcPr>
                  <w:tcW w:w="495" w:type="pct"/>
                  <w:tcBorders>
                    <w:tl2br w:val="nil"/>
                    <w:tr2bl w:val="nil"/>
                  </w:tcBorders>
                  <w:vAlign w:val="center"/>
                </w:tcPr>
                <w:p>
                  <w:pPr>
                    <w:pStyle w:val="CXY1"/>
                    <w:bidi w:val="0"/>
                    <w:rPr>
                      <w:rFonts w:hint="eastAsia"/>
                      <w:lang w:val="en-US" w:eastAsia="zh-CN"/>
                    </w:rPr>
                  </w:pPr>
                  <w:r>
                    <w:rPr>
                      <w:lang w:val="en-US" w:eastAsia="zh-CN"/>
                    </w:rPr>
                    <w:t>企业风险防控</w:t>
                  </w:r>
                  <w:r>
                    <w:rPr>
                      <w:rFonts w:hint="eastAsia"/>
                      <w:lang w:val="en-US" w:eastAsia="zh-CN"/>
                    </w:rPr>
                    <w:t>配套措施</w:t>
                  </w:r>
                </w:p>
              </w:tc>
              <w:tc>
                <w:tcPr>
                  <w:tcW w:w="1663" w:type="pct"/>
                  <w:tcBorders>
                    <w:tl2br w:val="nil"/>
                    <w:tr2bl w:val="nil"/>
                  </w:tcBorders>
                  <w:vAlign w:val="center"/>
                </w:tcPr>
                <w:p>
                  <w:pPr>
                    <w:pStyle w:val="CXY1"/>
                    <w:bidi w:val="0"/>
                    <w:rPr>
                      <w:rFonts w:hint="eastAsia"/>
                      <w:lang w:val="en-US" w:eastAsia="zh-CN"/>
                    </w:rPr>
                  </w:pPr>
                  <w:r>
                    <w:rPr>
                      <w:rFonts w:hint="eastAsia"/>
                      <w:lang w:val="en-US" w:eastAsia="zh-CN"/>
                    </w:rPr>
                    <w:t>生产、存储危险化学品及产生大量废水的印染、医药企业，应配套有效措施，防止因渗漏污染地下水、土壤，以及因事故废水直排污染地表水体。</w:t>
                  </w:r>
                </w:p>
              </w:tc>
              <w:tc>
                <w:tcPr>
                  <w:tcW w:w="1735" w:type="pct"/>
                  <w:tcBorders>
                    <w:tl2br w:val="nil"/>
                    <w:tr2bl w:val="nil"/>
                  </w:tcBorders>
                  <w:vAlign w:val="center"/>
                </w:tcPr>
                <w:p>
                  <w:pPr>
                    <w:pStyle w:val="CXY1"/>
                    <w:bidi w:val="0"/>
                    <w:rPr>
                      <w:rFonts w:hint="default"/>
                      <w:lang w:val="en-US" w:eastAsia="zh-CN"/>
                    </w:rPr>
                  </w:pPr>
                  <w:r>
                    <w:rPr>
                      <w:rFonts w:hint="eastAsia"/>
                      <w:lang w:val="en-US" w:eastAsia="zh-CN"/>
                    </w:rPr>
                    <w:t>项目不属于印染、医药企业，同时项目将按要求建设危废暂存间</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tcBorders>
                    <w:tl2br w:val="nil"/>
                    <w:tr2bl w:val="nil"/>
                  </w:tcBorders>
                  <w:vAlign w:val="center"/>
                </w:tcPr>
                <w:p>
                  <w:pPr>
                    <w:pStyle w:val="CXY1"/>
                    <w:bidi w:val="0"/>
                    <w:rPr>
                      <w:rFonts w:hint="default"/>
                      <w:lang w:val="en-US" w:eastAsia="zh-CN"/>
                    </w:rPr>
                  </w:pPr>
                </w:p>
              </w:tc>
              <w:tc>
                <w:tcPr>
                  <w:tcW w:w="494" w:type="pct"/>
                  <w:vMerge/>
                  <w:tcBorders>
                    <w:tl2br w:val="nil"/>
                    <w:tr2bl w:val="nil"/>
                  </w:tcBorders>
                  <w:vAlign w:val="center"/>
                </w:tcPr>
                <w:p>
                  <w:pPr>
                    <w:pStyle w:val="CXY1"/>
                    <w:bidi w:val="0"/>
                    <w:rPr>
                      <w:rFonts w:hint="default"/>
                      <w:lang w:val="en-US" w:eastAsia="zh-CN"/>
                    </w:rPr>
                  </w:pPr>
                </w:p>
              </w:tc>
              <w:tc>
                <w:tcPr>
                  <w:tcW w:w="495" w:type="pct"/>
                  <w:tcBorders>
                    <w:tl2br w:val="nil"/>
                    <w:tr2bl w:val="nil"/>
                  </w:tcBorders>
                  <w:vAlign w:val="center"/>
                </w:tcPr>
                <w:p>
                  <w:pPr>
                    <w:pStyle w:val="CXY1"/>
                    <w:bidi w:val="0"/>
                    <w:rPr>
                      <w:rFonts w:hint="eastAsia"/>
                      <w:lang w:val="en-US" w:eastAsia="zh-CN"/>
                    </w:rPr>
                  </w:pPr>
                  <w:r>
                    <w:rPr>
                      <w:lang w:val="en-US" w:eastAsia="zh-CN"/>
                    </w:rPr>
                    <w:t>企业生产过程风</w:t>
                  </w:r>
                  <w:r>
                    <w:rPr>
                      <w:rFonts w:hint="eastAsia"/>
                      <w:lang w:val="en-US" w:eastAsia="zh-CN"/>
                    </w:rPr>
                    <w:t>险防控要求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val="restart"/>
                  <w:tcBorders>
                    <w:tl2br w:val="nil"/>
                    <w:tr2bl w:val="nil"/>
                  </w:tcBorders>
                  <w:vAlign w:val="center"/>
                </w:tcPr>
                <w:p>
                  <w:pPr>
                    <w:pStyle w:val="CXY1"/>
                    <w:bidi w:val="0"/>
                    <w:rPr>
                      <w:rFonts w:hint="default"/>
                      <w:lang w:val="en-US" w:eastAsia="zh-CN"/>
                    </w:rPr>
                  </w:pPr>
                  <w:r>
                    <w:rPr>
                      <w:rFonts w:hint="default"/>
                      <w:lang w:val="en-US" w:eastAsia="zh-CN"/>
                    </w:rPr>
                    <w:t>资源利用效率要求</w:t>
                  </w:r>
                </w:p>
              </w:tc>
              <w:tc>
                <w:tcPr>
                  <w:tcW w:w="494" w:type="pct"/>
                  <w:vMerge w:val="restart"/>
                  <w:tcBorders>
                    <w:tl2br w:val="nil"/>
                    <w:tr2bl w:val="nil"/>
                  </w:tcBorders>
                  <w:vAlign w:val="center"/>
                </w:tcPr>
                <w:p>
                  <w:pPr>
                    <w:pStyle w:val="CXY1"/>
                    <w:bidi w:val="0"/>
                    <w:rPr>
                      <w:rFonts w:hint="default"/>
                      <w:lang w:val="en-US" w:eastAsia="zh-CN"/>
                    </w:rPr>
                  </w:pPr>
                  <w:r>
                    <w:rPr>
                      <w:rFonts w:hint="default"/>
                      <w:lang w:val="en-US" w:eastAsia="zh-CN"/>
                    </w:rPr>
                    <w:t>水资源利用效率要求</w:t>
                  </w:r>
                </w:p>
              </w:tc>
              <w:tc>
                <w:tcPr>
                  <w:tcW w:w="495" w:type="pct"/>
                  <w:tcBorders>
                    <w:tl2br w:val="nil"/>
                    <w:tr2bl w:val="nil"/>
                  </w:tcBorders>
                  <w:vAlign w:val="center"/>
                </w:tcPr>
                <w:p>
                  <w:pPr>
                    <w:pStyle w:val="CXY1"/>
                    <w:bidi w:val="0"/>
                    <w:rPr>
                      <w:rFonts w:hint="eastAsia"/>
                      <w:lang w:val="en-US" w:eastAsia="zh-CN"/>
                    </w:rPr>
                  </w:pPr>
                  <w:r>
                    <w:rPr>
                      <w:lang w:val="en-US" w:eastAsia="zh-CN"/>
                    </w:rPr>
                    <w:t>水资源重</w:t>
                  </w:r>
                  <w:r>
                    <w:rPr>
                      <w:rFonts w:hint="eastAsia"/>
                      <w:lang w:val="en-US" w:eastAsia="zh-CN"/>
                    </w:rPr>
                    <w:t>复利用率要求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tcBorders>
                    <w:tl2br w:val="nil"/>
                    <w:tr2bl w:val="nil"/>
                  </w:tcBorders>
                  <w:vAlign w:val="center"/>
                </w:tcPr>
                <w:p>
                  <w:pPr>
                    <w:pStyle w:val="CXY1"/>
                    <w:bidi w:val="0"/>
                    <w:rPr>
                      <w:rFonts w:hint="default"/>
                      <w:lang w:val="en-US" w:eastAsia="zh-CN"/>
                    </w:rPr>
                  </w:pPr>
                </w:p>
              </w:tc>
              <w:tc>
                <w:tcPr>
                  <w:tcW w:w="494" w:type="pct"/>
                  <w:vMerge/>
                  <w:tcBorders>
                    <w:tl2br w:val="nil"/>
                    <w:tr2bl w:val="nil"/>
                  </w:tcBorders>
                  <w:vAlign w:val="center"/>
                </w:tcPr>
                <w:p>
                  <w:pPr>
                    <w:pStyle w:val="CXY1"/>
                    <w:bidi w:val="0"/>
                    <w:rPr>
                      <w:rFonts w:hint="default"/>
                      <w:lang w:val="en-US" w:eastAsia="zh-CN"/>
                    </w:rPr>
                  </w:pPr>
                </w:p>
              </w:tc>
              <w:tc>
                <w:tcPr>
                  <w:tcW w:w="495" w:type="pct"/>
                  <w:tcBorders>
                    <w:tl2br w:val="nil"/>
                    <w:tr2bl w:val="nil"/>
                  </w:tcBorders>
                  <w:vAlign w:val="center"/>
                </w:tcPr>
                <w:p>
                  <w:pPr>
                    <w:pStyle w:val="CXY1"/>
                    <w:bidi w:val="0"/>
                    <w:rPr>
                      <w:rFonts w:hint="eastAsia"/>
                      <w:lang w:val="en-US" w:eastAsia="zh-CN"/>
                    </w:rPr>
                  </w:pPr>
                  <w:r>
                    <w:rPr>
                      <w:lang w:val="en-US" w:eastAsia="zh-CN"/>
                    </w:rPr>
                    <w:t>水资源利</w:t>
                  </w:r>
                  <w:r>
                    <w:rPr>
                      <w:rFonts w:hint="eastAsia"/>
                      <w:lang w:val="en-US" w:eastAsia="zh-CN"/>
                    </w:rPr>
                    <w:t>用效率和强度要求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eastAsia"/>
                      <w:lang w:val="en-US" w:eastAsia="zh-CN"/>
                    </w:rPr>
                    <w:t>无</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tcBorders>
                    <w:tl2br w:val="nil"/>
                    <w:tr2bl w:val="nil"/>
                  </w:tcBorders>
                  <w:vAlign w:val="center"/>
                </w:tcPr>
                <w:p>
                  <w:pPr>
                    <w:pStyle w:val="CXY1"/>
                    <w:bidi w:val="0"/>
                    <w:rPr>
                      <w:rFonts w:hint="default"/>
                      <w:lang w:val="en-US" w:eastAsia="zh-CN"/>
                    </w:rPr>
                  </w:pPr>
                </w:p>
              </w:tc>
              <w:tc>
                <w:tcPr>
                  <w:tcW w:w="494" w:type="pct"/>
                  <w:tcBorders>
                    <w:tl2br w:val="nil"/>
                    <w:tr2bl w:val="nil"/>
                  </w:tcBorders>
                  <w:vAlign w:val="center"/>
                </w:tcPr>
                <w:p>
                  <w:pPr>
                    <w:pStyle w:val="CXY1"/>
                    <w:bidi w:val="0"/>
                    <w:rPr>
                      <w:rFonts w:hint="default"/>
                      <w:lang w:val="en-US" w:eastAsia="zh-CN"/>
                    </w:rPr>
                  </w:pPr>
                  <w:r>
                    <w:rPr>
                      <w:rFonts w:hint="default"/>
                      <w:lang w:val="en-US" w:eastAsia="zh-CN"/>
                    </w:rPr>
                    <w:t>地下水开采要求</w:t>
                  </w:r>
                </w:p>
              </w:tc>
              <w:tc>
                <w:tcPr>
                  <w:tcW w:w="495" w:type="pct"/>
                  <w:tcBorders>
                    <w:tl2br w:val="nil"/>
                    <w:tr2bl w:val="nil"/>
                  </w:tcBorders>
                  <w:vAlign w:val="center"/>
                </w:tcPr>
                <w:p>
                  <w:pPr>
                    <w:pStyle w:val="CXY1"/>
                    <w:bidi w:val="0"/>
                    <w:rPr>
                      <w:rFonts w:hint="eastAsia"/>
                      <w:lang w:val="en-US" w:eastAsia="zh-CN"/>
                    </w:rPr>
                  </w:pPr>
                  <w:r>
                    <w:rPr>
                      <w:lang w:val="en-US" w:eastAsia="zh-CN"/>
                    </w:rPr>
                    <w:t>地下水</w:t>
                  </w:r>
                  <w:r>
                    <w:rPr>
                      <w:rFonts w:hint="eastAsia"/>
                      <w:lang w:val="en-US" w:eastAsia="zh-CN"/>
                    </w:rPr>
                    <w:t>禁采要求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bl>
          <w:p/>
        </w:tc>
      </w:tr>
    </w:tbl>
    <w:p>
      <w:pPr>
        <w:sectPr>
          <w:footerReference w:type="default" r:id="rId17"/>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10"/>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tbl>
            <w:tblPr>
              <w:tblStyle w:val="A210"/>
              <w:tblW w:w="4996" w:type="pct"/>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CellMar>
                <w:top w:w="0" w:type="dxa"/>
                <w:left w:w="0" w:type="dxa"/>
                <w:bottom w:w="0" w:type="dxa"/>
                <w:right w:w="0" w:type="dxa"/>
              </w:tblCellMar>
            </w:tblPr>
            <w:tblGrid>
              <w:gridCol w:w="385"/>
              <w:gridCol w:w="746"/>
              <w:gridCol w:w="748"/>
              <w:gridCol w:w="2513"/>
              <w:gridCol w:w="2620"/>
              <w:gridCol w:w="536"/>
            </w:tblGrid>
            <w:tr>
              <w:tblPrEx>
                <w:tblW w:w="4996" w:type="pct"/>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CellMar>
                  <w:top w:w="0" w:type="dxa"/>
                  <w:left w:w="0" w:type="dxa"/>
                  <w:bottom w:w="0" w:type="dxa"/>
                  <w:right w:w="0" w:type="dxa"/>
                </w:tblCellMar>
              </w:tblPrEx>
              <w:trPr>
                <w:trHeight w:val="294"/>
              </w:trPr>
              <w:tc>
                <w:tcPr>
                  <w:tcW w:w="255" w:type="pct"/>
                  <w:vMerge w:val="restart"/>
                  <w:tcBorders>
                    <w:tl2br w:val="nil"/>
                    <w:tr2bl w:val="nil"/>
                  </w:tcBorders>
                  <w:vAlign w:val="center"/>
                </w:tcPr>
                <w:p>
                  <w:pPr>
                    <w:pStyle w:val="CXY1"/>
                    <w:bidi w:val="0"/>
                    <w:rPr>
                      <w:rFonts w:hint="default"/>
                      <w:lang w:val="en-US" w:eastAsia="zh-CN"/>
                    </w:rPr>
                  </w:pPr>
                </w:p>
              </w:tc>
              <w:tc>
                <w:tcPr>
                  <w:tcW w:w="494" w:type="pct"/>
                  <w:tcBorders>
                    <w:tl2br w:val="nil"/>
                    <w:tr2bl w:val="nil"/>
                  </w:tcBorders>
                  <w:vAlign w:val="center"/>
                </w:tcPr>
                <w:p>
                  <w:pPr>
                    <w:pStyle w:val="CXY1"/>
                    <w:bidi w:val="0"/>
                    <w:rPr>
                      <w:rFonts w:hint="default"/>
                      <w:lang w:val="en-US" w:eastAsia="zh-CN"/>
                    </w:rPr>
                  </w:pPr>
                </w:p>
              </w:tc>
              <w:tc>
                <w:tcPr>
                  <w:tcW w:w="495" w:type="pct"/>
                  <w:tcBorders>
                    <w:tl2br w:val="nil"/>
                    <w:tr2bl w:val="nil"/>
                  </w:tcBorders>
                  <w:vAlign w:val="center"/>
                </w:tcPr>
                <w:p>
                  <w:pPr>
                    <w:pStyle w:val="CXY1"/>
                    <w:bidi w:val="0"/>
                    <w:rPr>
                      <w:rFonts w:hint="eastAsia"/>
                      <w:lang w:val="en-US" w:eastAsia="zh-CN"/>
                    </w:rPr>
                  </w:pPr>
                  <w:r>
                    <w:rPr>
                      <w:lang w:val="en-US" w:eastAsia="zh-CN"/>
                    </w:rPr>
                    <w:t>地下水</w:t>
                  </w:r>
                  <w:r>
                    <w:rPr>
                      <w:rFonts w:hint="eastAsia"/>
                      <w:lang w:val="en-US" w:eastAsia="zh-CN"/>
                    </w:rPr>
                    <w:t>开采总量要求</w:t>
                  </w:r>
                </w:p>
              </w:tc>
              <w:tc>
                <w:tcPr>
                  <w:tcW w:w="1663"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355" w:type="pct"/>
                  <w:tcBorders>
                    <w:tl2br w:val="nil"/>
                    <w:tr2bl w:val="nil"/>
                  </w:tcBorders>
                  <w:vAlign w:val="center"/>
                </w:tcPr>
                <w:p>
                  <w:pPr>
                    <w:pStyle w:val="CXY1"/>
                    <w:bidi w:val="0"/>
                    <w:rPr>
                      <w:rFonts w:hint="eastAsia"/>
                      <w:lang w:val="en-US" w:eastAsia="zh-CN"/>
                    </w:rPr>
                  </w:pPr>
                  <w:r>
                    <w:rPr>
                      <w:rFonts w:hint="eastAsia"/>
                      <w:lang w:val="en-US" w:eastAsia="zh-CN"/>
                    </w:rPr>
                    <w:t>/</w:t>
                  </w:r>
                </w:p>
              </w:tc>
            </w:tr>
            <w:tr>
              <w:tblPrEx>
                <w:tblW w:w="4996" w:type="pct"/>
                <w:tblInd w:w="0" w:type="dxa"/>
                <w:tblCellMar>
                  <w:top w:w="0" w:type="dxa"/>
                  <w:left w:w="0" w:type="dxa"/>
                  <w:bottom w:w="0" w:type="dxa"/>
                  <w:right w:w="0" w:type="dxa"/>
                </w:tblCellMar>
              </w:tblPrEx>
              <w:trPr>
                <w:trHeight w:val="294"/>
              </w:trPr>
              <w:tc>
                <w:tcPr>
                  <w:tcW w:w="255" w:type="pct"/>
                  <w:vMerge/>
                  <w:tcBorders>
                    <w:tl2br w:val="nil"/>
                    <w:tr2bl w:val="nil"/>
                  </w:tcBorders>
                  <w:vAlign w:val="center"/>
                </w:tcPr>
                <w:p>
                  <w:pPr>
                    <w:pStyle w:val="CXY1"/>
                    <w:bidi w:val="0"/>
                    <w:rPr>
                      <w:rFonts w:hint="default"/>
                      <w:lang w:val="en-US" w:eastAsia="zh-CN"/>
                    </w:rPr>
                  </w:pPr>
                </w:p>
              </w:tc>
              <w:tc>
                <w:tcPr>
                  <w:tcW w:w="2653" w:type="pct"/>
                  <w:gridSpan w:val="3"/>
                  <w:tcBorders>
                    <w:tl2br w:val="nil"/>
                    <w:tr2bl w:val="nil"/>
                  </w:tcBorders>
                  <w:vAlign w:val="center"/>
                </w:tcPr>
                <w:p>
                  <w:pPr>
                    <w:pStyle w:val="CXY1"/>
                    <w:bidi w:val="0"/>
                    <w:rPr>
                      <w:rFonts w:hint="default"/>
                      <w:lang w:val="en-US" w:eastAsia="zh-CN"/>
                    </w:rPr>
                  </w:pPr>
                  <w:r>
                    <w:rPr>
                      <w:rFonts w:hint="default"/>
                      <w:lang w:val="en-US" w:eastAsia="zh-CN"/>
                    </w:rPr>
                    <w:t>能源利用效率要求</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355" w:type="pct"/>
                  <w:tcBorders>
                    <w:tl2br w:val="nil"/>
                    <w:tr2bl w:val="nil"/>
                  </w:tcBorders>
                  <w:vAlign w:val="center"/>
                </w:tcPr>
                <w:p>
                  <w:pPr>
                    <w:pStyle w:val="CXY1"/>
                    <w:bidi w:val="0"/>
                    <w:rPr>
                      <w:rFonts w:hint="eastAsia"/>
                      <w:lang w:val="en-US" w:eastAsia="zh-CN"/>
                    </w:rPr>
                  </w:pPr>
                </w:p>
              </w:tc>
            </w:tr>
            <w:tr>
              <w:tblPrEx>
                <w:tblW w:w="4996" w:type="pct"/>
                <w:tblInd w:w="0" w:type="dxa"/>
                <w:tblCellMar>
                  <w:top w:w="0" w:type="dxa"/>
                  <w:left w:w="0" w:type="dxa"/>
                  <w:bottom w:w="0" w:type="dxa"/>
                  <w:right w:w="0" w:type="dxa"/>
                </w:tblCellMar>
              </w:tblPrEx>
              <w:trPr>
                <w:trHeight w:val="286"/>
              </w:trPr>
              <w:tc>
                <w:tcPr>
                  <w:tcW w:w="255" w:type="pct"/>
                  <w:vMerge/>
                  <w:tcBorders>
                    <w:tl2br w:val="nil"/>
                    <w:tr2bl w:val="nil"/>
                  </w:tcBorders>
                  <w:vAlign w:val="center"/>
                </w:tcPr>
                <w:p>
                  <w:pPr>
                    <w:pStyle w:val="CXY1"/>
                    <w:bidi w:val="0"/>
                    <w:rPr>
                      <w:rFonts w:hint="default"/>
                      <w:lang w:val="en-US" w:eastAsia="zh-CN"/>
                    </w:rPr>
                  </w:pPr>
                </w:p>
              </w:tc>
              <w:tc>
                <w:tcPr>
                  <w:tcW w:w="2653" w:type="pct"/>
                  <w:gridSpan w:val="3"/>
                  <w:tcBorders>
                    <w:tl2br w:val="nil"/>
                    <w:tr2bl w:val="nil"/>
                  </w:tcBorders>
                  <w:vAlign w:val="center"/>
                </w:tcPr>
                <w:p>
                  <w:pPr>
                    <w:pStyle w:val="CXY1"/>
                    <w:bidi w:val="0"/>
                    <w:rPr>
                      <w:rFonts w:hint="default"/>
                      <w:lang w:val="en-US" w:eastAsia="zh-CN"/>
                    </w:rPr>
                  </w:pPr>
                  <w:r>
                    <w:rPr>
                      <w:rFonts w:hint="default"/>
                      <w:lang w:val="en-US" w:eastAsia="zh-CN"/>
                    </w:rPr>
                    <w:t>岸线管控要求</w:t>
                  </w:r>
                </w:p>
              </w:tc>
              <w:tc>
                <w:tcPr>
                  <w:tcW w:w="1735" w:type="pct"/>
                  <w:tcBorders>
                    <w:tl2br w:val="nil"/>
                    <w:tr2bl w:val="nil"/>
                  </w:tcBorders>
                  <w:vAlign w:val="center"/>
                </w:tcPr>
                <w:p>
                  <w:pPr>
                    <w:pStyle w:val="CXY1"/>
                    <w:bidi w:val="0"/>
                    <w:rPr>
                      <w:rFonts w:hint="default"/>
                      <w:lang w:val="en-US" w:eastAsia="zh-CN"/>
                    </w:rPr>
                  </w:pPr>
                  <w:r>
                    <w:rPr>
                      <w:rFonts w:hint="default"/>
                      <w:lang w:val="en-US" w:eastAsia="zh-CN"/>
                    </w:rPr>
                    <w:t>无</w:t>
                  </w:r>
                </w:p>
              </w:tc>
              <w:tc>
                <w:tcPr>
                  <w:tcW w:w="355" w:type="pct"/>
                  <w:tcBorders>
                    <w:tl2br w:val="nil"/>
                    <w:tr2bl w:val="nil"/>
                  </w:tcBorders>
                  <w:vAlign w:val="center"/>
                </w:tcPr>
                <w:p>
                  <w:pPr>
                    <w:pStyle w:val="CXY1"/>
                    <w:bidi w:val="0"/>
                    <w:rPr>
                      <w:rFonts w:hint="eastAsia"/>
                      <w:lang w:val="en-US" w:eastAsia="zh-CN"/>
                    </w:rPr>
                  </w:pPr>
                </w:p>
              </w:tc>
            </w:tr>
          </w:tbl>
          <w:p>
            <w:pPr>
              <w:pStyle w:val="CH1"/>
              <w:bidi w:val="0"/>
              <w:rPr>
                <w:rFonts w:hint="eastAsia"/>
                <w:lang w:val="en-US" w:eastAsia="zh-CN"/>
              </w:rPr>
            </w:pPr>
            <w:r>
              <w:rPr>
                <w:rFonts w:hint="eastAsia"/>
                <w:lang w:val="en-US" w:eastAsia="zh-CN"/>
              </w:rPr>
              <w:t>综上分析可知，项目符合</w:t>
            </w:r>
            <w:r>
              <w:rPr>
                <w:rFonts w:hint="eastAsia"/>
              </w:rPr>
              <w:t>《关于印发南昌市生态环境总体准入要求及环境管控单元生态环境准入清单的通知》（洪环发</w:t>
            </w:r>
            <w:r>
              <w:rPr>
                <w:rFonts w:hint="eastAsia"/>
                <w:lang w:eastAsia="zh-CN"/>
              </w:rPr>
              <w:t>〔</w:t>
            </w:r>
            <w:r>
              <w:rPr>
                <w:rFonts w:hint="eastAsia"/>
              </w:rPr>
              <w:t>2021</w:t>
            </w:r>
            <w:r>
              <w:rPr>
                <w:rFonts w:hint="eastAsia"/>
                <w:lang w:eastAsia="zh-CN"/>
              </w:rPr>
              <w:t>〕</w:t>
            </w:r>
            <w:r>
              <w:rPr>
                <w:rFonts w:hint="eastAsia"/>
              </w:rPr>
              <w:t>16号）</w:t>
            </w:r>
            <w:r>
              <w:rPr>
                <w:rFonts w:hint="eastAsia"/>
                <w:lang w:val="en-US" w:eastAsia="zh-CN"/>
              </w:rPr>
              <w:t>要求。</w:t>
            </w:r>
          </w:p>
          <w:p>
            <w:pPr>
              <w:pStyle w:val="CH1"/>
              <w:bidi w:val="0"/>
              <w:rPr>
                <w:rFonts w:hint="default"/>
                <w:b/>
                <w:bCs/>
                <w:lang w:val="en-US" w:eastAsia="zh-CN"/>
              </w:rPr>
            </w:pPr>
            <w:r>
              <w:rPr>
                <w:rFonts w:hint="eastAsia"/>
                <w:b/>
                <w:bCs/>
                <w:lang w:val="en-US" w:eastAsia="zh-CN"/>
              </w:rPr>
              <w:t>4、</w:t>
            </w:r>
            <w:r>
              <w:rPr>
                <w:rFonts w:hint="default"/>
                <w:b/>
                <w:bCs/>
                <w:lang w:val="en-US" w:eastAsia="zh-CN"/>
              </w:rPr>
              <w:t>与《江西省长江经济带发展负面清单实施细则（试行）的通知》（赣长江办</w:t>
            </w:r>
            <w:r>
              <w:rPr>
                <w:rFonts w:hint="eastAsia"/>
                <w:b/>
                <w:bCs/>
                <w:lang w:val="en-US" w:eastAsia="zh-CN"/>
              </w:rPr>
              <w:t>〔</w:t>
            </w:r>
            <w:r>
              <w:rPr>
                <w:rFonts w:hint="default"/>
                <w:b/>
                <w:bCs/>
                <w:lang w:val="en-US" w:eastAsia="zh-CN"/>
              </w:rPr>
              <w:t>2022</w:t>
            </w:r>
            <w:r>
              <w:rPr>
                <w:rFonts w:hint="eastAsia"/>
                <w:b/>
                <w:bCs/>
                <w:lang w:val="en-US" w:eastAsia="zh-CN"/>
              </w:rPr>
              <w:t>〕</w:t>
            </w:r>
            <w:r>
              <w:rPr>
                <w:rFonts w:hint="default"/>
                <w:b/>
                <w:bCs/>
                <w:lang w:val="en-US" w:eastAsia="zh-CN"/>
              </w:rPr>
              <w:t>7号文）相符性分析</w:t>
            </w:r>
          </w:p>
          <w:p>
            <w:pPr>
              <w:pStyle w:val="yt"/>
              <w:bidi w:val="0"/>
            </w:pPr>
            <w:r>
              <w:t>本项目</w:t>
            </w:r>
            <w:r>
              <w:rPr>
                <w:rFonts w:hint="eastAsia"/>
                <w:lang w:val="en-US" w:eastAsia="zh-CN"/>
              </w:rPr>
              <w:t>与</w:t>
            </w:r>
            <w:r>
              <w:rPr>
                <w:rFonts w:hint="eastAsia"/>
              </w:rPr>
              <w:t>《江西省长江经济带发展负面清单实施细则（试行）的通知》）</w:t>
            </w:r>
            <w:r>
              <w:t>（赣长江办</w:t>
            </w:r>
            <w:r>
              <w:rPr>
                <w:rFonts w:hint="eastAsia"/>
                <w:lang w:eastAsia="zh-CN"/>
              </w:rPr>
              <w:t>〔</w:t>
            </w:r>
            <w:r>
              <w:t>20</w:t>
            </w:r>
            <w:r>
              <w:rPr>
                <w:rFonts w:hint="eastAsia"/>
                <w:lang w:val="en-US" w:eastAsia="zh-CN"/>
              </w:rPr>
              <w:t>22〕7</w:t>
            </w:r>
            <w:r>
              <w:t>号）</w:t>
            </w:r>
            <w:r>
              <w:rPr>
                <w:rFonts w:hint="eastAsia"/>
              </w:rPr>
              <w:t>相符性分析</w:t>
            </w:r>
            <w:r>
              <w:rPr>
                <w:rFonts w:hint="eastAsia"/>
                <w:lang w:val="en-US" w:eastAsia="zh-CN"/>
              </w:rPr>
              <w:t>见下表</w:t>
            </w:r>
            <w:r>
              <w:t>。</w:t>
            </w:r>
          </w:p>
          <w:p>
            <w:pPr>
              <w:pStyle w:val="yt1"/>
              <w:bidi w:val="0"/>
              <w:rPr>
                <w:rFonts w:cs="Times New Roman" w:hint="eastAsia"/>
                <w:bCs/>
                <w:color w:val="000000"/>
                <w:kern w:val="2"/>
                <w:sz w:val="21"/>
                <w:lang w:val="zh-TW" w:eastAsia="zh-TW" w:bidi="ar-SA"/>
              </w:rPr>
            </w:pPr>
            <w:r>
              <w:rPr>
                <w:rFonts w:ascii="Times New Roman" w:eastAsia="宋体" w:hAnsi="Times New Roman" w:cs="Times New Roman" w:hint="eastAsia"/>
                <w:b/>
                <w:bCs/>
                <w:color w:val="000000"/>
                <w:kern w:val="2"/>
                <w:sz w:val="21"/>
                <w:szCs w:val="21"/>
                <w:lang w:val="zh-TW" w:eastAsia="zh-CN" w:bidi="ar-SA"/>
              </w:rPr>
              <w:t>与《江西省长江经济带发展负面清单实施细则（试行）的通知》）（赣长江办〔2022〕7号）相符性分析</w:t>
            </w:r>
            <w:r>
              <w:rPr>
                <w:rFonts w:ascii="Times New Roman" w:eastAsia="宋体" w:hAnsi="Times New Roman" w:cs="Times New Roman" w:hint="default"/>
                <w:b/>
                <w:bCs/>
                <w:color w:val="000000"/>
                <w:kern w:val="2"/>
                <w:sz w:val="21"/>
                <w:szCs w:val="21"/>
                <w:lang w:val="zh-TW" w:eastAsia="zh-TW" w:bidi="ar-SA"/>
              </w:rPr>
              <w:t>一览表</w:t>
            </w:r>
          </w:p>
          <w:tbl>
            <w:tblPr>
              <w:tblStyle w:val="TableNormal"/>
              <w:tblW w:w="4998" w:type="pct"/>
              <w:jc w:val="center"/>
              <w:tblBorders>
                <w:top w:val="single" w:sz="12" w:space="0" w:color="000000"/>
                <w:left w:val="none" w:sz="0" w:space="0" w:color="auto"/>
                <w:bottom w:val="single" w:sz="12" w:space="0" w:color="000000"/>
                <w:right w:val="none" w:sz="0" w:space="0" w:color="auto"/>
                <w:insideH w:val="single" w:sz="8" w:space="0" w:color="000000"/>
                <w:insideV w:val="single" w:sz="8" w:space="0" w:color="000000"/>
              </w:tblBorders>
              <w:tblCellMar>
                <w:top w:w="0" w:type="dxa"/>
                <w:left w:w="108" w:type="dxa"/>
                <w:bottom w:w="0" w:type="dxa"/>
                <w:right w:w="108" w:type="dxa"/>
              </w:tblCellMar>
            </w:tblPr>
            <w:tblGrid>
              <w:gridCol w:w="673"/>
              <w:gridCol w:w="4364"/>
              <w:gridCol w:w="1664"/>
              <w:gridCol w:w="850"/>
            </w:tblGrid>
            <w:tr>
              <w:tblPrEx>
                <w:tblW w:w="4998" w:type="pct"/>
                <w:jc w:val="center"/>
                <w:tblBorders>
                  <w:top w:val="single" w:sz="12" w:space="0" w:color="000000"/>
                  <w:left w:val="none" w:sz="0" w:space="0" w:color="auto"/>
                  <w:bottom w:val="single" w:sz="12" w:space="0" w:color="000000"/>
                  <w:right w:val="none" w:sz="0" w:space="0" w:color="auto"/>
                  <w:insideH w:val="single" w:sz="8" w:space="0" w:color="000000"/>
                  <w:insideV w:val="single" w:sz="8" w:space="0" w:color="000000"/>
                </w:tblBorders>
                <w:tblCellMar>
                  <w:top w:w="0" w:type="dxa"/>
                  <w:left w:w="108" w:type="dxa"/>
                  <w:bottom w:w="0" w:type="dxa"/>
                  <w:right w:w="108" w:type="dxa"/>
                </w:tblCellMar>
              </w:tblPrEx>
              <w:trPr>
                <w:trHeight w:val="365"/>
                <w:jc w:val="center"/>
              </w:trPr>
              <w:tc>
                <w:tcPr>
                  <w:tcW w:w="491" w:type="pct"/>
                  <w:noWrap/>
                  <w:vAlign w:val="center"/>
                </w:tcPr>
                <w:p>
                  <w:pPr>
                    <w:widowControl w:val="0"/>
                    <w:tabs>
                      <w:tab w:val="left" w:pos="0"/>
                    </w:tabs>
                    <w:bidi w:val="0"/>
                    <w:spacing w:line="240" w:lineRule="auto"/>
                    <w:ind w:firstLine="0" w:firstLineChars="0"/>
                    <w:jc w:val="center"/>
                    <w:rPr>
                      <w:rFonts w:hint="eastAsia"/>
                      <w:b/>
                      <w:bCs/>
                      <w:szCs w:val="21"/>
                    </w:rPr>
                  </w:pPr>
                  <w:r>
                    <w:rPr>
                      <w:rFonts w:ascii="Times New Roman" w:eastAsia="宋体" w:hAnsi="Times New Roman" w:cs="Times New Roman" w:hint="eastAsia"/>
                      <w:b/>
                      <w:bCs/>
                      <w:kern w:val="2"/>
                      <w:sz w:val="21"/>
                      <w:szCs w:val="21"/>
                      <w:lang w:val="en-US" w:eastAsia="zh-CN" w:bidi="ar-SA"/>
                    </w:rPr>
                    <w:t>序号</w:t>
                  </w:r>
                </w:p>
              </w:tc>
              <w:tc>
                <w:tcPr>
                  <w:tcW w:w="2934" w:type="pct"/>
                  <w:noWrap/>
                  <w:vAlign w:val="center"/>
                </w:tcPr>
                <w:p>
                  <w:pPr>
                    <w:widowControl w:val="0"/>
                    <w:tabs>
                      <w:tab w:val="left" w:pos="0"/>
                    </w:tabs>
                    <w:bidi w:val="0"/>
                    <w:spacing w:line="240" w:lineRule="auto"/>
                    <w:ind w:firstLine="0" w:firstLineChars="0"/>
                    <w:jc w:val="center"/>
                    <w:rPr>
                      <w:rFonts w:hint="eastAsia"/>
                      <w:b/>
                      <w:bCs/>
                      <w:szCs w:val="21"/>
                    </w:rPr>
                  </w:pPr>
                  <w:r>
                    <w:rPr>
                      <w:rFonts w:ascii="Times New Roman" w:eastAsia="宋体" w:hAnsi="Times New Roman" w:cs="Times New Roman" w:hint="eastAsia"/>
                      <w:b/>
                      <w:bCs/>
                      <w:kern w:val="2"/>
                      <w:sz w:val="21"/>
                      <w:szCs w:val="21"/>
                      <w:lang w:val="en-US" w:eastAsia="zh-CN" w:bidi="ar-SA"/>
                    </w:rPr>
                    <w:t>实施细则</w:t>
                  </w:r>
                </w:p>
              </w:tc>
              <w:tc>
                <w:tcPr>
                  <w:tcW w:w="1147" w:type="pct"/>
                  <w:noWrap/>
                  <w:vAlign w:val="center"/>
                </w:tcPr>
                <w:p>
                  <w:pPr>
                    <w:widowControl w:val="0"/>
                    <w:tabs>
                      <w:tab w:val="left" w:pos="0"/>
                    </w:tabs>
                    <w:bidi w:val="0"/>
                    <w:spacing w:line="240" w:lineRule="auto"/>
                    <w:ind w:firstLine="0" w:firstLineChars="0"/>
                    <w:jc w:val="center"/>
                    <w:rPr>
                      <w:rFonts w:hint="eastAsia"/>
                      <w:b/>
                      <w:bCs/>
                      <w:szCs w:val="21"/>
                    </w:rPr>
                  </w:pPr>
                  <w:r>
                    <w:rPr>
                      <w:rFonts w:ascii="Times New Roman" w:eastAsia="宋体" w:hAnsi="Times New Roman" w:cs="Times New Roman" w:hint="eastAsia"/>
                      <w:b/>
                      <w:bCs/>
                      <w:kern w:val="2"/>
                      <w:sz w:val="21"/>
                      <w:szCs w:val="21"/>
                      <w:lang w:val="en-US" w:eastAsia="zh-CN" w:bidi="ar-SA"/>
                    </w:rPr>
                    <w:t>本项目情况</w:t>
                  </w:r>
                </w:p>
              </w:tc>
              <w:tc>
                <w:tcPr>
                  <w:tcW w:w="426" w:type="pct"/>
                  <w:noWrap/>
                  <w:vAlign w:val="center"/>
                </w:tcPr>
                <w:p>
                  <w:pPr>
                    <w:widowControl w:val="0"/>
                    <w:tabs>
                      <w:tab w:val="left" w:pos="0"/>
                    </w:tabs>
                    <w:bidi w:val="0"/>
                    <w:spacing w:line="240" w:lineRule="auto"/>
                    <w:ind w:firstLine="0" w:firstLineChars="0"/>
                    <w:jc w:val="center"/>
                    <w:rPr>
                      <w:rFonts w:hint="eastAsia"/>
                      <w:b/>
                      <w:bCs/>
                      <w:szCs w:val="21"/>
                    </w:rPr>
                  </w:pPr>
                  <w:r>
                    <w:rPr>
                      <w:rFonts w:ascii="Times New Roman" w:eastAsia="宋体" w:hAnsi="Times New Roman" w:cs="Times New Roman" w:hint="eastAsia"/>
                      <w:b/>
                      <w:bCs/>
                      <w:kern w:val="2"/>
                      <w:sz w:val="21"/>
                      <w:szCs w:val="21"/>
                      <w:lang w:val="en-US" w:eastAsia="zh-CN" w:bidi="ar-SA"/>
                    </w:rPr>
                    <w:t>符合性</w:t>
                  </w:r>
                </w:p>
              </w:tc>
            </w:tr>
            <w:tr>
              <w:tblPrEx>
                <w:tblW w:w="4998" w:type="pct"/>
                <w:jc w:val="center"/>
                <w:tblCellMar>
                  <w:top w:w="0" w:type="dxa"/>
                  <w:left w:w="108" w:type="dxa"/>
                  <w:bottom w:w="0" w:type="dxa"/>
                  <w:right w:w="108" w:type="dxa"/>
                </w:tblCellMar>
              </w:tblPrEx>
              <w:trPr>
                <w:trHeight w:val="90"/>
                <w:jc w:val="center"/>
              </w:trPr>
              <w:tc>
                <w:tcPr>
                  <w:tcW w:w="491"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1</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禁止建设项目不符合全国和省级港口布局规划以及港口总体规划的码头项目，禁止建设不符合《长江干线过江通道布局规划》的长江通道项目。</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本项目不属于码头和长江通道项目</w:t>
                  </w:r>
                </w:p>
              </w:tc>
              <w:tc>
                <w:tcPr>
                  <w:tcW w:w="426"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trHeight w:val="843"/>
                <w:jc w:val="center"/>
              </w:trPr>
              <w:tc>
                <w:tcPr>
                  <w:tcW w:w="491"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2</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禁止在自然保护区核心区，缓冲区的岸线和河段范围内投资建设旅游和生产经营项目。</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本项目不涉及自然保护区</w:t>
                  </w:r>
                </w:p>
              </w:tc>
              <w:tc>
                <w:tcPr>
                  <w:tcW w:w="426"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trHeight w:val="1101"/>
                <w:jc w:val="center"/>
              </w:trPr>
              <w:tc>
                <w:tcPr>
                  <w:tcW w:w="491"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3</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风景名胜区核心景区的岸线和河段范围内开展以下行为：(一）开山、采石、开矿、开荒、修坟立碑等破坏景观、植被和地形地貌的活动。(二）修建储存爆炸性、易燃性、放射性、毒害性、腐蚀性物品的设施。(三）违反风景名胜区规划，建设与风景名胜资源保护无关的设施。</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本项目不位于风景名胜区核心景区的岸线和河段范围内</w:t>
                  </w:r>
                </w:p>
              </w:tc>
              <w:tc>
                <w:tcPr>
                  <w:tcW w:w="426"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trHeight w:val="1533"/>
                <w:jc w:val="center"/>
              </w:trPr>
              <w:tc>
                <w:tcPr>
                  <w:tcW w:w="491"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4</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饮用水水源一级保护区的岸线和河段范围内开展下列行为：(一）新建、改建、扩建与供水设施和保护水源无关的建设项目；已建成的与供水设施和保护水源无关的建设项目，由县级以上人民政府责令拆除或者关闭。(二）禁止在饮用水水源一级保护区内从事网箱养殖、旅游、游泳、垂钓或者其他可能污染饮用水水体的活动。</w:t>
                  </w:r>
                </w:p>
              </w:tc>
              <w:tc>
                <w:tcPr>
                  <w:tcW w:w="1147" w:type="pct"/>
                  <w:vMerge w:val="restar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本项目不在饮用水水源一、二级保护区的岸线和河段范围内</w:t>
                  </w:r>
                </w:p>
              </w:tc>
              <w:tc>
                <w:tcPr>
                  <w:tcW w:w="426" w:type="pct"/>
                  <w:vMerge w:val="restar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trHeight w:val="1905"/>
                <w:jc w:val="center"/>
              </w:trPr>
              <w:tc>
                <w:tcPr>
                  <w:tcW w:w="491" w:type="pct"/>
                  <w:noWrap/>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5</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饮用水水源二级保护区的岸线和河段范围内开展下列行为：排放污染物的建设项目；已建成的排放污染物的建设项目，由县级以上人民政府责令拆除或者关闭。(二）在饮用水水源二级保护区内从事网箱养殖、旅游等活动的，应当按照规定采取措施，防止污染饮用水水体。</w:t>
                  </w:r>
                </w:p>
              </w:tc>
              <w:tc>
                <w:tcPr>
                  <w:tcW w:w="1147" w:type="pct"/>
                  <w:vMerge/>
                  <w:noWrap w:val="0"/>
                  <w:vAlign w:val="center"/>
                </w:tcPr>
                <w:p>
                  <w:pPr>
                    <w:widowControl w:val="0"/>
                    <w:tabs>
                      <w:tab w:val="left" w:pos="0"/>
                    </w:tabs>
                    <w:bidi w:val="0"/>
                    <w:spacing w:line="240" w:lineRule="auto"/>
                    <w:ind w:firstLine="0" w:firstLineChars="0"/>
                    <w:jc w:val="center"/>
                    <w:rPr>
                      <w:rFonts w:hint="eastAsia"/>
                      <w:szCs w:val="21"/>
                    </w:rPr>
                  </w:pPr>
                </w:p>
              </w:tc>
              <w:tc>
                <w:tcPr>
                  <w:tcW w:w="426" w:type="pct"/>
                  <w:vMerge/>
                  <w:noWrap/>
                  <w:vAlign w:val="center"/>
                </w:tcPr>
                <w:p>
                  <w:pPr>
                    <w:widowControl w:val="0"/>
                    <w:tabs>
                      <w:tab w:val="left" w:pos="0"/>
                    </w:tabs>
                    <w:bidi w:val="0"/>
                    <w:spacing w:line="240" w:lineRule="auto"/>
                    <w:ind w:firstLine="0" w:firstLineChars="0"/>
                    <w:jc w:val="center"/>
                    <w:rPr>
                      <w:rFonts w:hint="eastAsia"/>
                      <w:szCs w:val="21"/>
                    </w:rPr>
                  </w:pPr>
                </w:p>
              </w:tc>
            </w:tr>
          </w:tbl>
          <w:p/>
        </w:tc>
      </w:tr>
    </w:tbl>
    <w:p>
      <w:pPr>
        <w:sectPr>
          <w:footerReference w:type="default" r:id="rId18"/>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11"/>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tbl>
            <w:tblPr>
              <w:tblStyle w:val="TableNormal"/>
              <w:tblW w:w="4998" w:type="pct"/>
              <w:jc w:val="center"/>
              <w:tblBorders>
                <w:top w:val="single" w:sz="12" w:space="0" w:color="000000"/>
                <w:left w:val="none" w:sz="0" w:space="0" w:color="auto"/>
                <w:bottom w:val="single" w:sz="12" w:space="0" w:color="000000"/>
                <w:right w:val="none" w:sz="0" w:space="0" w:color="auto"/>
                <w:insideH w:val="single" w:sz="8" w:space="0" w:color="000000"/>
                <w:insideV w:val="single" w:sz="8" w:space="0" w:color="000000"/>
              </w:tblBorders>
              <w:tblCellMar>
                <w:top w:w="0" w:type="dxa"/>
                <w:left w:w="108" w:type="dxa"/>
                <w:bottom w:w="0" w:type="dxa"/>
                <w:right w:w="108" w:type="dxa"/>
              </w:tblCellMar>
            </w:tblPr>
            <w:tblGrid>
              <w:gridCol w:w="673"/>
              <w:gridCol w:w="4364"/>
              <w:gridCol w:w="1664"/>
              <w:gridCol w:w="825"/>
              <w:gridCol w:w="25"/>
            </w:tblGrid>
            <w:tr>
              <w:tblPrEx>
                <w:tblW w:w="4998" w:type="pct"/>
                <w:jc w:val="center"/>
                <w:tblBorders>
                  <w:top w:val="single" w:sz="12" w:space="0" w:color="000000"/>
                  <w:left w:val="none" w:sz="0" w:space="0" w:color="auto"/>
                  <w:bottom w:val="single" w:sz="12" w:space="0" w:color="000000"/>
                  <w:right w:val="none" w:sz="0" w:space="0" w:color="auto"/>
                  <w:insideH w:val="single" w:sz="8" w:space="0" w:color="000000"/>
                  <w:insideV w:val="single" w:sz="8" w:space="0" w:color="000000"/>
                </w:tblBorders>
                <w:tblCellMar>
                  <w:top w:w="0" w:type="dxa"/>
                  <w:left w:w="108" w:type="dxa"/>
                  <w:bottom w:w="0" w:type="dxa"/>
                  <w:right w:w="108" w:type="dxa"/>
                </w:tblCellMar>
              </w:tblPrEx>
              <w:trPr>
                <w:trHeight w:val="800"/>
                <w:jc w:val="center"/>
              </w:trPr>
              <w:tc>
                <w:tcPr>
                  <w:tcW w:w="491"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6</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禁止在水产种质资源保护区的岸线和河段范围内新建围湖(河）造田(地）等投资建设项目。</w:t>
                  </w:r>
                </w:p>
              </w:tc>
              <w:tc>
                <w:tcPr>
                  <w:tcW w:w="1147" w:type="pct"/>
                  <w:noWrap w:val="0"/>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不涉及</w:t>
                  </w:r>
                </w:p>
              </w:tc>
              <w:tc>
                <w:tcPr>
                  <w:tcW w:w="426" w:type="pct"/>
                  <w:gridSpan w:val="2"/>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trHeight w:val="1172"/>
                <w:jc w:val="center"/>
              </w:trPr>
              <w:tc>
                <w:tcPr>
                  <w:tcW w:w="491"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7</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禁止在《长江岸线保护和开发利用总体规划》划定的岸线保护区和保留区内投资建设除事关公共安全及公众利益的防洪护岸、河道治理、供水、生态环境保护、航道整治、国家重要基础设施以外的项目。</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本项目不位于划定的岸线保护区、保留区范围内</w:t>
                  </w:r>
                </w:p>
              </w:tc>
              <w:tc>
                <w:tcPr>
                  <w:tcW w:w="426" w:type="pct"/>
                  <w:gridSpan w:val="2"/>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trHeight w:val="1200"/>
                <w:jc w:val="center"/>
              </w:trPr>
              <w:tc>
                <w:tcPr>
                  <w:tcW w:w="491"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8</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禁止在《全国重要江河湖泊水功能区划》划定的河段及湖泊保护区、保留区内投资建设不利于水资源及自然生态保护的项目。</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本项目不位于划定的河段及湖泊保护区、保留区范围内</w:t>
                  </w:r>
                </w:p>
              </w:tc>
              <w:tc>
                <w:tcPr>
                  <w:tcW w:w="426" w:type="pct"/>
                  <w:gridSpan w:val="2"/>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trHeight w:val="559"/>
                <w:jc w:val="center"/>
              </w:trPr>
              <w:tc>
                <w:tcPr>
                  <w:tcW w:w="491"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9</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禁止未经许可在长江干支流及湖泊新设、改设或扩大排污口。</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项目不涉及长江干支流及湖泊</w:t>
                  </w:r>
                  <w:r>
                    <w:rPr>
                      <w:rFonts w:ascii="Times New Roman" w:eastAsia="宋体" w:hAnsi="Times New Roman" w:cs="Times New Roman" w:hint="default"/>
                      <w:kern w:val="2"/>
                      <w:sz w:val="21"/>
                      <w:szCs w:val="21"/>
                      <w:lang w:val="en-US" w:eastAsia="zh-CN" w:bidi="ar-SA"/>
                    </w:rPr>
                    <w:t>新设、改设或扩大排污</w:t>
                  </w:r>
                  <w:r>
                    <w:rPr>
                      <w:rFonts w:ascii="Times New Roman" w:eastAsia="宋体" w:hAnsi="Times New Roman" w:cs="Times New Roman" w:hint="eastAsia"/>
                      <w:kern w:val="2"/>
                      <w:sz w:val="21"/>
                      <w:szCs w:val="21"/>
                      <w:lang w:val="en-US" w:eastAsia="zh-CN" w:bidi="ar-SA"/>
                    </w:rPr>
                    <w:t>口</w:t>
                  </w:r>
                </w:p>
              </w:tc>
              <w:tc>
                <w:tcPr>
                  <w:tcW w:w="426" w:type="pct"/>
                  <w:gridSpan w:val="2"/>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trHeight w:val="340"/>
                <w:jc w:val="center"/>
              </w:trPr>
              <w:tc>
                <w:tcPr>
                  <w:tcW w:w="491" w:type="pct"/>
                  <w:noWrap/>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10</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禁止在长江干流江西段、鄱阳湖和《率先全面禁捕的长江流域水生生物保护区名录》中的水生生物保护区开展生产性捕捞。</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本项目不涉及捕捞</w:t>
                  </w:r>
                </w:p>
              </w:tc>
              <w:tc>
                <w:tcPr>
                  <w:tcW w:w="426" w:type="pct"/>
                  <w:gridSpan w:val="2"/>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trHeight w:val="555"/>
                <w:jc w:val="center"/>
              </w:trPr>
              <w:tc>
                <w:tcPr>
                  <w:tcW w:w="491" w:type="pct"/>
                  <w:noWrap/>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11</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禁止在长江干支流、重要湖泊岸线一公里范围内新建、扩建化工园区和化工项目。</w:t>
                  </w:r>
                </w:p>
                <w:p>
                  <w:pPr>
                    <w:widowControl w:val="0"/>
                    <w:tabs>
                      <w:tab w:val="left" w:pos="0"/>
                    </w:tabs>
                    <w:bidi w:val="0"/>
                    <w:spacing w:line="240" w:lineRule="auto"/>
                    <w:ind w:firstLine="0" w:firstLineChars="0"/>
                    <w:jc w:val="center"/>
                    <w:rPr>
                      <w:rFonts w:hint="eastAsia"/>
                      <w:szCs w:val="21"/>
                    </w:rPr>
                  </w:pP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本项目不属于化工园区和化工项目</w:t>
                  </w:r>
                </w:p>
              </w:tc>
              <w:tc>
                <w:tcPr>
                  <w:tcW w:w="426" w:type="pct"/>
                  <w:gridSpan w:val="2"/>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trHeight w:val="544"/>
                <w:jc w:val="center"/>
              </w:trPr>
              <w:tc>
                <w:tcPr>
                  <w:tcW w:w="491" w:type="pct"/>
                  <w:noWrap/>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12</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禁止在长江干流岸线三公里范围内和重要支流岸线一公里范围内新建、改建、扩建尾矿库、冶炼渣库和磷石膏库，以提升安全、生态环境保护水平为目的改建除外。</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项目不属于尾矿库、冶炼渣库和磷石膏库项目，不在长江干支流1km范围内，不在长江干流岸线3km范围内</w:t>
                  </w:r>
                </w:p>
              </w:tc>
              <w:tc>
                <w:tcPr>
                  <w:tcW w:w="426" w:type="pct"/>
                  <w:gridSpan w:val="2"/>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gridAfter w:val="1"/>
                <w:wAfter w:w="11" w:type="dxa"/>
                <w:trHeight w:val="385"/>
                <w:jc w:val="center"/>
              </w:trPr>
              <w:tc>
                <w:tcPr>
                  <w:tcW w:w="491" w:type="pct"/>
                  <w:noWrap/>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13</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禁止在合规园区外新建、扩建钢铁、石化、化工、焦化、建材、有色、制浆造纸等高污染项目。</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w:t>
                  </w:r>
                  <w:r>
                    <w:rPr>
                      <w:rFonts w:ascii="Times New Roman" w:eastAsia="宋体" w:hAnsi="Times New Roman" w:cs="Times New Roman" w:hint="default"/>
                      <w:kern w:val="2"/>
                      <w:sz w:val="21"/>
                      <w:szCs w:val="21"/>
                      <w:lang w:val="en-US" w:eastAsia="zh-CN" w:bidi="ar-SA"/>
                    </w:rPr>
                    <w:t>不属于钢铁、石化、化工、焦化、建材、有色、制浆造纸</w:t>
                  </w:r>
                  <w:r>
                    <w:rPr>
                      <w:rFonts w:ascii="Times New Roman" w:eastAsia="宋体" w:hAnsi="Times New Roman" w:cs="Times New Roman" w:hint="eastAsia"/>
                      <w:kern w:val="2"/>
                      <w:sz w:val="21"/>
                      <w:szCs w:val="21"/>
                      <w:lang w:val="en-US" w:eastAsia="zh-CN" w:bidi="ar-SA"/>
                    </w:rPr>
                    <w:t>等</w:t>
                  </w:r>
                  <w:r>
                    <w:rPr>
                      <w:rFonts w:ascii="Times New Roman" w:eastAsia="宋体" w:hAnsi="Times New Roman" w:cs="Times New Roman" w:hint="default"/>
                      <w:kern w:val="2"/>
                      <w:sz w:val="21"/>
                      <w:szCs w:val="21"/>
                      <w:lang w:val="en-US" w:eastAsia="zh-CN" w:bidi="ar-SA"/>
                    </w:rPr>
                    <w:t>项目</w:t>
                  </w:r>
                </w:p>
              </w:tc>
              <w:tc>
                <w:tcPr>
                  <w:tcW w:w="414"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gridAfter w:val="1"/>
                <w:wAfter w:w="11" w:type="dxa"/>
                <w:trHeight w:val="275"/>
                <w:jc w:val="center"/>
              </w:trPr>
              <w:tc>
                <w:tcPr>
                  <w:tcW w:w="491" w:type="pct"/>
                  <w:noWrap/>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14</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禁止新建、扩建不符合国家石化、现代煤化工等产业布局规划的项目。</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default"/>
                      <w:kern w:val="2"/>
                      <w:sz w:val="21"/>
                      <w:szCs w:val="21"/>
                      <w:lang w:val="en-US" w:eastAsia="zh-CN" w:bidi="ar-SA"/>
                    </w:rPr>
                    <w:t>本项目属于</w:t>
                  </w:r>
                  <w:r>
                    <w:rPr>
                      <w:rFonts w:ascii="Times New Roman" w:eastAsia="宋体" w:hAnsi="Times New Roman" w:cs="Times New Roman" w:hint="eastAsia"/>
                      <w:kern w:val="2"/>
                      <w:sz w:val="21"/>
                      <w:szCs w:val="21"/>
                      <w:lang w:val="en-US" w:eastAsia="zh-CN" w:bidi="ar-SA"/>
                    </w:rPr>
                    <w:t>《产业结构调整指导目录（2019年本）》（2021年修订本）中鼓励类项目</w:t>
                  </w:r>
                  <w:r>
                    <w:rPr>
                      <w:rFonts w:ascii="Times New Roman" w:eastAsia="宋体" w:hAnsi="Times New Roman" w:cs="Times New Roman" w:hint="default"/>
                      <w:kern w:val="2"/>
                      <w:sz w:val="21"/>
                      <w:szCs w:val="21"/>
                      <w:lang w:val="en-US" w:eastAsia="zh-CN" w:bidi="ar-SA"/>
                    </w:rPr>
                    <w:t>，不属于落后产能项目</w:t>
                  </w:r>
                </w:p>
              </w:tc>
              <w:tc>
                <w:tcPr>
                  <w:tcW w:w="414"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gridAfter w:val="1"/>
                <w:wAfter w:w="11" w:type="dxa"/>
                <w:trHeight w:val="1726"/>
                <w:jc w:val="center"/>
              </w:trPr>
              <w:tc>
                <w:tcPr>
                  <w:tcW w:w="491" w:type="pct"/>
                  <w:noWrap/>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15</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新建、扩建法律法规和相关政策明令禁止的落后产能项目，严格执行《产业结构调整指导目录》中淘汰类和限制类有关规定，禁止开展投资建设属于淘汰类的项目及其相关活动，禁止开展投资新建、扩建属于限制类的项目及其相关活动。对于属于限制类的现有生产能力，允许企业在一定期限内采取措施改造升级，严禁以改造为名扩大产能。</w:t>
                  </w: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default"/>
                      <w:kern w:val="2"/>
                      <w:sz w:val="21"/>
                      <w:szCs w:val="21"/>
                      <w:lang w:val="en-US" w:eastAsia="zh-CN" w:bidi="ar-SA"/>
                    </w:rPr>
                    <w:t>本项目属于</w:t>
                  </w:r>
                  <w:r>
                    <w:rPr>
                      <w:rFonts w:ascii="Times New Roman" w:eastAsia="宋体" w:hAnsi="Times New Roman" w:cs="Times New Roman" w:hint="eastAsia"/>
                      <w:kern w:val="2"/>
                      <w:sz w:val="21"/>
                      <w:szCs w:val="21"/>
                      <w:lang w:val="en-US" w:eastAsia="zh-CN" w:bidi="ar-SA"/>
                    </w:rPr>
                    <w:t>《产业结构调整指导目录（2019年本）》（2021年修订本）中鼓励类项目</w:t>
                  </w:r>
                  <w:r>
                    <w:rPr>
                      <w:rFonts w:ascii="Times New Roman" w:eastAsia="宋体" w:hAnsi="Times New Roman" w:cs="Times New Roman" w:hint="default"/>
                      <w:kern w:val="2"/>
                      <w:sz w:val="21"/>
                      <w:szCs w:val="21"/>
                      <w:lang w:val="en-US" w:eastAsia="zh-CN" w:bidi="ar-SA"/>
                    </w:rPr>
                    <w:t>，不属于落后产能项目</w:t>
                  </w:r>
                </w:p>
              </w:tc>
              <w:tc>
                <w:tcPr>
                  <w:tcW w:w="414"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r>
              <w:tblPrEx>
                <w:tblW w:w="4998" w:type="pct"/>
                <w:jc w:val="center"/>
                <w:tblCellMar>
                  <w:top w:w="0" w:type="dxa"/>
                  <w:left w:w="108" w:type="dxa"/>
                  <w:bottom w:w="0" w:type="dxa"/>
                  <w:right w:w="108" w:type="dxa"/>
                </w:tblCellMar>
              </w:tblPrEx>
              <w:trPr>
                <w:gridAfter w:val="1"/>
                <w:wAfter w:w="11" w:type="dxa"/>
                <w:trHeight w:val="843"/>
                <w:jc w:val="center"/>
              </w:trPr>
              <w:tc>
                <w:tcPr>
                  <w:tcW w:w="491" w:type="pct"/>
                  <w:noWrap/>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16</w:t>
                  </w:r>
                </w:p>
              </w:tc>
              <w:tc>
                <w:tcPr>
                  <w:tcW w:w="2934" w:type="pct"/>
                  <w:noWrap w:val="0"/>
                  <w:vAlign w:val="center"/>
                </w:tcPr>
                <w:p>
                  <w:pPr>
                    <w:widowControl w:val="0"/>
                    <w:tabs>
                      <w:tab w:val="left" w:pos="0"/>
                    </w:tabs>
                    <w:bidi w:val="0"/>
                    <w:spacing w:after="0" w:line="240" w:lineRule="auto"/>
                    <w:ind w:firstLine="0" w:firstLineChars="0"/>
                    <w:jc w:val="center"/>
                    <w:rPr>
                      <w:rFonts w:hint="eastAsia"/>
                      <w:szCs w:val="21"/>
                    </w:rPr>
                  </w:pPr>
                </w:p>
              </w:tc>
              <w:tc>
                <w:tcPr>
                  <w:tcW w:w="1147" w:type="pct"/>
                  <w:noWrap w:val="0"/>
                  <w:vAlign w:val="center"/>
                </w:tcPr>
                <w:p>
                  <w:pPr>
                    <w:widowControl w:val="0"/>
                    <w:tabs>
                      <w:tab w:val="left" w:pos="0"/>
                    </w:tabs>
                    <w:bidi w:val="0"/>
                    <w:spacing w:after="0" w:line="240" w:lineRule="auto"/>
                    <w:ind w:firstLine="0" w:firstLineChars="0"/>
                    <w:jc w:val="center"/>
                    <w:rPr>
                      <w:rFonts w:hint="eastAsia"/>
                      <w:szCs w:val="21"/>
                    </w:rPr>
                  </w:pPr>
                </w:p>
              </w:tc>
              <w:tc>
                <w:tcPr>
                  <w:tcW w:w="414"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bl>
          <w:p/>
        </w:tc>
      </w:tr>
    </w:tbl>
    <w:p>
      <w:pPr>
        <w:sectPr>
          <w:footerReference w:type="default" r:id="rId19"/>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12"/>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tbl>
            <w:tblPr>
              <w:tblStyle w:val="TableNormal"/>
              <w:tblW w:w="4998" w:type="pct"/>
              <w:jc w:val="center"/>
              <w:tblBorders>
                <w:top w:val="single" w:sz="12" w:space="0" w:color="000000"/>
                <w:left w:val="none" w:sz="0" w:space="0" w:color="auto"/>
                <w:bottom w:val="single" w:sz="12" w:space="0" w:color="000000"/>
                <w:right w:val="none" w:sz="0" w:space="0" w:color="auto"/>
                <w:insideH w:val="single" w:sz="8" w:space="0" w:color="000000"/>
                <w:insideV w:val="single" w:sz="8" w:space="0" w:color="000000"/>
              </w:tblBorders>
              <w:tblCellMar>
                <w:top w:w="0" w:type="dxa"/>
                <w:left w:w="108" w:type="dxa"/>
                <w:bottom w:w="0" w:type="dxa"/>
                <w:right w:w="108" w:type="dxa"/>
              </w:tblCellMar>
            </w:tblPr>
            <w:tblGrid>
              <w:gridCol w:w="673"/>
              <w:gridCol w:w="4364"/>
              <w:gridCol w:w="1664"/>
              <w:gridCol w:w="825"/>
            </w:tblGrid>
            <w:tr>
              <w:tblPrEx>
                <w:tblW w:w="4998" w:type="pct"/>
                <w:jc w:val="center"/>
                <w:tblBorders>
                  <w:top w:val="single" w:sz="12" w:space="0" w:color="000000"/>
                  <w:left w:val="none" w:sz="0" w:space="0" w:color="auto"/>
                  <w:bottom w:val="single" w:sz="12" w:space="0" w:color="000000"/>
                  <w:right w:val="none" w:sz="0" w:space="0" w:color="auto"/>
                  <w:insideH w:val="single" w:sz="8" w:space="0" w:color="000000"/>
                  <w:insideV w:val="single" w:sz="8" w:space="0" w:color="000000"/>
                </w:tblBorders>
                <w:tblCellMar>
                  <w:top w:w="0" w:type="dxa"/>
                  <w:left w:w="108" w:type="dxa"/>
                  <w:bottom w:w="0" w:type="dxa"/>
                  <w:right w:w="108" w:type="dxa"/>
                </w:tblCellMar>
              </w:tblPrEx>
              <w:trPr>
                <w:trHeight w:val="843"/>
                <w:jc w:val="center"/>
              </w:trPr>
              <w:tc>
                <w:tcPr>
                  <w:tcW w:w="491" w:type="pct"/>
                  <w:noWrap/>
                  <w:vAlign w:val="center"/>
                </w:tcPr>
                <w:p/>
              </w:tc>
              <w:tc>
                <w:tcPr>
                  <w:tcW w:w="2934" w:type="pct"/>
                  <w:noWrap w:val="0"/>
                  <w:vAlign w:val="center"/>
                </w:tcPr>
                <w:p>
                  <w:pPr>
                    <w:widowControl w:val="0"/>
                    <w:tabs>
                      <w:tab w:val="left" w:pos="0"/>
                    </w:tabs>
                    <w:bidi w:val="0"/>
                    <w:spacing w:before="0"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禁止新建、扩建不符合国家产能置换要求的钢铁、电解铝、水泥熟料、平板玻璃、船舶等严重过剩产能行业的项目。</w:t>
                  </w:r>
                </w:p>
              </w:tc>
              <w:tc>
                <w:tcPr>
                  <w:tcW w:w="1147" w:type="pct"/>
                  <w:noWrap w:val="0"/>
                  <w:vAlign w:val="center"/>
                </w:tcPr>
                <w:p>
                  <w:pPr>
                    <w:widowControl w:val="0"/>
                    <w:tabs>
                      <w:tab w:val="left" w:pos="0"/>
                    </w:tabs>
                    <w:bidi w:val="0"/>
                    <w:spacing w:before="0"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本项目不属于钢铁、电解铝、水泥熟料、平板玻璃、船舶等严重过剩产能行业</w:t>
                  </w:r>
                </w:p>
              </w:tc>
              <w:tc>
                <w:tcPr>
                  <w:tcW w:w="414" w:type="pct"/>
                  <w:noWrap/>
                  <w:vAlign w:val="center"/>
                </w:tcPr>
                <w:p/>
              </w:tc>
            </w:tr>
            <w:tr>
              <w:tblPrEx>
                <w:tblW w:w="4998" w:type="pct"/>
                <w:jc w:val="center"/>
                <w:tblCellMar>
                  <w:top w:w="0" w:type="dxa"/>
                  <w:left w:w="108" w:type="dxa"/>
                  <w:bottom w:w="0" w:type="dxa"/>
                  <w:right w:w="108" w:type="dxa"/>
                </w:tblCellMar>
              </w:tblPrEx>
              <w:trPr>
                <w:trHeight w:val="699"/>
                <w:jc w:val="center"/>
              </w:trPr>
              <w:tc>
                <w:tcPr>
                  <w:tcW w:w="491" w:type="pct"/>
                  <w:noWrap/>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17</w:t>
                  </w:r>
                </w:p>
              </w:tc>
              <w:tc>
                <w:tcPr>
                  <w:tcW w:w="2934"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禁止新建、扩建不符合要求的高耗能高排放项目。</w:t>
                  </w:r>
                </w:p>
                <w:p>
                  <w:pPr>
                    <w:widowControl w:val="0"/>
                    <w:tabs>
                      <w:tab w:val="left" w:pos="0"/>
                    </w:tabs>
                    <w:bidi w:val="0"/>
                    <w:spacing w:line="240" w:lineRule="auto"/>
                    <w:ind w:firstLine="0" w:firstLineChars="0"/>
                    <w:jc w:val="center"/>
                    <w:rPr>
                      <w:rFonts w:hint="eastAsia"/>
                      <w:szCs w:val="21"/>
                    </w:rPr>
                  </w:pPr>
                </w:p>
              </w:tc>
              <w:tc>
                <w:tcPr>
                  <w:tcW w:w="1147" w:type="pct"/>
                  <w:noWrap w:val="0"/>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本项目不属于高耗能排放项目</w:t>
                  </w:r>
                </w:p>
              </w:tc>
              <w:tc>
                <w:tcPr>
                  <w:tcW w:w="414" w:type="pct"/>
                  <w:noWrap/>
                  <w:vAlign w:val="center"/>
                </w:tcPr>
                <w:p>
                  <w:pPr>
                    <w:widowControl w:val="0"/>
                    <w:tabs>
                      <w:tab w:val="left" w:pos="0"/>
                    </w:tabs>
                    <w:bidi w:val="0"/>
                    <w:spacing w:line="240" w:lineRule="auto"/>
                    <w:ind w:firstLine="0" w:firstLineChars="0"/>
                    <w:jc w:val="center"/>
                    <w:rPr>
                      <w:rFonts w:hint="eastAsia"/>
                      <w:szCs w:val="21"/>
                    </w:rPr>
                  </w:pPr>
                  <w:r>
                    <w:rPr>
                      <w:rFonts w:ascii="Times New Roman" w:eastAsia="宋体" w:hAnsi="Times New Roman" w:cs="Times New Roman" w:hint="eastAsia"/>
                      <w:kern w:val="2"/>
                      <w:sz w:val="21"/>
                      <w:szCs w:val="21"/>
                      <w:lang w:val="en-US" w:eastAsia="zh-CN" w:bidi="ar-SA"/>
                    </w:rPr>
                    <w:t>符合</w:t>
                  </w:r>
                </w:p>
              </w:tc>
            </w:tr>
          </w:tbl>
          <w:p>
            <w:pPr>
              <w:pStyle w:val="yt"/>
              <w:bidi w:val="0"/>
              <w:rPr>
                <w:rFonts w:hint="default"/>
                <w:b/>
                <w:bCs/>
                <w:lang w:val="en-US" w:eastAsia="zh-CN"/>
              </w:rPr>
            </w:pPr>
            <w:r>
              <w:rPr>
                <w:rFonts w:hint="eastAsia"/>
                <w:b/>
                <w:bCs/>
                <w:lang w:val="en-US" w:eastAsia="zh-CN"/>
              </w:rPr>
              <w:t>5、与《</w:t>
            </w:r>
            <w:r>
              <w:rPr>
                <w:rFonts w:hint="default"/>
                <w:b/>
                <w:bCs/>
                <w:lang w:val="en-US" w:eastAsia="zh-CN"/>
              </w:rPr>
              <w:t>大南昌都市圈生态环境保护规划</w:t>
            </w:r>
            <w:r>
              <w:rPr>
                <w:rFonts w:hint="eastAsia"/>
                <w:b/>
                <w:bCs/>
                <w:lang w:val="en-US" w:eastAsia="zh-CN"/>
              </w:rPr>
              <w:t>》</w:t>
            </w:r>
            <w:r>
              <w:rPr>
                <w:rFonts w:hint="default"/>
                <w:b/>
                <w:bCs/>
                <w:lang w:val="en-US" w:eastAsia="zh-CN"/>
              </w:rPr>
              <w:t>（2020-2025年）</w:t>
            </w:r>
            <w:r>
              <w:rPr>
                <w:rFonts w:hint="eastAsia"/>
                <w:b/>
                <w:bCs/>
                <w:lang w:val="en-US" w:eastAsia="zh-CN"/>
              </w:rPr>
              <w:t>相符性分析</w:t>
            </w:r>
          </w:p>
          <w:p>
            <w:pPr>
              <w:pStyle w:val="yt"/>
              <w:bidi w:val="0"/>
              <w:rPr>
                <w:rFonts w:cs="Times New Roman" w:hint="eastAsia"/>
                <w:kern w:val="2"/>
                <w:szCs w:val="24"/>
                <w:lang w:val="en-US" w:eastAsia="zh-CN" w:bidi="ar-SA"/>
              </w:rPr>
            </w:pPr>
            <w:r>
              <w:rPr>
                <w:rFonts w:hint="eastAsia"/>
                <w:lang w:val="en-US" w:eastAsia="zh-CN"/>
              </w:rPr>
              <w:t>根据江西省生态环境厅于2020年11月24日发布的《大南昌都市圈生态环境保护规划（2020-2025年）》，本项目位于环境功能区划中南昌市的人居环境保障区、生态空间管控中的南昌都市核心区，本项目与规划要求的相符性分析见下表。</w:t>
            </w:r>
          </w:p>
          <w:p>
            <w:pPr>
              <w:pStyle w:val="yt1"/>
              <w:bidi w:val="0"/>
              <w:rPr>
                <w:rFonts w:hint="default"/>
                <w:lang w:val="en-US" w:eastAsia="zh-CN"/>
              </w:rPr>
            </w:pPr>
            <w:r>
              <w:rPr>
                <w:rFonts w:hint="eastAsia"/>
                <w:lang w:val="en-US" w:eastAsia="zh-CN"/>
              </w:rPr>
              <w:t>《大南昌都市圈生态环境保护规划（2020-2025年）》</w:t>
            </w:r>
            <w:r>
              <w:rPr>
                <w:rFonts w:hint="default"/>
                <w:lang w:val="en-US" w:eastAsia="zh-CN"/>
              </w:rPr>
              <w:t>符合性分析</w:t>
            </w:r>
          </w:p>
          <w:tbl>
            <w:tblPr>
              <w:tblStyle w:val="TableNormal"/>
              <w:tblpPr w:leftFromText="180" w:rightFromText="180" w:vertAnchor="text" w:tblpY="1"/>
              <w:tblOverlap w:val="never"/>
              <w:tblW w:w="4997" w:type="pct"/>
              <w:tblInd w:w="0"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CellMar>
                <w:top w:w="0" w:type="dxa"/>
                <w:left w:w="108" w:type="dxa"/>
                <w:bottom w:w="0" w:type="dxa"/>
                <w:right w:w="108" w:type="dxa"/>
              </w:tblCellMar>
            </w:tblPr>
            <w:tblGrid>
              <w:gridCol w:w="4843"/>
              <w:gridCol w:w="2049"/>
              <w:gridCol w:w="657"/>
            </w:tblGrid>
            <w:tr>
              <w:tblPrEx>
                <w:tblW w:w="4997" w:type="pct"/>
                <w:tblInd w:w="0"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CellMar>
                  <w:top w:w="0" w:type="dxa"/>
                  <w:left w:w="108" w:type="dxa"/>
                  <w:bottom w:w="0" w:type="dxa"/>
                  <w:right w:w="108" w:type="dxa"/>
                </w:tblCellMar>
              </w:tblPrEx>
              <w:trPr>
                <w:trHeight w:val="340"/>
                <w:tblHeader/>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b/>
                      <w:bCs/>
                      <w:color w:val="auto"/>
                      <w:kern w:val="0"/>
                      <w:szCs w:val="21"/>
                      <w:highlight w:val="none"/>
                    </w:rPr>
                  </w:pPr>
                  <w:r>
                    <w:rPr>
                      <w:rFonts w:ascii="Times New Roman" w:eastAsia="宋体" w:hAnsi="Times New Roman" w:cs="Times New Roman" w:hint="default"/>
                      <w:b/>
                      <w:bCs/>
                      <w:color w:val="auto"/>
                      <w:kern w:val="0"/>
                      <w:sz w:val="21"/>
                      <w:szCs w:val="21"/>
                      <w:highlight w:val="none"/>
                    </w:rPr>
                    <w:t>具体条件</w:t>
                  </w:r>
                </w:p>
              </w:tc>
              <w:tc>
                <w:tcPr>
                  <w:tcW w:w="135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b/>
                      <w:bCs/>
                      <w:color w:val="auto"/>
                      <w:kern w:val="0"/>
                      <w:szCs w:val="21"/>
                      <w:highlight w:val="none"/>
                    </w:rPr>
                  </w:pPr>
                  <w:r>
                    <w:rPr>
                      <w:rFonts w:ascii="Times New Roman" w:eastAsia="宋体" w:hAnsi="Times New Roman" w:cs="Times New Roman" w:hint="default"/>
                      <w:b/>
                      <w:bCs/>
                      <w:color w:val="auto"/>
                      <w:kern w:val="0"/>
                      <w:sz w:val="21"/>
                      <w:szCs w:val="21"/>
                      <w:highlight w:val="none"/>
                    </w:rPr>
                    <w:t>项目情况</w:t>
                  </w:r>
                </w:p>
              </w:tc>
              <w:tc>
                <w:tcPr>
                  <w:tcW w:w="435" w:type="pct"/>
                  <w:tcBorders>
                    <w:tl2br w:val="nil"/>
                    <w:tr2bl w:val="nil"/>
                  </w:tcBorders>
                  <w:vAlign w:val="center"/>
                </w:tcPr>
                <w:p>
                  <w:pPr>
                    <w:keepNext w:val="0"/>
                    <w:keepLines w:val="0"/>
                    <w:widowControl/>
                    <w:suppressLineNumbers w:val="0"/>
                    <w:spacing w:before="0" w:beforeAutospacing="0" w:after="0" w:afterAutospacing="0" w:line="0" w:lineRule="atLeast"/>
                    <w:ind w:left="0" w:right="0" w:firstLine="0" w:firstLineChars="0"/>
                    <w:jc w:val="center"/>
                    <w:rPr>
                      <w:rFonts w:hint="default"/>
                      <w:b/>
                      <w:bCs/>
                      <w:color w:val="auto"/>
                      <w:kern w:val="0"/>
                      <w:szCs w:val="21"/>
                      <w:highlight w:val="none"/>
                    </w:rPr>
                  </w:pPr>
                  <w:r>
                    <w:rPr>
                      <w:rFonts w:ascii="Times New Roman" w:eastAsia="宋体" w:hAnsi="Times New Roman" w:cs="Times New Roman" w:hint="default"/>
                      <w:b/>
                      <w:bCs/>
                      <w:color w:val="auto"/>
                      <w:kern w:val="0"/>
                      <w:sz w:val="21"/>
                      <w:szCs w:val="21"/>
                      <w:highlight w:val="none"/>
                    </w:rPr>
                    <w:t>符合性</w:t>
                  </w:r>
                </w:p>
              </w:tc>
            </w:tr>
            <w:tr>
              <w:tblPrEx>
                <w:tblW w:w="4997" w:type="pct"/>
                <w:tblInd w:w="0" w:type="dxa"/>
                <w:tblCellMar>
                  <w:top w:w="0" w:type="dxa"/>
                  <w:left w:w="108" w:type="dxa"/>
                  <w:bottom w:w="0" w:type="dxa"/>
                  <w:right w:w="108" w:type="dxa"/>
                </w:tblCellMar>
              </w:tblPrEx>
              <w:trPr>
                <w:trHeight w:val="340"/>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420" w:firstLineChars="0"/>
                    <w:jc w:val="both"/>
                    <w:rPr>
                      <w:rFonts w:hint="eastAsia"/>
                      <w:color w:val="auto"/>
                      <w:kern w:val="0"/>
                      <w:szCs w:val="21"/>
                      <w:highlight w:val="none"/>
                    </w:rPr>
                  </w:pPr>
                  <w:r>
                    <w:rPr>
                      <w:rFonts w:ascii="Times New Roman" w:eastAsia="宋体" w:hAnsi="Times New Roman" w:cs="Times New Roman" w:hint="default"/>
                      <w:b/>
                      <w:bCs/>
                      <w:color w:val="auto"/>
                      <w:kern w:val="0"/>
                      <w:sz w:val="21"/>
                      <w:szCs w:val="21"/>
                      <w:highlight w:val="none"/>
                      <w:lang w:val="en-US" w:eastAsia="zh-CN"/>
                    </w:rPr>
                    <w:t>加强工业大气污染防治。</w:t>
                  </w:r>
                  <w:r>
                    <w:rPr>
                      <w:rFonts w:ascii="Times New Roman" w:eastAsia="宋体" w:hAnsi="Times New Roman" w:cs="Times New Roman" w:hint="eastAsia"/>
                      <w:b/>
                      <w:bCs/>
                      <w:color w:val="auto"/>
                      <w:kern w:val="0"/>
                      <w:sz w:val="21"/>
                      <w:szCs w:val="21"/>
                      <w:highlight w:val="none"/>
                      <w:lang w:val="en-US" w:eastAsia="zh-CN"/>
                    </w:rPr>
                    <w:t>加大</w:t>
                  </w:r>
                  <w:r>
                    <w:rPr>
                      <w:rFonts w:ascii="Times New Roman" w:eastAsia="宋体" w:hAnsi="Times New Roman" w:cs="Times New Roman" w:hint="default"/>
                      <w:color w:val="auto"/>
                      <w:kern w:val="0"/>
                      <w:sz w:val="21"/>
                      <w:szCs w:val="21"/>
                      <w:highlight w:val="none"/>
                      <w:lang w:val="en-US" w:eastAsia="zh-CN"/>
                    </w:rPr>
                    <w:t>重点污染物的防治力度，重点加强区域内电力、陶瓷、冶炼、水泥等行业的减排工作力度。以燃煤电厂、水泥粉磨站、陶瓷厂等行业作为重点，按期关停和淘汰国家明令规定的落后产能。全面完成30万千瓦以下燃煤发电机组超低排放改造工程，对九江钢铁有限公司实施超低排放改造项目。尽快开展区域内重点行业工业炉窑尤其是高安陶瓷企业工业炉窑的技术改造、重组整合治理工作。开展重点行业挥发性有机物治理，建立重点企业基础信息库，逐步出台行业地方排放标准。加强重点工业园区有毒有害大气污染物排放控制。</w:t>
                  </w:r>
                </w:p>
              </w:tc>
              <w:tc>
                <w:tcPr>
                  <w:tcW w:w="1357" w:type="pct"/>
                  <w:tcBorders>
                    <w:tl2br w:val="nil"/>
                    <w:tr2bl w:val="nil"/>
                  </w:tcBorders>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本项目不属于电力、陶瓷、冶炼、水泥等行业，不新增锅炉、</w:t>
                  </w:r>
                  <w:r>
                    <w:rPr>
                      <w:rFonts w:ascii="Times New Roman" w:eastAsia="宋体" w:hAnsi="Times New Roman" w:cs="Times New Roman" w:hint="default"/>
                      <w:kern w:val="2"/>
                      <w:sz w:val="21"/>
                      <w:szCs w:val="21"/>
                      <w:lang w:val="en-US" w:eastAsia="zh-CN" w:bidi="ar-SA"/>
                    </w:rPr>
                    <w:t>炉窑</w:t>
                  </w:r>
                  <w:r>
                    <w:rPr>
                      <w:rFonts w:ascii="Times New Roman" w:eastAsia="宋体" w:hAnsi="Times New Roman" w:cs="Times New Roman" w:hint="eastAsia"/>
                      <w:kern w:val="2"/>
                      <w:sz w:val="21"/>
                      <w:szCs w:val="21"/>
                      <w:lang w:val="en-US" w:eastAsia="zh-CN" w:bidi="ar-SA"/>
                    </w:rPr>
                    <w:t>，大气污染物经处理后均可达标排放</w:t>
                  </w:r>
                </w:p>
              </w:tc>
              <w:tc>
                <w:tcPr>
                  <w:tcW w:w="435"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符合</w:t>
                  </w:r>
                </w:p>
              </w:tc>
            </w:tr>
            <w:tr>
              <w:tblPrEx>
                <w:tblW w:w="4997" w:type="pct"/>
                <w:tblInd w:w="0" w:type="dxa"/>
                <w:tblCellMar>
                  <w:top w:w="0" w:type="dxa"/>
                  <w:left w:w="108" w:type="dxa"/>
                  <w:bottom w:w="0" w:type="dxa"/>
                  <w:right w:w="108" w:type="dxa"/>
                </w:tblCellMar>
              </w:tblPrEx>
              <w:trPr>
                <w:trHeight w:val="340"/>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420" w:firstLineChars="0"/>
                    <w:jc w:val="both"/>
                    <w:rPr>
                      <w:rFonts w:hint="eastAsia"/>
                      <w:color w:val="auto"/>
                      <w:kern w:val="0"/>
                      <w:szCs w:val="21"/>
                      <w:highlight w:val="none"/>
                    </w:rPr>
                  </w:pPr>
                  <w:r>
                    <w:rPr>
                      <w:rFonts w:ascii="Times New Roman" w:eastAsia="宋体" w:hAnsi="Times New Roman" w:cs="Times New Roman" w:hint="default"/>
                      <w:b/>
                      <w:bCs/>
                      <w:color w:val="auto"/>
                      <w:kern w:val="0"/>
                      <w:sz w:val="21"/>
                      <w:szCs w:val="21"/>
                      <w:highlight w:val="none"/>
                      <w:lang w:val="en-US" w:eastAsia="zh-CN"/>
                    </w:rPr>
                    <w:t>强化城市大气污染治理。</w:t>
                  </w:r>
                  <w:r>
                    <w:rPr>
                      <w:rFonts w:ascii="Times New Roman" w:eastAsia="宋体" w:hAnsi="Times New Roman" w:cs="Times New Roman" w:hint="default"/>
                      <w:color w:val="auto"/>
                      <w:kern w:val="0"/>
                      <w:sz w:val="21"/>
                      <w:szCs w:val="21"/>
                      <w:highlight w:val="none"/>
                      <w:lang w:val="en-US" w:eastAsia="zh-CN"/>
                    </w:rPr>
                    <w:t>加强工地施工扬尘管理，推动城市建成区施工现场按照“六个百分之百”3要求规范管理。对城市建成区内规模以上施工工地要安装视频在线监控设施实施远程监管，构建过程全覆盖、管理全方位、责任全链条的施工扬尘治理体系。加强渣土运输车辆和运营公司的管理。推动设区城市建成区营业面积100平方米以上的餐饮经营场所安装高效油烟净化设施，规范烧烤管理，城市建成区依法禁止露天烧烤。严格烟花爆竹禁限放，加强日常管控，建立长效机制。加强机动车尾气污染治理，推进老旧柴油车深度治理，加强汽车尾气排放监管能力建设，加快推广新能源汽车。</w:t>
                  </w:r>
                </w:p>
              </w:tc>
              <w:tc>
                <w:tcPr>
                  <w:tcW w:w="1357" w:type="pct"/>
                  <w:tcBorders>
                    <w:tl2br w:val="nil"/>
                    <w:tr2bl w:val="nil"/>
                  </w:tcBorders>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本项目为现有建筑适应性改造，不涉及土建施工等活动</w:t>
                  </w:r>
                </w:p>
              </w:tc>
              <w:tc>
                <w:tcPr>
                  <w:tcW w:w="435"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符合</w:t>
                  </w:r>
                </w:p>
              </w:tc>
            </w:tr>
            <w:tr>
              <w:tblPrEx>
                <w:tblW w:w="4997" w:type="pct"/>
                <w:tblInd w:w="0" w:type="dxa"/>
                <w:tblCellMar>
                  <w:top w:w="0" w:type="dxa"/>
                  <w:left w:w="108" w:type="dxa"/>
                  <w:bottom w:w="0" w:type="dxa"/>
                  <w:right w:w="108" w:type="dxa"/>
                </w:tblCellMar>
              </w:tblPrEx>
              <w:trPr>
                <w:trHeight w:val="340"/>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420" w:firstLineChars="0"/>
                    <w:jc w:val="both"/>
                    <w:rPr>
                      <w:rFonts w:hint="eastAsia"/>
                      <w:color w:val="auto"/>
                      <w:kern w:val="0"/>
                      <w:szCs w:val="21"/>
                      <w:highlight w:val="none"/>
                    </w:rPr>
                  </w:pPr>
                  <w:r>
                    <w:rPr>
                      <w:rFonts w:ascii="Times New Roman" w:eastAsia="宋体" w:hAnsi="Times New Roman" w:cs="Times New Roman" w:hint="default"/>
                      <w:b/>
                      <w:bCs/>
                      <w:color w:val="auto"/>
                      <w:kern w:val="0"/>
                      <w:sz w:val="21"/>
                      <w:szCs w:val="21"/>
                      <w:highlight w:val="none"/>
                      <w:lang w:val="en-US" w:eastAsia="zh-CN"/>
                    </w:rPr>
                    <w:t>共抓长江大保护。</w:t>
                  </w:r>
                </w:p>
              </w:tc>
              <w:tc>
                <w:tcPr>
                  <w:tcW w:w="1357" w:type="pct"/>
                  <w:tcBorders>
                    <w:tl2br w:val="nil"/>
                    <w:tr2bl w:val="nil"/>
                  </w:tcBorders>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本项目不属于</w:t>
                  </w:r>
                  <w:r>
                    <w:rPr>
                      <w:rFonts w:ascii="Times New Roman" w:eastAsia="宋体" w:hAnsi="Times New Roman" w:cs="Times New Roman" w:hint="default"/>
                      <w:kern w:val="2"/>
                      <w:sz w:val="21"/>
                      <w:szCs w:val="21"/>
                      <w:lang w:val="en-US" w:eastAsia="zh-CN" w:bidi="ar-SA"/>
                    </w:rPr>
                    <w:t>化工、造纸、制革、冶炼等重污染项目</w:t>
                  </w:r>
                  <w:r>
                    <w:rPr>
                      <w:rFonts w:ascii="Times New Roman" w:eastAsia="宋体" w:hAnsi="Times New Roman" w:cs="Times New Roman" w:hint="eastAsia"/>
                      <w:kern w:val="2"/>
                      <w:sz w:val="21"/>
                      <w:szCs w:val="21"/>
                      <w:lang w:val="en-US" w:eastAsia="zh-CN" w:bidi="ar-SA"/>
                    </w:rPr>
                    <w:t>，不涉及河道采砂等，项目废水预处理后排入青山湖污水处理厂</w:t>
                  </w:r>
                </w:p>
              </w:tc>
              <w:tc>
                <w:tcPr>
                  <w:tcW w:w="435"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符合</w:t>
                  </w:r>
                </w:p>
              </w:tc>
            </w:tr>
          </w:tbl>
          <w:p/>
        </w:tc>
      </w:tr>
    </w:tbl>
    <w:p>
      <w:pPr>
        <w:sectPr>
          <w:footerReference w:type="default" r:id="rId20"/>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13"/>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tbl>
            <w:tblPr>
              <w:tblStyle w:val="TableNormal"/>
              <w:tblpPr w:leftFromText="180" w:rightFromText="180" w:vertAnchor="text" w:tblpY="1"/>
              <w:tblOverlap w:val="never"/>
              <w:tblW w:w="4997" w:type="pct"/>
              <w:tblInd w:w="0"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CellMar>
                <w:top w:w="0" w:type="dxa"/>
                <w:left w:w="108" w:type="dxa"/>
                <w:bottom w:w="0" w:type="dxa"/>
                <w:right w:w="108" w:type="dxa"/>
              </w:tblCellMar>
            </w:tblPr>
            <w:tblGrid>
              <w:gridCol w:w="4843"/>
              <w:gridCol w:w="2049"/>
              <w:gridCol w:w="657"/>
            </w:tblGrid>
            <w:tr>
              <w:tblPrEx>
                <w:tblW w:w="4997" w:type="pct"/>
                <w:tblInd w:w="0"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CellMar>
                  <w:top w:w="0" w:type="dxa"/>
                  <w:left w:w="108" w:type="dxa"/>
                  <w:bottom w:w="0" w:type="dxa"/>
                  <w:right w:w="108" w:type="dxa"/>
                </w:tblCellMar>
              </w:tblPrEx>
              <w:trPr>
                <w:trHeight w:val="340"/>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420" w:firstLineChars="0"/>
                    <w:jc w:val="both"/>
                    <w:rPr>
                      <w:rFonts w:hint="eastAsia"/>
                      <w:color w:val="auto"/>
                      <w:kern w:val="0"/>
                      <w:szCs w:val="21"/>
                      <w:highlight w:val="none"/>
                    </w:rPr>
                  </w:pPr>
                  <w:r>
                    <w:rPr>
                      <w:rFonts w:ascii="Times New Roman" w:eastAsia="宋体" w:hAnsi="Times New Roman" w:cs="Times New Roman" w:hint="default"/>
                      <w:color w:val="auto"/>
                      <w:kern w:val="0"/>
                      <w:sz w:val="21"/>
                      <w:szCs w:val="21"/>
                      <w:highlight w:val="none"/>
                      <w:lang w:val="en-US" w:eastAsia="zh-CN"/>
                    </w:rPr>
                    <w:t>严禁在长江干流江西段、“五河”干流和鄱阳湖周边岸线5公里范围内新布局重化工园区、1公里范围内不得新上化工、造纸、制革、冶炼等重污染项目，严控石化、煤化工等产业，优化沿江企业、产业和码头布局。全面落实“一河一策”工作要求，实现河湖保护与治理措施项目化、清单化、长效化。加强对长江沿线各地工业园区、重点风险源企业和环保设施运行的全过程监管。严格管控岸线开发利用，合理安排沿江工业和港口岸线，探索建立岸线资源有偿使用制度。科学编制或修编采砂规划，严格采砂管理，坚决打击非法开采。</w:t>
                  </w:r>
                </w:p>
              </w:tc>
              <w:tc>
                <w:tcPr>
                  <w:tcW w:w="1357" w:type="pct"/>
                  <w:tcBorders>
                    <w:tl2br w:val="nil"/>
                    <w:tr2bl w:val="nil"/>
                  </w:tcBorders>
                  <w:vAlign w:val="center"/>
                </w:tcPr>
                <w:p/>
              </w:tc>
              <w:tc>
                <w:tcPr>
                  <w:tcW w:w="435" w:type="pct"/>
                  <w:tcBorders>
                    <w:tl2br w:val="nil"/>
                    <w:tr2bl w:val="nil"/>
                  </w:tcBorders>
                  <w:vAlign w:val="center"/>
                </w:tcPr>
                <w:p/>
              </w:tc>
            </w:tr>
            <w:tr>
              <w:tblPrEx>
                <w:tblW w:w="4997" w:type="pct"/>
                <w:tblInd w:w="0" w:type="dxa"/>
                <w:tblCellMar>
                  <w:top w:w="0" w:type="dxa"/>
                  <w:left w:w="108" w:type="dxa"/>
                  <w:bottom w:w="0" w:type="dxa"/>
                  <w:right w:w="108" w:type="dxa"/>
                </w:tblCellMar>
              </w:tblPrEx>
              <w:trPr>
                <w:trHeight w:val="340"/>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420" w:firstLineChars="0"/>
                    <w:jc w:val="both"/>
                    <w:rPr>
                      <w:rFonts w:hint="eastAsia"/>
                      <w:color w:val="auto"/>
                      <w:kern w:val="0"/>
                      <w:szCs w:val="21"/>
                      <w:highlight w:val="none"/>
                    </w:rPr>
                  </w:pPr>
                  <w:r>
                    <w:rPr>
                      <w:rFonts w:ascii="Times New Roman" w:eastAsia="宋体" w:hAnsi="Times New Roman" w:cs="Times New Roman" w:hint="default"/>
                      <w:b/>
                      <w:bCs/>
                      <w:color w:val="auto"/>
                      <w:kern w:val="0"/>
                      <w:sz w:val="21"/>
                      <w:szCs w:val="21"/>
                      <w:highlight w:val="none"/>
                      <w:lang w:val="en-US" w:eastAsia="zh-CN"/>
                    </w:rPr>
                    <w:t>协同推进鄱阳湖大保护。</w:t>
                  </w:r>
                  <w:r>
                    <w:rPr>
                      <w:rFonts w:ascii="Times New Roman" w:eastAsia="宋体" w:hAnsi="Times New Roman" w:cs="Times New Roman" w:hint="default"/>
                      <w:color w:val="auto"/>
                      <w:kern w:val="0"/>
                      <w:sz w:val="21"/>
                      <w:szCs w:val="21"/>
                      <w:highlight w:val="none"/>
                      <w:lang w:val="en-US" w:eastAsia="zh-CN"/>
                    </w:rPr>
                    <w:t>推动环湖地区联合开展鄱阳湖环境综合整治，建立跨行政区协同推进鄱阳湖生态保护的体制机制。重点对鄱阳湖区的污染源开展整治行动，实施抚河、潦河、杨柳津河、赣江南支水污染综合治理工程，强化区域污染治理技术。摸清鄱阳湖水体中总磷来源和污染负荷，重点控制城镇和农村生活污染，提升湖区农村生活污水处理能力，提高城镇生活污水处理效率，切实加强农业面源污染防治，多措并举减少总磷的排放量，力争鄱阳湖水质稳步。开展相邻水域水环境联合治理，共同优化研究水资源和水环境功能区划，合理调整河道的功能，加大对河道尤其是主要支流河道的疏浚力度。建立鄱阳湖水质月监测评价、季通报、年考核的工作机制，确保鄱阳湖流域排污总量不增加、水质不下降，鄱阳湖入长江断面水质逐年改善</w:t>
                  </w:r>
                  <w:r>
                    <w:rPr>
                      <w:rFonts w:ascii="Times New Roman" w:eastAsia="宋体" w:hAnsi="Times New Roman" w:cs="Times New Roman" w:hint="eastAsia"/>
                      <w:color w:val="auto"/>
                      <w:kern w:val="0"/>
                      <w:sz w:val="21"/>
                      <w:szCs w:val="21"/>
                      <w:highlight w:val="none"/>
                      <w:lang w:val="en-US" w:eastAsia="zh-CN"/>
                    </w:rPr>
                    <w:t>。</w:t>
                  </w:r>
                </w:p>
              </w:tc>
              <w:tc>
                <w:tcPr>
                  <w:tcW w:w="1357" w:type="pct"/>
                  <w:tcBorders>
                    <w:tl2br w:val="nil"/>
                    <w:tr2bl w:val="nil"/>
                  </w:tcBorders>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项目废水经化粪池预处理后排入青山湖污水处理厂，处理达标后尾水排入赣江南支，对鄱阳湖水质影响较小</w:t>
                  </w:r>
                </w:p>
              </w:tc>
              <w:tc>
                <w:tcPr>
                  <w:tcW w:w="435"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符合</w:t>
                  </w:r>
                </w:p>
              </w:tc>
            </w:tr>
            <w:tr>
              <w:tblPrEx>
                <w:tblW w:w="4997" w:type="pct"/>
                <w:tblInd w:w="0" w:type="dxa"/>
                <w:tblCellMar>
                  <w:top w:w="0" w:type="dxa"/>
                  <w:left w:w="108" w:type="dxa"/>
                  <w:bottom w:w="0" w:type="dxa"/>
                  <w:right w:w="108" w:type="dxa"/>
                </w:tblCellMar>
              </w:tblPrEx>
              <w:trPr>
                <w:trHeight w:val="340"/>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420" w:firstLineChars="0"/>
                    <w:jc w:val="both"/>
                    <w:rPr>
                      <w:rFonts w:hint="eastAsia"/>
                      <w:color w:val="auto"/>
                      <w:kern w:val="0"/>
                      <w:szCs w:val="21"/>
                      <w:highlight w:val="none"/>
                    </w:rPr>
                  </w:pPr>
                  <w:r>
                    <w:rPr>
                      <w:rFonts w:ascii="Times New Roman" w:eastAsia="宋体" w:hAnsi="Times New Roman" w:cs="Times New Roman" w:hint="default"/>
                      <w:b/>
                      <w:bCs/>
                      <w:color w:val="auto"/>
                      <w:kern w:val="0"/>
                      <w:sz w:val="21"/>
                      <w:szCs w:val="21"/>
                      <w:highlight w:val="none"/>
                      <w:lang w:val="en-US" w:eastAsia="zh-CN"/>
                    </w:rPr>
                    <w:t>加强饮用水源地保护。</w:t>
                  </w:r>
                  <w:r>
                    <w:rPr>
                      <w:rFonts w:ascii="Times New Roman" w:eastAsia="宋体" w:hAnsi="Times New Roman" w:cs="Times New Roman" w:hint="default"/>
                      <w:color w:val="auto"/>
                      <w:kern w:val="0"/>
                      <w:sz w:val="21"/>
                      <w:szCs w:val="21"/>
                      <w:highlight w:val="none"/>
                      <w:lang w:val="en-US" w:eastAsia="zh-CN"/>
                    </w:rPr>
                    <w:t>依法划定饮用水水源保护区并定标立界，加强饮用水水源地水质检测和风险防范。饮用水保护区内禁止设置排污口，坚决取缔饮用水水源一级保护区内所有与供水设施和保护水源无关的建设项目，坚决取缔二级保护区内所有排放污染物的建设项目。鼓励跨区域跨流域共建水资源保护带和生态隔离带，加快推进城市备用水源地和农村饮用水安全巩固提升工程建设。九江市要建立柘林湖水源地保护计划，实施水源地生态环保工程，包括水源地及配套设施建设、水源地环境污染调查、水源地上游环境风险源调查评价、水源地环境专项整治。</w:t>
                  </w:r>
                </w:p>
              </w:tc>
              <w:tc>
                <w:tcPr>
                  <w:tcW w:w="1357" w:type="pct"/>
                  <w:tcBorders>
                    <w:tl2br w:val="nil"/>
                    <w:tr2bl w:val="nil"/>
                  </w:tcBorders>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项目不涉及</w:t>
                  </w:r>
                  <w:r>
                    <w:rPr>
                      <w:rFonts w:ascii="Times New Roman" w:eastAsia="宋体" w:hAnsi="Times New Roman" w:cs="Times New Roman" w:hint="default"/>
                      <w:kern w:val="2"/>
                      <w:sz w:val="21"/>
                      <w:szCs w:val="21"/>
                      <w:lang w:val="en-US" w:eastAsia="zh-CN" w:bidi="ar-SA"/>
                    </w:rPr>
                    <w:t>饮用水水源保护区</w:t>
                  </w:r>
                </w:p>
              </w:tc>
              <w:tc>
                <w:tcPr>
                  <w:tcW w:w="435"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符合</w:t>
                  </w:r>
                </w:p>
              </w:tc>
            </w:tr>
            <w:tr>
              <w:tblPrEx>
                <w:tblW w:w="4997" w:type="pct"/>
                <w:tblInd w:w="0" w:type="dxa"/>
                <w:tblCellMar>
                  <w:top w:w="0" w:type="dxa"/>
                  <w:left w:w="108" w:type="dxa"/>
                  <w:bottom w:w="0" w:type="dxa"/>
                  <w:right w:w="108" w:type="dxa"/>
                </w:tblCellMar>
              </w:tblPrEx>
              <w:trPr>
                <w:trHeight w:val="340"/>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420" w:firstLineChars="0"/>
                    <w:jc w:val="both"/>
                    <w:rPr>
                      <w:rFonts w:hint="eastAsia"/>
                      <w:color w:val="auto"/>
                      <w:kern w:val="0"/>
                      <w:szCs w:val="21"/>
                      <w:highlight w:val="none"/>
                    </w:rPr>
                  </w:pPr>
                  <w:r>
                    <w:rPr>
                      <w:rFonts w:ascii="Times New Roman" w:eastAsia="宋体" w:hAnsi="Times New Roman" w:cs="Times New Roman" w:hint="default"/>
                      <w:b/>
                      <w:bCs/>
                      <w:color w:val="auto"/>
                      <w:kern w:val="0"/>
                      <w:sz w:val="21"/>
                      <w:szCs w:val="21"/>
                      <w:highlight w:val="none"/>
                      <w:lang w:val="en-US" w:eastAsia="zh-CN"/>
                    </w:rPr>
                    <w:t>严格防控土壤环境污染。</w:t>
                  </w:r>
                  <w:r>
                    <w:rPr>
                      <w:rFonts w:ascii="Times New Roman" w:eastAsia="宋体" w:hAnsi="Times New Roman" w:cs="Times New Roman" w:hint="default"/>
                      <w:color w:val="auto"/>
                      <w:kern w:val="0"/>
                      <w:sz w:val="21"/>
                      <w:szCs w:val="21"/>
                      <w:highlight w:val="none"/>
                      <w:lang w:val="en-US" w:eastAsia="zh-CN"/>
                    </w:rPr>
                    <w:t>在土壤环境保护优先区域内实行严格的环境保护制度。强化重点规划环评和排放重金属、有机污染物的项目环评审核，规范垃圾、污泥无害化处理处置措施，严控新增土壤污染，加强对未污染和轻微污染耕地的保护。开展土壤环境状况详查及土壤环境质量评估，划分土壤环境质量等级，逐步建立土壤环境分类管理信息库，实行分类管控。加强土壤环境污染防治能力建设，建立土壤环境质量定期监测和信息发布制度，强化土壤环境监管和风险防控。加强居住、学校、医疗和养老用地土壤环境风险管理。严格污染场地开发利用和流转审批，对新增建设用地和现有建设用地土地用途变更实施强制性土壤环境调查评估与备案制度。</w:t>
                  </w:r>
                </w:p>
              </w:tc>
              <w:tc>
                <w:tcPr>
                  <w:tcW w:w="1357" w:type="pct"/>
                  <w:tcBorders>
                    <w:tl2br w:val="nil"/>
                    <w:tr2bl w:val="nil"/>
                  </w:tcBorders>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本项目位于</w:t>
                  </w:r>
                  <w:r>
                    <w:rPr>
                      <w:rFonts w:cs="Times New Roman" w:hint="eastAsia"/>
                      <w:kern w:val="2"/>
                      <w:sz w:val="21"/>
                      <w:szCs w:val="21"/>
                      <w:lang w:val="en-US" w:eastAsia="zh-CN" w:bidi="ar-SA"/>
                    </w:rPr>
                    <w:t>弘泰大厦</w:t>
                  </w:r>
                  <w:r>
                    <w:rPr>
                      <w:rFonts w:ascii="Times New Roman" w:eastAsia="宋体" w:hAnsi="Times New Roman" w:cs="Times New Roman" w:hint="eastAsia"/>
                      <w:kern w:val="2"/>
                      <w:sz w:val="21"/>
                      <w:szCs w:val="21"/>
                      <w:lang w:val="en-US" w:eastAsia="zh-CN" w:bidi="ar-SA"/>
                    </w:rPr>
                    <w:t>六楼，项目建设运行基本不对项目所在区域土壤环境造成影响</w:t>
                  </w:r>
                </w:p>
              </w:tc>
              <w:tc>
                <w:tcPr>
                  <w:tcW w:w="435"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符合</w:t>
                  </w:r>
                </w:p>
              </w:tc>
            </w:tr>
            <w:tr>
              <w:tblPrEx>
                <w:tblW w:w="4997" w:type="pct"/>
                <w:tblInd w:w="0" w:type="dxa"/>
                <w:tblCellMar>
                  <w:top w:w="0" w:type="dxa"/>
                  <w:left w:w="108" w:type="dxa"/>
                  <w:bottom w:w="0" w:type="dxa"/>
                  <w:right w:w="108" w:type="dxa"/>
                </w:tblCellMar>
              </w:tblPrEx>
              <w:trPr>
                <w:trHeight w:val="340"/>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420" w:firstLineChars="0"/>
                    <w:jc w:val="both"/>
                    <w:rPr>
                      <w:rFonts w:hint="eastAsia"/>
                      <w:color w:val="auto"/>
                      <w:kern w:val="0"/>
                      <w:szCs w:val="21"/>
                      <w:highlight w:val="none"/>
                    </w:rPr>
                  </w:pPr>
                  <w:r>
                    <w:rPr>
                      <w:rFonts w:ascii="Times New Roman" w:eastAsia="宋体" w:hAnsi="Times New Roman" w:cs="Times New Roman" w:hint="default"/>
                      <w:b/>
                      <w:bCs/>
                      <w:color w:val="auto"/>
                      <w:kern w:val="0"/>
                      <w:sz w:val="21"/>
                      <w:szCs w:val="21"/>
                      <w:highlight w:val="none"/>
                      <w:lang w:val="en-US" w:eastAsia="zh-CN"/>
                    </w:rPr>
                    <w:t>加强重金属污染防治。</w:t>
                  </w:r>
                </w:p>
              </w:tc>
              <w:tc>
                <w:tcPr>
                  <w:tcW w:w="1357" w:type="pct"/>
                  <w:tcBorders>
                    <w:tl2br w:val="nil"/>
                    <w:tr2bl w:val="nil"/>
                  </w:tcBorders>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本项目</w:t>
                  </w:r>
                  <w:r>
                    <w:rPr>
                      <w:rFonts w:cs="Times New Roman" w:hint="eastAsia"/>
                      <w:kern w:val="2"/>
                      <w:sz w:val="21"/>
                      <w:szCs w:val="21"/>
                      <w:lang w:val="en-US" w:eastAsia="zh-CN" w:bidi="ar-SA"/>
                    </w:rPr>
                    <w:t>不涉及重金属排放，</w:t>
                  </w:r>
                  <w:r>
                    <w:rPr>
                      <w:rFonts w:ascii="Times New Roman" w:eastAsia="宋体" w:hAnsi="Times New Roman" w:cs="Times New Roman" w:hint="eastAsia"/>
                      <w:kern w:val="2"/>
                      <w:sz w:val="21"/>
                      <w:szCs w:val="21"/>
                      <w:lang w:val="en-US" w:eastAsia="zh-CN" w:bidi="ar-SA"/>
                    </w:rPr>
                    <w:t>实验室废液作为危废妥善处置</w:t>
                  </w:r>
                </w:p>
              </w:tc>
              <w:tc>
                <w:tcPr>
                  <w:tcW w:w="435"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符合</w:t>
                  </w:r>
                </w:p>
              </w:tc>
            </w:tr>
          </w:tbl>
          <w:p/>
        </w:tc>
      </w:tr>
    </w:tbl>
    <w:p>
      <w:pPr>
        <w:sectPr>
          <w:footerReference w:type="default" r:id="rId21"/>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14"/>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tbl>
            <w:tblPr>
              <w:tblStyle w:val="TableNormal"/>
              <w:tblpPr w:leftFromText="180" w:rightFromText="180" w:vertAnchor="text" w:tblpY="1"/>
              <w:tblOverlap w:val="never"/>
              <w:tblW w:w="4997" w:type="pct"/>
              <w:tblInd w:w="0"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CellMar>
                <w:top w:w="0" w:type="dxa"/>
                <w:left w:w="108" w:type="dxa"/>
                <w:bottom w:w="0" w:type="dxa"/>
                <w:right w:w="108" w:type="dxa"/>
              </w:tblCellMar>
            </w:tblPr>
            <w:tblGrid>
              <w:gridCol w:w="4843"/>
              <w:gridCol w:w="2049"/>
              <w:gridCol w:w="657"/>
            </w:tblGrid>
            <w:tr>
              <w:tblPrEx>
                <w:tblW w:w="4997" w:type="pct"/>
                <w:tblInd w:w="0"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CellMar>
                  <w:top w:w="0" w:type="dxa"/>
                  <w:left w:w="108" w:type="dxa"/>
                  <w:bottom w:w="0" w:type="dxa"/>
                  <w:right w:w="108" w:type="dxa"/>
                </w:tblCellMar>
              </w:tblPrEx>
              <w:trPr>
                <w:trHeight w:val="340"/>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420" w:firstLineChars="0"/>
                    <w:jc w:val="both"/>
                    <w:rPr>
                      <w:rFonts w:hint="eastAsia"/>
                      <w:color w:val="auto"/>
                      <w:kern w:val="0"/>
                      <w:szCs w:val="21"/>
                      <w:highlight w:val="none"/>
                    </w:rPr>
                  </w:pPr>
                  <w:r>
                    <w:rPr>
                      <w:rFonts w:ascii="Times New Roman" w:eastAsia="宋体" w:hAnsi="Times New Roman" w:cs="Times New Roman" w:hint="default"/>
                      <w:color w:val="auto"/>
                      <w:kern w:val="0"/>
                      <w:sz w:val="21"/>
                      <w:szCs w:val="21"/>
                      <w:highlight w:val="none"/>
                      <w:lang w:val="en-US" w:eastAsia="zh-CN"/>
                    </w:rPr>
                    <w:t>严格执行重金属污染物排放标准，对排放重金属的新增产能和淘汰产能实行“等量置换”或者“减量置换”。加大监督检查力度，对整改后仍不达标的企业，依法责令其停业、关闭，并将企业名单向社会公开。继续淘汰涉重金属重点行业落后产能，严格执行重金属相关行业准入条件，禁止新建落后产能项目。按计划逐步淘汰普通照明白炽灯，执行铅酸蓄电池等行业落后产能淘汰标准，逐步退出落后产能。贯彻落实国家发布的涉重金属重点工业行业清洁生产技术推行方案，鼓励企业采用先进适用生产工艺和技术。重点监测土壤中镉、汞、砷、铬、铅等重金属和滴滴涕、多环芳烃等有机污染物，兼顾镍、铜。重点监管有色金属冶炼、化工、电镀、制革、铅蓄电池等行业。</w:t>
                  </w:r>
                </w:p>
              </w:tc>
              <w:tc>
                <w:tcPr>
                  <w:tcW w:w="1357" w:type="pct"/>
                  <w:tcBorders>
                    <w:tl2br w:val="nil"/>
                    <w:tr2bl w:val="nil"/>
                  </w:tcBorders>
                  <w:vAlign w:val="center"/>
                </w:tcPr>
                <w:p/>
              </w:tc>
              <w:tc>
                <w:tcPr>
                  <w:tcW w:w="435" w:type="pct"/>
                  <w:tcBorders>
                    <w:tl2br w:val="nil"/>
                    <w:tr2bl w:val="nil"/>
                  </w:tcBorders>
                  <w:vAlign w:val="center"/>
                </w:tcPr>
                <w:p/>
              </w:tc>
            </w:tr>
            <w:tr>
              <w:tblPrEx>
                <w:tblW w:w="4997" w:type="pct"/>
                <w:tblInd w:w="0" w:type="dxa"/>
                <w:tblCellMar>
                  <w:top w:w="0" w:type="dxa"/>
                  <w:left w:w="108" w:type="dxa"/>
                  <w:bottom w:w="0" w:type="dxa"/>
                  <w:right w:w="108" w:type="dxa"/>
                </w:tblCellMar>
              </w:tblPrEx>
              <w:trPr>
                <w:trHeight w:val="340"/>
              </w:trPr>
              <w:tc>
                <w:tcPr>
                  <w:tcW w:w="3207"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420" w:firstLineChars="0"/>
                    <w:jc w:val="both"/>
                    <w:rPr>
                      <w:rFonts w:hint="eastAsia"/>
                      <w:color w:val="auto"/>
                      <w:kern w:val="0"/>
                      <w:szCs w:val="21"/>
                      <w:highlight w:val="none"/>
                    </w:rPr>
                  </w:pPr>
                  <w:r>
                    <w:rPr>
                      <w:rFonts w:ascii="Times New Roman" w:eastAsia="宋体" w:hAnsi="Times New Roman" w:cs="Times New Roman" w:hint="default"/>
                      <w:b/>
                      <w:bCs/>
                      <w:color w:val="auto"/>
                      <w:kern w:val="0"/>
                      <w:sz w:val="21"/>
                      <w:szCs w:val="21"/>
                      <w:highlight w:val="none"/>
                      <w:lang w:val="en-US" w:eastAsia="zh-CN"/>
                    </w:rPr>
                    <w:t>规范危险废物利用处置行为。</w:t>
                  </w:r>
                  <w:r>
                    <w:rPr>
                      <w:rFonts w:ascii="Times New Roman" w:eastAsia="宋体" w:hAnsi="Times New Roman" w:cs="Times New Roman" w:hint="default"/>
                      <w:color w:val="auto"/>
                      <w:kern w:val="0"/>
                      <w:sz w:val="21"/>
                      <w:szCs w:val="21"/>
                      <w:highlight w:val="none"/>
                      <w:lang w:val="en-US" w:eastAsia="zh-CN"/>
                    </w:rPr>
                    <w:t>持续推进危险废物规范化管理，督促企业落实相关法律制度和标准规范。对纳入重点排污单位的企业进行监督性监测，公布监测结果。开展风险评估，全面监督和检查企业自行建设和管理的处理处置设施。落实企业危险废物污染防治主体责任，推进企业环境信用评价，将违法企业纳入环境保护领域违法失信名单，实行公开曝光，开展联合惩戒。结合省以下环保机构监测监察执法垂直管理制度改革，将危险废物日常环境监管纳入环境执法“双随机一公开”内容。</w:t>
                  </w:r>
                </w:p>
              </w:tc>
              <w:tc>
                <w:tcPr>
                  <w:tcW w:w="1357" w:type="pct"/>
                  <w:tcBorders>
                    <w:tl2br w:val="nil"/>
                    <w:tr2bl w:val="nil"/>
                  </w:tcBorders>
                  <w:vAlign w:val="center"/>
                </w:tcPr>
                <w:p>
                  <w:pPr>
                    <w:widowControl w:val="0"/>
                    <w:tabs>
                      <w:tab w:val="left" w:pos="0"/>
                    </w:tabs>
                    <w:bidi w:val="0"/>
                    <w:spacing w:line="240" w:lineRule="auto"/>
                    <w:ind w:firstLine="0" w:firstLineChars="0"/>
                    <w:jc w:val="center"/>
                    <w:rPr>
                      <w:rFonts w:hint="default"/>
                      <w:szCs w:val="21"/>
                    </w:rPr>
                  </w:pPr>
                  <w:r>
                    <w:rPr>
                      <w:rFonts w:ascii="Times New Roman" w:eastAsia="宋体" w:hAnsi="Times New Roman" w:cs="Times New Roman" w:hint="eastAsia"/>
                      <w:kern w:val="2"/>
                      <w:sz w:val="21"/>
                      <w:szCs w:val="21"/>
                      <w:lang w:val="en-US" w:eastAsia="zh-CN" w:bidi="ar-SA"/>
                    </w:rPr>
                    <w:t>本项目按规范要求设置危废暂存间，分类暂存，并委托有资质单位分类处置</w:t>
                  </w:r>
                </w:p>
              </w:tc>
              <w:tc>
                <w:tcPr>
                  <w:tcW w:w="435" w:type="pct"/>
                  <w:tcBorders>
                    <w:tl2br w:val="nil"/>
                    <w:tr2bl w:val="nil"/>
                  </w:tcBorders>
                  <w:vAlign w:val="center"/>
                </w:tcPr>
                <w:p>
                  <w:pPr>
                    <w:keepNext w:val="0"/>
                    <w:keepLines w:val="0"/>
                    <w:widowControl/>
                    <w:suppressLineNumbers w:val="0"/>
                    <w:adjustRightInd w:val="0"/>
                    <w:snapToGrid w:val="0"/>
                    <w:spacing w:before="0" w:beforeAutospacing="0" w:after="0" w:afterAutospacing="0" w:line="0" w:lineRule="atLeast"/>
                    <w:ind w:left="0" w:right="0" w:firstLine="0" w:firstLine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符合</w:t>
                  </w:r>
                </w:p>
              </w:tc>
            </w:tr>
          </w:tbl>
          <w:p>
            <w:pPr>
              <w:pStyle w:val="yt"/>
              <w:bidi w:val="0"/>
              <w:rPr>
                <w:rFonts w:hint="default"/>
                <w:lang w:val="en-US" w:eastAsia="zh-CN"/>
              </w:rPr>
            </w:pPr>
            <w:r>
              <w:rPr>
                <w:rFonts w:hint="eastAsia"/>
                <w:lang w:val="en-US" w:eastAsia="zh-CN"/>
              </w:rPr>
              <w:t>综上所述，项目建设符合《</w:t>
            </w:r>
            <w:r>
              <w:rPr>
                <w:rFonts w:hint="default"/>
                <w:lang w:val="en-US" w:eastAsia="zh-CN"/>
              </w:rPr>
              <w:t>大南昌都市圈生态环境保护规划</w:t>
            </w:r>
            <w:r>
              <w:rPr>
                <w:rFonts w:hint="eastAsia"/>
                <w:lang w:val="en-US" w:eastAsia="zh-CN"/>
              </w:rPr>
              <w:t>》</w:t>
            </w:r>
            <w:r>
              <w:rPr>
                <w:rFonts w:hint="default"/>
                <w:lang w:val="en-US" w:eastAsia="zh-CN"/>
              </w:rPr>
              <w:t>（2020-2025年）</w:t>
            </w:r>
            <w:r>
              <w:rPr>
                <w:rFonts w:hint="eastAsia"/>
                <w:lang w:val="en-US" w:eastAsia="zh-CN"/>
              </w:rPr>
              <w:t>要求。</w:t>
            </w:r>
          </w:p>
          <w:p>
            <w:pPr>
              <w:spacing w:line="360" w:lineRule="auto"/>
              <w:ind w:firstLine="480" w:firstLineChars="200"/>
              <w:jc w:val="left"/>
              <w:rPr>
                <w:b/>
                <w:sz w:val="24"/>
              </w:rPr>
            </w:pPr>
            <w:r>
              <w:rPr>
                <w:rFonts w:hint="eastAsia"/>
                <w:b/>
                <w:sz w:val="24"/>
                <w:lang w:val="en-US" w:eastAsia="zh-CN"/>
              </w:rPr>
              <w:t>6</w:t>
            </w:r>
            <w:r>
              <w:rPr>
                <w:b/>
                <w:sz w:val="24"/>
              </w:rPr>
              <w:t>、产业政策相符性分析</w:t>
            </w:r>
          </w:p>
          <w:p>
            <w:pPr>
              <w:pStyle w:val="BodyTextIndent2"/>
              <w:ind w:firstLine="480"/>
              <w:rPr>
                <w:rFonts w:hint="eastAsia"/>
                <w:sz w:val="24"/>
                <w:szCs w:val="24"/>
              </w:rPr>
            </w:pPr>
            <w:r>
              <w:rPr>
                <w:rFonts w:hint="eastAsia"/>
                <w:sz w:val="24"/>
                <w:szCs w:val="24"/>
              </w:rPr>
              <w:t>根据</w:t>
            </w:r>
            <w:r>
              <w:rPr>
                <w:rFonts w:hint="eastAsia"/>
                <w:sz w:val="24"/>
                <w:szCs w:val="24"/>
                <w:lang w:eastAsia="zh-CN"/>
              </w:rPr>
              <w:t>《产业结构调整指导目录》（2021年修订本）</w:t>
            </w:r>
            <w:r>
              <w:rPr>
                <w:rFonts w:hint="eastAsia"/>
                <w:sz w:val="24"/>
                <w:szCs w:val="24"/>
              </w:rPr>
              <w:t>，本项目属于</w:t>
            </w:r>
            <w:r>
              <w:rPr>
                <w:rFonts w:hint="eastAsia"/>
                <w:sz w:val="24"/>
                <w:szCs w:val="24"/>
                <w:lang w:eastAsia="zh-CN"/>
              </w:rPr>
              <w:t>鼓励类“三十一、科技服务业：1、工业设计、气象、生物、新材料、新能源、节能、环保、测绘、海洋等专业科技服务，标准化服务、计量测试、质量认证和检验检测服务、科技普及”的范畴</w:t>
            </w:r>
            <w:r>
              <w:rPr>
                <w:sz w:val="24"/>
                <w:szCs w:val="24"/>
              </w:rPr>
              <w:t>。同时，本项目取得了</w:t>
            </w:r>
            <w:r>
              <w:rPr>
                <w:rFonts w:hint="eastAsia"/>
                <w:sz w:val="24"/>
                <w:szCs w:val="24"/>
                <w:lang w:eastAsia="zh-CN"/>
              </w:rPr>
              <w:t>南昌市青山湖区发展和改革委员会</w:t>
            </w:r>
            <w:r>
              <w:rPr>
                <w:sz w:val="24"/>
                <w:szCs w:val="24"/>
              </w:rPr>
              <w:t>对本项目的备案（统一项目代码为</w:t>
            </w:r>
            <w:r>
              <w:rPr>
                <w:rFonts w:hint="eastAsia"/>
                <w:sz w:val="24"/>
                <w:szCs w:val="24"/>
                <w:lang w:eastAsia="zh-CN"/>
              </w:rPr>
              <w:t>2302-360111-04-01-571530</w:t>
            </w:r>
            <w:r>
              <w:rPr>
                <w:sz w:val="24"/>
                <w:szCs w:val="24"/>
              </w:rPr>
              <w:t>），因此，本项目建设符合国家和地方产业政策。</w:t>
            </w:r>
          </w:p>
          <w:p>
            <w:pPr>
              <w:spacing w:line="360" w:lineRule="auto"/>
              <w:ind w:firstLine="480" w:firstLineChars="200"/>
              <w:jc w:val="left"/>
              <w:rPr>
                <w:rFonts w:hint="eastAsia"/>
                <w:b/>
                <w:sz w:val="24"/>
              </w:rPr>
            </w:pPr>
            <w:r>
              <w:rPr>
                <w:rFonts w:cs="Times New Roman" w:hint="eastAsia"/>
                <w:b/>
                <w:sz w:val="24"/>
                <w:lang w:val="en-US" w:eastAsia="zh-CN"/>
              </w:rPr>
              <w:t>7</w:t>
            </w:r>
            <w:r>
              <w:rPr>
                <w:rFonts w:ascii="Times New Roman" w:eastAsia="宋体" w:hAnsi="Times New Roman" w:cs="Times New Roman" w:hint="eastAsia"/>
                <w:b/>
                <w:sz w:val="24"/>
                <w:lang w:val="en-US" w:eastAsia="zh-CN"/>
              </w:rPr>
              <w:t>、项目选址合理性分析</w:t>
            </w:r>
          </w:p>
          <w:p>
            <w:pPr>
              <w:pStyle w:val="yt"/>
              <w:bidi w:val="0"/>
            </w:pPr>
            <w:r>
              <w:rPr>
                <w:rFonts w:ascii="宋体" w:eastAsia="宋体" w:hAnsi="宋体" w:cs="宋体" w:hint="eastAsia"/>
                <w:lang w:val="en-US" w:eastAsia="zh-CN"/>
              </w:rPr>
              <w:t>①</w:t>
            </w:r>
            <w:r>
              <w:t>用地性质的相符性分析</w:t>
            </w:r>
          </w:p>
          <w:p>
            <w:pPr>
              <w:pStyle w:val="yt"/>
              <w:bidi w:val="0"/>
            </w:pPr>
            <w:r>
              <w:t>本项目位于南昌市青山湖区高新南大</w:t>
            </w:r>
            <w:r>
              <w:rPr>
                <w:rFonts w:hint="eastAsia"/>
                <w:lang w:eastAsia="zh-CN"/>
              </w:rPr>
              <w:t>道弘泰大厦</w:t>
            </w:r>
            <w:r>
              <w:rPr>
                <w:rFonts w:hint="eastAsia"/>
                <w:lang w:val="en-US" w:eastAsia="zh-CN"/>
              </w:rPr>
              <w:t>六楼</w:t>
            </w:r>
            <w:r>
              <w:rPr>
                <w:rFonts w:hint="eastAsia"/>
                <w:lang w:eastAsia="zh-CN"/>
              </w:rPr>
              <w:t>（又名胡家大厦），具体详见附件</w:t>
            </w:r>
            <w:r>
              <w:rPr>
                <w:rFonts w:hint="eastAsia"/>
                <w:lang w:val="en-US" w:eastAsia="zh-CN"/>
              </w:rPr>
              <w:t>7</w:t>
            </w:r>
            <w:r>
              <w:rPr>
                <w:rFonts w:hint="eastAsia"/>
                <w:lang w:eastAsia="zh-CN"/>
              </w:rPr>
              <w:t>。根据胡家大厦建设工程规划许可证，项目的建设符合城乡规划要求，详见附件。</w:t>
            </w:r>
            <w:r>
              <w:rPr>
                <w:rFonts w:hint="eastAsia"/>
              </w:rPr>
              <w:t>因此，</w:t>
            </w:r>
            <w:r>
              <w:t>项目符合青山湖区规划</w:t>
            </w:r>
            <w:r>
              <w:rPr>
                <w:rFonts w:hint="eastAsia"/>
              </w:rPr>
              <w:t>和</w:t>
            </w:r>
            <w:r>
              <w:t>用地性质。</w:t>
            </w:r>
          </w:p>
          <w:p>
            <w:pPr>
              <w:pStyle w:val="yt"/>
              <w:bidi w:val="0"/>
            </w:pPr>
            <w:r>
              <w:rPr>
                <w:rFonts w:ascii="宋体" w:eastAsia="宋体" w:hAnsi="宋体" w:cs="宋体" w:hint="eastAsia"/>
                <w:lang w:val="en-US" w:eastAsia="zh-CN"/>
              </w:rPr>
              <w:t>②</w:t>
            </w:r>
            <w:r>
              <w:t>选址所在地外环境兼容性分析</w:t>
            </w:r>
          </w:p>
          <w:p>
            <w:pPr>
              <w:pStyle w:val="yt"/>
              <w:bidi w:val="0"/>
              <w:spacing w:after="0"/>
            </w:pPr>
            <w:r>
              <w:t>项目选址不属于生活饮用水源地和地下水补给区、风景名胜区、温泉疗养区、水产养殖区、基本农田保护区、自然保护区等需要特殊保护区域，项目周边主要为居民区、办公商务区，无大型</w:t>
            </w:r>
            <w:r>
              <w:rPr>
                <w:rFonts w:hint="eastAsia"/>
                <w:lang w:val="en-US" w:eastAsia="zh-CN"/>
              </w:rPr>
              <w:t>工业</w:t>
            </w:r>
          </w:p>
        </w:tc>
      </w:tr>
    </w:tbl>
    <w:p>
      <w:pPr>
        <w:sectPr>
          <w:footerReference w:type="default" r:id="rId22"/>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15"/>
          <w:cols w:num="1" w:space="720"/>
          <w:titlePg w:val="0"/>
          <w:docGrid w:linePitch="312" w:charSpace="0"/>
        </w:sectPr>
      </w:pPr>
    </w:p>
    <w:tbl>
      <w:tblPr>
        <w:tblStyle w:val="TableNormal"/>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66"/>
        <w:gridCol w:w="7770"/>
      </w:tblGrid>
      <w:tr>
        <w:tblPrEx>
          <w:tblW w:w="497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572" w:type="dxa"/>
            <w:noWrap w:val="0"/>
            <w:vAlign w:val="center"/>
          </w:tcPr>
          <w:p/>
        </w:tc>
        <w:tc>
          <w:tcPr>
            <w:tcW w:w="7771" w:type="dxa"/>
            <w:noWrap w:val="0"/>
            <w:vAlign w:val="center"/>
          </w:tcPr>
          <w:p>
            <w:pPr>
              <w:pStyle w:val="yt"/>
              <w:bidi w:val="0"/>
              <w:spacing w:before="0"/>
            </w:pPr>
            <w:r>
              <w:t>企业存在，对本项目影响较小。</w:t>
            </w:r>
          </w:p>
          <w:p>
            <w:pPr>
              <w:pStyle w:val="yt"/>
              <w:bidi w:val="0"/>
            </w:pPr>
            <w:r>
              <w:rPr>
                <w:rFonts w:ascii="宋体" w:eastAsia="宋体" w:hAnsi="宋体" w:cs="宋体" w:hint="eastAsia"/>
                <w:lang w:val="en-US" w:eastAsia="zh-CN"/>
              </w:rPr>
              <w:t>③</w:t>
            </w:r>
            <w:r>
              <w:t>环境影响程度</w:t>
            </w:r>
          </w:p>
          <w:p>
            <w:pPr>
              <w:pStyle w:val="yt"/>
              <w:bidi w:val="0"/>
            </w:pPr>
            <w:r>
              <w:t>根据环境质量现状监测可知，</w:t>
            </w:r>
            <w:r>
              <w:rPr>
                <w:rFonts w:hint="eastAsia"/>
                <w:lang w:val="en-US" w:eastAsia="zh-CN"/>
              </w:rPr>
              <w:t>项目所在区域环境质量状况良好</w:t>
            </w:r>
            <w:r>
              <w:t>。根据工程分析确定的污染物源强</w:t>
            </w:r>
            <w:r>
              <w:rPr>
                <w:rFonts w:hint="eastAsia"/>
                <w:lang w:val="en-US" w:eastAsia="zh-CN"/>
              </w:rPr>
              <w:t>确定项目对周边</w:t>
            </w:r>
            <w:r>
              <w:t>大气环境、水环境、声环境影响分析，项目建成后</w:t>
            </w:r>
            <w:r>
              <w:rPr>
                <w:rFonts w:hint="eastAsia"/>
                <w:lang w:val="en-US" w:eastAsia="zh-CN"/>
              </w:rPr>
              <w:t>各项</w:t>
            </w:r>
            <w:r>
              <w:t>污染物</w:t>
            </w:r>
            <w:r>
              <w:rPr>
                <w:rFonts w:hint="eastAsia"/>
                <w:lang w:val="en-US" w:eastAsia="zh-CN"/>
              </w:rPr>
              <w:t>可</w:t>
            </w:r>
            <w:r>
              <w:t>达标排放</w:t>
            </w:r>
            <w:r>
              <w:rPr>
                <w:rFonts w:hint="eastAsia"/>
                <w:lang w:eastAsia="zh-CN"/>
              </w:rPr>
              <w:t>，</w:t>
            </w:r>
            <w:r>
              <w:t>对区域环境空气、水环境、声环境影响较小。因此项目实施后，其污染物排放对周围环境的影响不会改变所在地及其周围居民区的环境功能，其对周围环境</w:t>
            </w:r>
            <w:r>
              <w:rPr>
                <w:rFonts w:hint="eastAsia"/>
                <w:lang w:val="en-US" w:eastAsia="zh-CN"/>
              </w:rPr>
              <w:t>影响较小</w:t>
            </w:r>
            <w:r>
              <w:t>。</w:t>
            </w:r>
          </w:p>
          <w:p>
            <w:pPr>
              <w:pStyle w:val="yt"/>
              <w:bidi w:val="0"/>
              <w:rPr>
                <w:rFonts w:hint="eastAsia"/>
                <w:lang w:val="en-US" w:eastAsia="zh-CN"/>
              </w:rPr>
            </w:pPr>
            <w:r>
              <w:rPr>
                <w:rFonts w:ascii="宋体" w:eastAsia="宋体" w:hAnsi="宋体" w:cs="宋体" w:hint="eastAsia"/>
                <w:lang w:val="en-US" w:eastAsia="zh-CN"/>
              </w:rPr>
              <w:t>④</w:t>
            </w:r>
            <w:r>
              <w:rPr>
                <w:rFonts w:hint="eastAsia"/>
                <w:lang w:val="en-US" w:eastAsia="zh-CN"/>
              </w:rPr>
              <w:t>与昌东工业园区相容性分析</w:t>
            </w:r>
          </w:p>
          <w:p>
            <w:pPr>
              <w:pStyle w:val="yt"/>
              <w:bidi w:val="0"/>
            </w:pPr>
            <w:r>
              <w:rPr>
                <w:rFonts w:hint="eastAsia"/>
                <w:lang w:eastAsia="zh-CN"/>
              </w:rPr>
              <w:t>根据南昌昌东工业园区原规划范围和扩区调区规划范围图可知，</w:t>
            </w:r>
            <w:r>
              <w:t>南昌昌东工业园四至范围为：东至昌东大道、包佛路、昌东五路，南至朱桥东路，西至昌东二路、幸福渠水系、昌东路、李巷村，北至解放东路，实际面积达到503.81公顷。</w:t>
            </w:r>
            <w:r>
              <w:rPr>
                <w:rFonts w:hint="eastAsia"/>
                <w:lang w:eastAsia="zh-CN"/>
              </w:rPr>
              <w:t>经扩区调区后</w:t>
            </w:r>
            <w:r>
              <w:t>，新增面积856.78公顷，扩区后总规划面积达到1360.59公顷。扩区后工业园区四至范围为：东至板溪村，南至昌南大道、朱桥路，西至东升大道、高新大道，北至解放东路</w:t>
            </w:r>
            <w:r>
              <w:rPr>
                <w:rFonts w:hint="eastAsia"/>
                <w:lang w:eastAsia="zh-CN"/>
              </w:rPr>
              <w:t>，本项目位于高</w:t>
            </w:r>
            <w:r>
              <w:rPr>
                <w:rFonts w:hint="eastAsia"/>
                <w:highlight w:val="none"/>
                <w:lang w:eastAsia="zh-CN"/>
              </w:rPr>
              <w:t>新南大道</w:t>
            </w:r>
            <w:r>
              <w:rPr>
                <w:rFonts w:hint="eastAsia"/>
                <w:highlight w:val="none"/>
                <w:lang w:val="en-US" w:eastAsia="zh-CN"/>
              </w:rPr>
              <w:t>3699号，不属于南昌昌东工业园区以及扩区调区后的园区规划范围内（详见附图七）</w:t>
            </w:r>
            <w:r>
              <w:rPr>
                <w:rFonts w:hint="eastAsia"/>
                <w:lang w:val="en-US" w:eastAsia="zh-CN"/>
              </w:rPr>
              <w:t>，本项目为环境保护监测行业，项目的建设有利于昌东工业区的环境治理和监测工作，对提升区域环境质量具有一定的促进作用</w:t>
            </w:r>
            <w:r>
              <w:t>。</w:t>
            </w:r>
          </w:p>
          <w:p>
            <w:pPr>
              <w:pStyle w:val="yt"/>
              <w:bidi w:val="0"/>
            </w:pPr>
            <w:r>
              <w:t>综上所述，项目选址可行。</w:t>
            </w:r>
          </w:p>
          <w:p>
            <w:pPr>
              <w:pStyle w:val="BodyTextIndent2"/>
            </w:pPr>
          </w:p>
          <w:p>
            <w:pPr>
              <w:pStyle w:val="a"/>
            </w:pPr>
          </w:p>
          <w:p>
            <w:pPr>
              <w:pStyle w:val="Default1"/>
            </w:pPr>
          </w:p>
          <w:p/>
          <w:p>
            <w:pPr>
              <w:pStyle w:val="a"/>
              <w:rPr>
                <w:rFonts w:hint="default"/>
                <w:lang w:val="en-US" w:eastAsia="zh-CN"/>
              </w:rPr>
            </w:pPr>
          </w:p>
          <w:p>
            <w:pPr>
              <w:pStyle w:val="a"/>
              <w:jc w:val="both"/>
              <w:rPr>
                <w:sz w:val="24"/>
                <w:szCs w:val="24"/>
              </w:rPr>
            </w:pPr>
          </w:p>
        </w:tc>
      </w:tr>
    </w:tbl>
    <w:p>
      <w:pPr>
        <w:spacing w:line="360" w:lineRule="auto"/>
        <w:outlineLvl w:val="9"/>
        <w:rPr>
          <w:sz w:val="30"/>
        </w:rPr>
        <w:sectPr>
          <w:footerReference w:type="default" r:id="rId23"/>
          <w:type w:val="nextPage"/>
          <w:pgSz w:w="11906" w:h="16838"/>
          <w:pgMar w:top="1134" w:right="1134" w:bottom="1134" w:left="1417" w:header="851" w:footer="1077" w:gutter="0"/>
          <w:pgBorders>
            <w:top w:val="none" w:sz="0" w:space="0" w:color="auto"/>
            <w:left w:val="none" w:sz="0" w:space="0" w:color="auto"/>
            <w:bottom w:val="none" w:sz="0" w:space="0" w:color="auto"/>
            <w:right w:val="none" w:sz="0" w:space="0" w:color="auto"/>
          </w:pgBorders>
          <w:pgNumType w:start="16"/>
          <w:cols w:num="1" w:space="720"/>
          <w:titlePg w:val="0"/>
          <w:docGrid w:linePitch="312" w:charSpace="0"/>
        </w:sectPr>
      </w:pPr>
    </w:p>
    <w:p>
      <w:pPr>
        <w:pStyle w:val="yt0"/>
      </w:pPr>
      <w:bookmarkStart w:id="14" w:name="_Toc24607"/>
      <w:bookmarkStart w:id="15" w:name="_Toc31376"/>
      <w:bookmarkStart w:id="16" w:name="_Toc12370"/>
      <w:bookmarkStart w:id="17" w:name="_Toc9627"/>
      <w:bookmarkStart w:id="18" w:name="_Toc10083"/>
      <w:bookmarkStart w:id="19" w:name="_Toc9461"/>
      <w:r>
        <w:t>建设项目工程分析</w:t>
      </w: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87"/>
        <w:gridCol w:w="9184"/>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883"/>
          <w:jc w:val="center"/>
        </w:trPr>
        <w:tc>
          <w:tcPr>
            <w:tcW w:w="318" w:type="pct"/>
            <w:noWrap w:val="0"/>
            <w:vAlign w:val="center"/>
          </w:tcPr>
          <w:p>
            <w:pPr>
              <w:pStyle w:val="NormalWeb"/>
              <w:adjustRightInd w:val="0"/>
              <w:snapToGrid w:val="0"/>
              <w:spacing w:before="0" w:beforeAutospacing="0" w:after="0" w:afterAutospacing="0"/>
              <w:jc w:val="center"/>
              <w:rPr>
                <w:rFonts w:ascii="Times New Roman" w:hAnsi="Times New Roman"/>
                <w:sz w:val="21"/>
                <w:szCs w:val="21"/>
              </w:rPr>
            </w:pPr>
            <w:bookmarkEnd w:id="14"/>
            <w:bookmarkEnd w:id="15"/>
            <w:bookmarkEnd w:id="16"/>
            <w:bookmarkEnd w:id="17"/>
            <w:bookmarkEnd w:id="18"/>
            <w:bookmarkEnd w:id="19"/>
            <w:r>
              <w:rPr>
                <w:rFonts w:ascii="Times New Roman" w:hAnsi="Times New Roman"/>
                <w:sz w:val="21"/>
                <w:szCs w:val="21"/>
              </w:rPr>
              <w:t>建设</w:t>
            </w:r>
          </w:p>
          <w:p>
            <w:pPr>
              <w:pStyle w:val="NormalWeb"/>
              <w:adjustRightInd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t>内容</w:t>
            </w:r>
          </w:p>
        </w:tc>
        <w:tc>
          <w:tcPr>
            <w:tcW w:w="4681" w:type="pct"/>
            <w:noWrap w:val="0"/>
            <w:vAlign w:val="center"/>
          </w:tcPr>
          <w:p>
            <w:pPr>
              <w:pStyle w:val="yt"/>
              <w:keepNext w:val="0"/>
              <w:keepLines w:val="0"/>
              <w:pageBreakBefore w:val="0"/>
              <w:widowControl w:val="0"/>
              <w:kinsoku/>
              <w:wordWrap/>
              <w:overflowPunct/>
              <w:topLinePunct w:val="0"/>
              <w:autoSpaceDE/>
              <w:autoSpaceDN/>
              <w:bidi w:val="0"/>
              <w:adjustRightInd/>
              <w:snapToGrid/>
              <w:spacing w:before="120" w:beforeLines="50" w:line="336" w:lineRule="auto"/>
              <w:ind w:firstLine="482"/>
              <w:textAlignment w:val="auto"/>
              <w:rPr>
                <w:b/>
                <w:bCs/>
              </w:rPr>
            </w:pPr>
            <w:r>
              <w:rPr>
                <w:b/>
                <w:bCs/>
              </w:rPr>
              <w:t>1、项目概况</w:t>
            </w:r>
          </w:p>
          <w:p>
            <w:pPr>
              <w:pStyle w:val="yt"/>
              <w:bidi w:val="0"/>
              <w:rPr>
                <w:rFonts w:hint="default"/>
                <w:lang w:val="en-US" w:eastAsia="zh-CN"/>
              </w:rPr>
            </w:pPr>
            <w:r>
              <w:rPr>
                <w:rFonts w:hint="eastAsia"/>
                <w:lang w:val="en-US" w:eastAsia="zh-CN"/>
              </w:rPr>
              <w:t>江西贯通检测有限公司位于</w:t>
            </w:r>
            <w:r>
              <w:rPr>
                <w:rFonts w:hint="default"/>
                <w:lang w:val="en-US" w:eastAsia="zh-CN"/>
              </w:rPr>
              <w:t>南昌市青山湖区高新南大道3699号弘泰大厦</w:t>
            </w:r>
            <w:r>
              <w:rPr>
                <w:rFonts w:hint="eastAsia"/>
                <w:lang w:val="en-US" w:eastAsia="zh-CN"/>
              </w:rPr>
              <w:t>，2018年1月，江西南大融汇环境技术有限公司完成了《江西贯通检测有限公司环境检测实验室项目环境影响报告表</w:t>
            </w:r>
            <w:r>
              <w:rPr>
                <w:rFonts w:hint="eastAsia"/>
                <w:color w:val="auto"/>
                <w:lang w:val="en-US" w:eastAsia="zh-CN"/>
              </w:rPr>
              <w:t>》，</w:t>
            </w:r>
            <w:r>
              <w:rPr>
                <w:rFonts w:ascii="Times New Roman" w:hAnsi="Times New Roman" w:cs="Times New Roman" w:hint="eastAsia"/>
                <w:color w:val="auto"/>
                <w:sz w:val="24"/>
                <w:highlight w:val="none"/>
                <w:lang w:val="en-US" w:eastAsia="zh-CN"/>
              </w:rPr>
              <w:t>南昌市青山湖区</w:t>
            </w:r>
            <w:r>
              <w:rPr>
                <w:rFonts w:ascii="Times New Roman" w:hAnsi="Times New Roman" w:cs="Times New Roman" w:hint="default"/>
                <w:color w:val="auto"/>
                <w:sz w:val="24"/>
                <w:highlight w:val="none"/>
                <w:lang w:val="en-US" w:eastAsia="zh-CN"/>
              </w:rPr>
              <w:t>环境保护局</w:t>
            </w:r>
            <w:r>
              <w:rPr>
                <w:rFonts w:ascii="Times New Roman" w:hAnsi="Times New Roman" w:cs="Times New Roman" w:hint="eastAsia"/>
                <w:color w:val="auto"/>
                <w:sz w:val="24"/>
                <w:highlight w:val="none"/>
                <w:lang w:val="en-US" w:eastAsia="zh-CN"/>
              </w:rPr>
              <w:t>（现南昌市青山湖区生态环境局）</w:t>
            </w:r>
            <w:r>
              <w:rPr>
                <w:rFonts w:ascii="Times New Roman" w:hAnsi="Times New Roman" w:cs="Times New Roman" w:hint="default"/>
                <w:color w:val="auto"/>
                <w:sz w:val="24"/>
                <w:highlight w:val="none"/>
              </w:rPr>
              <w:t>于201</w:t>
            </w:r>
            <w:r>
              <w:rPr>
                <w:rFonts w:ascii="Times New Roman" w:hAnsi="Times New Roman" w:cs="Times New Roman" w:hint="eastAsia"/>
                <w:color w:val="auto"/>
                <w:sz w:val="24"/>
                <w:highlight w:val="none"/>
                <w:lang w:val="en-US" w:eastAsia="zh-CN"/>
              </w:rPr>
              <w:t>8</w:t>
            </w:r>
            <w:r>
              <w:rPr>
                <w:rFonts w:ascii="Times New Roman" w:hAnsi="Times New Roman" w:cs="Times New Roman" w:hint="default"/>
                <w:color w:val="auto"/>
                <w:sz w:val="24"/>
                <w:highlight w:val="none"/>
              </w:rPr>
              <w:t>年</w:t>
            </w:r>
            <w:r>
              <w:rPr>
                <w:rFonts w:ascii="Times New Roman" w:hAnsi="Times New Roman" w:cs="Times New Roman" w:hint="eastAsia"/>
                <w:color w:val="auto"/>
                <w:sz w:val="24"/>
                <w:highlight w:val="none"/>
                <w:lang w:val="en-US" w:eastAsia="zh-CN"/>
              </w:rPr>
              <w:t>1</w:t>
            </w:r>
            <w:r>
              <w:rPr>
                <w:rFonts w:ascii="Times New Roman" w:hAnsi="Times New Roman" w:cs="Times New Roman" w:hint="default"/>
                <w:color w:val="auto"/>
                <w:sz w:val="24"/>
                <w:highlight w:val="none"/>
              </w:rPr>
              <w:t>月</w:t>
            </w:r>
            <w:r>
              <w:rPr>
                <w:rFonts w:ascii="Times New Roman" w:hAnsi="Times New Roman" w:cs="Times New Roman" w:hint="eastAsia"/>
                <w:color w:val="auto"/>
                <w:sz w:val="24"/>
                <w:highlight w:val="none"/>
                <w:lang w:val="en-US" w:eastAsia="zh-CN"/>
              </w:rPr>
              <w:t>12</w:t>
            </w:r>
            <w:r>
              <w:rPr>
                <w:rFonts w:ascii="Times New Roman" w:hAnsi="Times New Roman" w:cs="Times New Roman" w:hint="default"/>
                <w:color w:val="auto"/>
                <w:sz w:val="24"/>
                <w:highlight w:val="none"/>
              </w:rPr>
              <w:t>日以</w:t>
            </w:r>
            <w:r>
              <w:rPr>
                <w:rFonts w:cs="Times New Roman" w:hint="eastAsia"/>
                <w:color w:val="auto"/>
                <w:sz w:val="24"/>
                <w:highlight w:val="none"/>
                <w:lang w:eastAsia="zh-CN"/>
              </w:rPr>
              <w:t>“</w:t>
            </w:r>
            <w:r>
              <w:rPr>
                <w:rFonts w:ascii="Times New Roman" w:hAnsi="Times New Roman" w:cs="Times New Roman" w:hint="eastAsia"/>
                <w:color w:val="auto"/>
                <w:sz w:val="24"/>
                <w:szCs w:val="24"/>
                <w:lang w:val="en-US" w:eastAsia="zh-CN"/>
              </w:rPr>
              <w:t>湖环监督</w:t>
            </w:r>
            <w:r>
              <w:rPr>
                <w:rFonts w:ascii="Times New Roman" w:hAnsi="Times New Roman" w:cs="Times New Roman" w:hint="default"/>
                <w:color w:val="auto"/>
                <w:sz w:val="24"/>
                <w:szCs w:val="24"/>
                <w:lang w:val="en-US" w:eastAsia="zh-CN"/>
              </w:rPr>
              <w:t>[201</w:t>
            </w:r>
            <w:r>
              <w:rPr>
                <w:rFonts w:ascii="Times New Roman" w:hAnsi="Times New Roman" w:cs="Times New Roman" w:hint="eastAsia"/>
                <w:color w:val="auto"/>
                <w:sz w:val="24"/>
                <w:szCs w:val="24"/>
                <w:lang w:val="en-US" w:eastAsia="zh-CN"/>
              </w:rPr>
              <w:t>8</w:t>
            </w:r>
            <w:r>
              <w:rPr>
                <w:rFonts w:ascii="Times New Roman" w:hAnsi="Times New Roman" w:cs="Times New Roman" w:hint="default"/>
                <w:color w:val="auto"/>
                <w:sz w:val="24"/>
                <w:szCs w:val="24"/>
                <w:lang w:val="en-US" w:eastAsia="zh-CN"/>
              </w:rPr>
              <w:t>]</w:t>
            </w:r>
            <w:r>
              <w:rPr>
                <w:rFonts w:ascii="Times New Roman" w:hAnsi="Times New Roman" w:cs="Times New Roman" w:hint="eastAsia"/>
                <w:color w:val="auto"/>
                <w:sz w:val="24"/>
                <w:szCs w:val="24"/>
                <w:lang w:val="en-US" w:eastAsia="zh-CN"/>
              </w:rPr>
              <w:t>001</w:t>
            </w:r>
            <w:r>
              <w:rPr>
                <w:rFonts w:ascii="Times New Roman" w:hAnsi="Times New Roman" w:cs="Times New Roman" w:hint="default"/>
                <w:color w:val="auto"/>
                <w:sz w:val="24"/>
                <w:highlight w:val="none"/>
              </w:rPr>
              <w:t>号</w:t>
            </w:r>
            <w:r>
              <w:rPr>
                <w:rFonts w:cs="Times New Roman" w:hint="eastAsia"/>
                <w:color w:val="auto"/>
                <w:sz w:val="24"/>
                <w:highlight w:val="none"/>
                <w:lang w:eastAsia="zh-CN"/>
              </w:rPr>
              <w:t>”</w:t>
            </w:r>
            <w:r>
              <w:rPr>
                <w:rFonts w:ascii="Times New Roman" w:hAnsi="Times New Roman" w:cs="Times New Roman" w:hint="default"/>
                <w:color w:val="000000"/>
                <w:sz w:val="24"/>
                <w:highlight w:val="none"/>
              </w:rPr>
              <w:t>文对本项目环评进行了批复。项目于201</w:t>
            </w:r>
            <w:r>
              <w:rPr>
                <w:rFonts w:ascii="Times New Roman" w:hAnsi="Times New Roman" w:cs="Times New Roman" w:hint="eastAsia"/>
                <w:color w:val="000000"/>
                <w:sz w:val="24"/>
                <w:highlight w:val="none"/>
                <w:lang w:val="en-US" w:eastAsia="zh-CN"/>
              </w:rPr>
              <w:t>8</w:t>
            </w:r>
            <w:r>
              <w:rPr>
                <w:rFonts w:ascii="Times New Roman" w:hAnsi="Times New Roman" w:cs="Times New Roman" w:hint="default"/>
                <w:color w:val="000000"/>
                <w:sz w:val="24"/>
                <w:highlight w:val="none"/>
              </w:rPr>
              <w:t>年</w:t>
            </w:r>
            <w:r>
              <w:rPr>
                <w:rFonts w:ascii="Times New Roman" w:hAnsi="Times New Roman" w:cs="Times New Roman" w:hint="eastAsia"/>
                <w:color w:val="000000"/>
                <w:sz w:val="24"/>
                <w:highlight w:val="none"/>
                <w:lang w:val="en-US" w:eastAsia="zh-CN"/>
              </w:rPr>
              <w:t>1</w:t>
            </w:r>
            <w:r>
              <w:rPr>
                <w:rFonts w:ascii="Times New Roman" w:hAnsi="Times New Roman" w:cs="Times New Roman" w:hint="default"/>
                <w:color w:val="000000"/>
                <w:sz w:val="24"/>
                <w:highlight w:val="none"/>
              </w:rPr>
              <w:t>月开始进行建设，20</w:t>
            </w:r>
            <w:r>
              <w:rPr>
                <w:rFonts w:ascii="Times New Roman" w:hAnsi="Times New Roman" w:cs="Times New Roman" w:hint="eastAsia"/>
                <w:color w:val="000000"/>
                <w:sz w:val="24"/>
                <w:highlight w:val="none"/>
                <w:lang w:val="en-US" w:eastAsia="zh-CN"/>
              </w:rPr>
              <w:t>18</w:t>
            </w:r>
            <w:r>
              <w:rPr>
                <w:rFonts w:ascii="Times New Roman" w:hAnsi="Times New Roman" w:cs="Times New Roman" w:hint="default"/>
                <w:color w:val="000000"/>
                <w:sz w:val="24"/>
                <w:highlight w:val="none"/>
              </w:rPr>
              <w:t>年</w:t>
            </w:r>
            <w:r>
              <w:rPr>
                <w:rFonts w:ascii="Times New Roman" w:hAnsi="Times New Roman" w:cs="Times New Roman" w:hint="eastAsia"/>
                <w:color w:val="000000"/>
                <w:sz w:val="24"/>
                <w:highlight w:val="none"/>
                <w:lang w:val="en-US" w:eastAsia="zh-CN"/>
              </w:rPr>
              <w:t>6</w:t>
            </w:r>
            <w:r>
              <w:rPr>
                <w:rFonts w:ascii="Times New Roman" w:hAnsi="Times New Roman" w:cs="Times New Roman" w:hint="default"/>
                <w:color w:val="000000"/>
                <w:sz w:val="24"/>
                <w:highlight w:val="none"/>
              </w:rPr>
              <w:t>月</w:t>
            </w:r>
            <w:r>
              <w:rPr>
                <w:rFonts w:ascii="Times New Roman" w:hAnsi="Times New Roman" w:cs="Times New Roman" w:hint="default"/>
                <w:color w:val="000000"/>
                <w:sz w:val="24"/>
                <w:highlight w:val="none"/>
                <w:lang w:val="en-US" w:eastAsia="zh-CN"/>
              </w:rPr>
              <w:t>竣工</w:t>
            </w:r>
            <w:r>
              <w:rPr>
                <w:rFonts w:ascii="Times New Roman" w:hAnsi="Times New Roman" w:cs="Times New Roman" w:hint="eastAsia"/>
                <w:color w:val="000000"/>
                <w:sz w:val="24"/>
                <w:highlight w:val="none"/>
                <w:lang w:val="en-US" w:eastAsia="zh-CN"/>
              </w:rPr>
              <w:t>；2020年8月13日，</w:t>
            </w:r>
            <w:r>
              <w:rPr>
                <w:rFonts w:hint="eastAsia"/>
                <w:lang w:val="en-US" w:eastAsia="zh-CN"/>
              </w:rPr>
              <w:t>江西贯通检测有限公司召开验收会，经专家组验收通过；企业根据市场需求及企业发展规划，拟利用弘泰大厦六楼部分空置区域（临近高新南大道一侧）建设“江西贯通检测有限公司实验室扩建项目”，扩建内容仅涉及土壤检测实验部分。</w:t>
            </w:r>
          </w:p>
          <w:p>
            <w:pPr>
              <w:pStyle w:val="CXY4"/>
              <w:bidi w:val="0"/>
              <w:rPr>
                <w:rFonts w:hint="default"/>
                <w:lang w:val="en-US" w:eastAsia="zh-CN"/>
              </w:rPr>
            </w:pPr>
            <w:r>
              <w:rPr>
                <w:rFonts w:hint="eastAsia"/>
                <w:lang w:val="en-US" w:eastAsia="zh-CN"/>
              </w:rPr>
              <w:t>对照《建设项目环境影响评价分类管理名录》(2021年版，生态环境部令第16号）有关要求，本项目属于“四十五、研究和试验发展”中“98专业实验室、研发(试验）基地”，“其他”，因此本项目需编制环境影响报告表。受建设单位委托，我单位承担了该项目的环境影响评价工作，委托书见附件1。</w:t>
            </w:r>
          </w:p>
          <w:p>
            <w:pPr>
              <w:pStyle w:val="yt"/>
              <w:ind w:firstLine="482"/>
              <w:rPr>
                <w:b/>
                <w:bCs/>
              </w:rPr>
            </w:pPr>
            <w:r>
              <w:rPr>
                <w:b/>
                <w:bCs/>
              </w:rPr>
              <w:t>2、工程建设内容</w:t>
            </w:r>
          </w:p>
          <w:p>
            <w:pPr>
              <w:pStyle w:val="yt"/>
              <w:ind w:firstLine="480"/>
            </w:pPr>
            <w:r>
              <w:rPr>
                <w:rFonts w:hint="eastAsia"/>
                <w:lang w:val="en-US" w:eastAsia="zh-CN"/>
              </w:rPr>
              <w:t>根据建设单位提供资料，本</w:t>
            </w:r>
            <w:r>
              <w:t>项目主要建设内容见</w:t>
            </w:r>
            <w:r>
              <w:fldChar w:fldCharType="begin"/>
            </w:r>
            <w:r>
              <w:instrText xml:space="preserve"> REF _Ref18250 \n \h </w:instrText>
            </w:r>
            <w:r>
              <w:fldChar w:fldCharType="separate"/>
            </w:r>
            <w:r>
              <w:t>表2-1</w:t>
            </w:r>
            <w:r>
              <w:fldChar w:fldCharType="end"/>
            </w:r>
            <w:r>
              <w:t>。</w:t>
            </w:r>
          </w:p>
          <w:p>
            <w:pPr>
              <w:pStyle w:val="yt1"/>
              <w:keepNext w:val="0"/>
              <w:keepLines w:val="0"/>
              <w:pageBreakBefore w:val="0"/>
              <w:numPr>
                <w:numId w:val="10"/>
              </w:numPr>
              <w:kinsoku/>
              <w:wordWrap/>
              <w:overflowPunct/>
              <w:topLinePunct w:val="0"/>
              <w:autoSpaceDE/>
              <w:autoSpaceDN/>
              <w:bidi w:val="0"/>
              <w:adjustRightInd/>
              <w:snapToGrid/>
              <w:spacing w:before="120" w:beforeLines="50"/>
              <w:textAlignment w:val="auto"/>
            </w:pPr>
            <w:bookmarkStart w:id="20" w:name="_Ref18250"/>
            <w:r>
              <w:rPr>
                <w:rFonts w:hint="eastAsia"/>
                <w:lang w:val="en-US" w:eastAsia="zh-CN"/>
              </w:rPr>
              <w:t>本</w:t>
            </w:r>
            <w:r>
              <w:t>项目建设内容</w:t>
            </w:r>
            <w:bookmarkEnd w:id="20"/>
            <w:r>
              <w:t>一览表</w:t>
            </w:r>
          </w:p>
          <w:tbl>
            <w:tblPr>
              <w:tblStyle w:val="TableNormal"/>
              <w:tblW w:w="4986"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962"/>
              <w:gridCol w:w="1318"/>
              <w:gridCol w:w="4303"/>
              <w:gridCol w:w="2360"/>
            </w:tblGrid>
            <w:tr>
              <w:tblPrEx>
                <w:tblW w:w="4986"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454"/>
                <w:jc w:val="center"/>
              </w:trPr>
              <w:tc>
                <w:tcPr>
                  <w:tcW w:w="538" w:type="pct"/>
                  <w:noWrap w:val="0"/>
                  <w:vAlign w:val="center"/>
                </w:tcPr>
                <w:p>
                  <w:pPr>
                    <w:jc w:val="center"/>
                    <w:rPr>
                      <w:b/>
                      <w:bCs/>
                      <w:szCs w:val="21"/>
                    </w:rPr>
                  </w:pPr>
                  <w:r>
                    <w:rPr>
                      <w:b/>
                      <w:bCs/>
                      <w:szCs w:val="21"/>
                    </w:rPr>
                    <w:t>工程类别</w:t>
                  </w:r>
                </w:p>
              </w:tc>
              <w:tc>
                <w:tcPr>
                  <w:tcW w:w="737" w:type="pct"/>
                  <w:noWrap w:val="0"/>
                  <w:vAlign w:val="center"/>
                </w:tcPr>
                <w:p>
                  <w:pPr>
                    <w:ind w:left="-90"/>
                    <w:jc w:val="center"/>
                    <w:rPr>
                      <w:b/>
                      <w:bCs/>
                      <w:szCs w:val="21"/>
                    </w:rPr>
                  </w:pPr>
                  <w:r>
                    <w:rPr>
                      <w:b/>
                      <w:bCs/>
                      <w:szCs w:val="21"/>
                    </w:rPr>
                    <w:t>主要内容</w:t>
                  </w:r>
                </w:p>
              </w:tc>
              <w:tc>
                <w:tcPr>
                  <w:tcW w:w="2405" w:type="pct"/>
                  <w:noWrap w:val="0"/>
                  <w:vAlign w:val="center"/>
                </w:tcPr>
                <w:p>
                  <w:pPr>
                    <w:ind w:left="-90"/>
                    <w:jc w:val="center"/>
                    <w:rPr>
                      <w:b/>
                      <w:bCs/>
                      <w:szCs w:val="21"/>
                    </w:rPr>
                  </w:pPr>
                  <w:r>
                    <w:rPr>
                      <w:b/>
                      <w:bCs/>
                      <w:szCs w:val="21"/>
                    </w:rPr>
                    <w:t>工程内容及规模</w:t>
                  </w:r>
                </w:p>
              </w:tc>
              <w:tc>
                <w:tcPr>
                  <w:tcW w:w="1318" w:type="pct"/>
                  <w:noWrap w:val="0"/>
                  <w:vAlign w:val="center"/>
                </w:tcPr>
                <w:p>
                  <w:pPr>
                    <w:ind w:left="-90"/>
                    <w:jc w:val="center"/>
                    <w:rPr>
                      <w:b/>
                      <w:bCs/>
                      <w:szCs w:val="21"/>
                    </w:rPr>
                  </w:pPr>
                  <w:r>
                    <w:rPr>
                      <w:b/>
                      <w:bCs/>
                      <w:szCs w:val="21"/>
                    </w:rPr>
                    <w:t>备注</w:t>
                  </w:r>
                </w:p>
              </w:tc>
            </w:tr>
            <w:tr>
              <w:tblPrEx>
                <w:tblW w:w="4986" w:type="pct"/>
                <w:jc w:val="center"/>
                <w:tblCellMar>
                  <w:top w:w="0" w:type="dxa"/>
                  <w:left w:w="108" w:type="dxa"/>
                  <w:bottom w:w="0" w:type="dxa"/>
                  <w:right w:w="108" w:type="dxa"/>
                </w:tblCellMar>
              </w:tblPrEx>
              <w:trPr>
                <w:trHeight w:val="454"/>
                <w:jc w:val="center"/>
              </w:trPr>
              <w:tc>
                <w:tcPr>
                  <w:tcW w:w="538" w:type="pct"/>
                  <w:noWrap w:val="0"/>
                  <w:vAlign w:val="center"/>
                </w:tcPr>
                <w:p>
                  <w:pPr>
                    <w:jc w:val="center"/>
                    <w:rPr>
                      <w:szCs w:val="21"/>
                    </w:rPr>
                  </w:pPr>
                  <w:r>
                    <w:rPr>
                      <w:szCs w:val="21"/>
                    </w:rPr>
                    <w:t>主体工程</w:t>
                  </w:r>
                </w:p>
              </w:tc>
              <w:tc>
                <w:tcPr>
                  <w:tcW w:w="737" w:type="pct"/>
                  <w:noWrap w:val="0"/>
                  <w:vAlign w:val="center"/>
                </w:tcPr>
                <w:p>
                  <w:pPr>
                    <w:jc w:val="center"/>
                    <w:rPr>
                      <w:rFonts w:hint="eastAsia"/>
                      <w:szCs w:val="21"/>
                    </w:rPr>
                  </w:pPr>
                  <w:r>
                    <w:rPr>
                      <w:rFonts w:hint="eastAsia"/>
                      <w:szCs w:val="21"/>
                      <w:lang w:val="en-US" w:eastAsia="zh-CN"/>
                    </w:rPr>
                    <w:t>实验室</w:t>
                  </w:r>
                </w:p>
              </w:tc>
              <w:tc>
                <w:tcPr>
                  <w:tcW w:w="2405" w:type="pct"/>
                  <w:noWrap w:val="0"/>
                  <w:vAlign w:val="center"/>
                </w:tcPr>
                <w:p>
                  <w:pPr>
                    <w:pStyle w:val="CXY1"/>
                    <w:bidi w:val="0"/>
                    <w:rPr>
                      <w:rFonts w:hint="default"/>
                      <w:lang w:val="en-US" w:eastAsia="zh-CN"/>
                    </w:rPr>
                  </w:pPr>
                  <w:r>
                    <w:rPr>
                      <w:rFonts w:cs="Times New Roman" w:hint="eastAsia"/>
                      <w:snapToGrid/>
                      <w:color w:val="auto"/>
                      <w:spacing w:val="0"/>
                      <w:w w:val="100"/>
                      <w:kern w:val="18"/>
                      <w:sz w:val="21"/>
                      <w:szCs w:val="21"/>
                      <w:lang w:val="en-US" w:eastAsia="zh-CN"/>
                    </w:rPr>
                    <w:t>6F，</w:t>
                  </w:r>
                  <w:r>
                    <w:rPr>
                      <w:rFonts w:ascii="Times New Roman" w:hAnsi="Times New Roman" w:cs="Times New Roman"/>
                      <w:snapToGrid/>
                      <w:color w:val="auto"/>
                      <w:spacing w:val="0"/>
                      <w:w w:val="100"/>
                      <w:kern w:val="18"/>
                      <w:sz w:val="21"/>
                      <w:szCs w:val="21"/>
                    </w:rPr>
                    <w:t>包括</w:t>
                  </w:r>
                  <w:r>
                    <w:rPr>
                      <w:rFonts w:cs="Times New Roman" w:hint="eastAsia"/>
                      <w:snapToGrid/>
                      <w:color w:val="auto"/>
                      <w:spacing w:val="0"/>
                      <w:w w:val="100"/>
                      <w:kern w:val="18"/>
                      <w:sz w:val="21"/>
                      <w:szCs w:val="21"/>
                      <w:lang w:val="en-US" w:eastAsia="zh-CN"/>
                    </w:rPr>
                    <w:t>制样室、样品室</w:t>
                  </w:r>
                  <w:r>
                    <w:rPr>
                      <w:rFonts w:ascii="Times New Roman" w:hAnsi="Times New Roman" w:cs="Times New Roman"/>
                      <w:snapToGrid/>
                      <w:color w:val="auto"/>
                      <w:spacing w:val="0"/>
                      <w:w w:val="100"/>
                      <w:kern w:val="18"/>
                      <w:sz w:val="21"/>
                      <w:szCs w:val="21"/>
                    </w:rPr>
                    <w:t>、</w:t>
                  </w:r>
                  <w:r>
                    <w:rPr>
                      <w:rFonts w:cs="Times New Roman" w:hint="eastAsia"/>
                      <w:snapToGrid/>
                      <w:color w:val="auto"/>
                      <w:spacing w:val="0"/>
                      <w:w w:val="100"/>
                      <w:kern w:val="18"/>
                      <w:sz w:val="21"/>
                      <w:szCs w:val="21"/>
                      <w:lang w:eastAsia="zh-CN"/>
                    </w:rPr>
                    <w:t>、</w:t>
                  </w:r>
                  <w:r>
                    <w:rPr>
                      <w:rFonts w:cs="Times New Roman" w:hint="eastAsia"/>
                      <w:snapToGrid/>
                      <w:color w:val="auto"/>
                      <w:spacing w:val="0"/>
                      <w:w w:val="100"/>
                      <w:kern w:val="18"/>
                      <w:sz w:val="21"/>
                      <w:szCs w:val="21"/>
                      <w:lang w:val="en-US" w:eastAsia="zh-CN"/>
                    </w:rPr>
                    <w:t>留样室、物理实验室</w:t>
                  </w:r>
                  <w:r>
                    <w:rPr>
                      <w:rFonts w:ascii="Times New Roman" w:hAnsi="Times New Roman" w:cs="Times New Roman"/>
                      <w:snapToGrid/>
                      <w:color w:val="auto"/>
                      <w:spacing w:val="0"/>
                      <w:w w:val="100"/>
                      <w:kern w:val="18"/>
                      <w:sz w:val="21"/>
                      <w:szCs w:val="21"/>
                    </w:rPr>
                    <w:t>等</w:t>
                  </w:r>
                  <w:r>
                    <w:rPr>
                      <w:rFonts w:ascii="Times New Roman" w:hAnsi="Times New Roman" w:cs="Times New Roman" w:hint="eastAsia"/>
                      <w:snapToGrid/>
                      <w:color w:val="auto"/>
                      <w:spacing w:val="0"/>
                      <w:w w:val="100"/>
                      <w:kern w:val="18"/>
                      <w:sz w:val="21"/>
                      <w:szCs w:val="21"/>
                      <w:lang w:eastAsia="zh-CN"/>
                    </w:rPr>
                    <w:t>，</w:t>
                  </w:r>
                  <w:r>
                    <w:rPr>
                      <w:rFonts w:ascii="Times New Roman" w:hAnsi="Times New Roman" w:cs="Times New Roman" w:hint="eastAsia"/>
                      <w:snapToGrid/>
                      <w:color w:val="auto"/>
                      <w:spacing w:val="0"/>
                      <w:w w:val="100"/>
                      <w:kern w:val="18"/>
                      <w:sz w:val="21"/>
                      <w:szCs w:val="21"/>
                      <w:lang w:val="en-US" w:eastAsia="zh-CN"/>
                    </w:rPr>
                    <w:t>建筑面积</w:t>
                  </w:r>
                  <w:r>
                    <w:rPr>
                      <w:rFonts w:hint="eastAsia"/>
                      <w:lang w:val="en-US" w:eastAsia="zh-CN"/>
                    </w:rPr>
                    <w:t>435m</w:t>
                  </w:r>
                  <w:r>
                    <w:rPr>
                      <w:rFonts w:hint="eastAsia"/>
                      <w:vertAlign w:val="superscript"/>
                      <w:lang w:val="en-US" w:eastAsia="zh-CN"/>
                    </w:rPr>
                    <w:t>2</w:t>
                  </w:r>
                  <w:r>
                    <w:rPr>
                      <w:rFonts w:hint="eastAsia"/>
                      <w:lang w:val="en-US" w:eastAsia="zh-CN"/>
                    </w:rPr>
                    <w:t>；</w:t>
                  </w:r>
                </w:p>
              </w:tc>
              <w:tc>
                <w:tcPr>
                  <w:tcW w:w="1318" w:type="pct"/>
                  <w:noWrap w:val="0"/>
                  <w:vAlign w:val="center"/>
                </w:tcPr>
                <w:p>
                  <w:pPr>
                    <w:pStyle w:val="TableParagraph"/>
                    <w:spacing w:before="1" w:line="242" w:lineRule="auto"/>
                    <w:ind w:left="115" w:right="214"/>
                    <w:jc w:val="center"/>
                    <w:rPr>
                      <w:sz w:val="21"/>
                      <w:szCs w:val="21"/>
                    </w:rPr>
                  </w:pPr>
                  <w:r>
                    <w:rPr>
                      <w:rFonts w:hint="eastAsia"/>
                      <w:sz w:val="21"/>
                      <w:szCs w:val="21"/>
                      <w:lang w:val="en-US" w:eastAsia="zh-CN"/>
                    </w:rPr>
                    <w:t>新建</w:t>
                  </w:r>
                </w:p>
              </w:tc>
            </w:tr>
            <w:tr>
              <w:tblPrEx>
                <w:tblW w:w="4986" w:type="pct"/>
                <w:jc w:val="center"/>
                <w:tblCellMar>
                  <w:top w:w="0" w:type="dxa"/>
                  <w:left w:w="108" w:type="dxa"/>
                  <w:bottom w:w="0" w:type="dxa"/>
                  <w:right w:w="108" w:type="dxa"/>
                </w:tblCellMar>
              </w:tblPrEx>
              <w:trPr>
                <w:trHeight w:val="454"/>
                <w:jc w:val="center"/>
              </w:trPr>
              <w:tc>
                <w:tcPr>
                  <w:tcW w:w="538" w:type="pct"/>
                  <w:vMerge w:val="restart"/>
                  <w:noWrap w:val="0"/>
                  <w:vAlign w:val="center"/>
                </w:tcPr>
                <w:p>
                  <w:pPr>
                    <w:ind w:left="-90"/>
                    <w:jc w:val="center"/>
                    <w:rPr>
                      <w:szCs w:val="21"/>
                    </w:rPr>
                  </w:pPr>
                  <w:r>
                    <w:rPr>
                      <w:szCs w:val="21"/>
                    </w:rPr>
                    <w:t>公用</w:t>
                  </w:r>
                </w:p>
                <w:p>
                  <w:pPr>
                    <w:ind w:left="-90" w:leftChars="0"/>
                    <w:jc w:val="center"/>
                    <w:rPr>
                      <w:szCs w:val="21"/>
                    </w:rPr>
                  </w:pPr>
                  <w:r>
                    <w:rPr>
                      <w:szCs w:val="21"/>
                    </w:rPr>
                    <w:t>工程</w:t>
                  </w:r>
                </w:p>
              </w:tc>
              <w:tc>
                <w:tcPr>
                  <w:tcW w:w="737" w:type="pct"/>
                  <w:noWrap w:val="0"/>
                  <w:vAlign w:val="center"/>
                </w:tcPr>
                <w:p>
                  <w:pPr>
                    <w:ind w:left="-90" w:leftChars="0"/>
                    <w:jc w:val="center"/>
                    <w:rPr>
                      <w:rFonts w:hint="eastAsia"/>
                      <w:szCs w:val="21"/>
                    </w:rPr>
                  </w:pPr>
                  <w:r>
                    <w:rPr>
                      <w:szCs w:val="21"/>
                    </w:rPr>
                    <w:t>供水</w:t>
                  </w:r>
                </w:p>
              </w:tc>
              <w:tc>
                <w:tcPr>
                  <w:tcW w:w="2405" w:type="pct"/>
                  <w:noWrap w:val="0"/>
                  <w:vAlign w:val="center"/>
                </w:tcPr>
                <w:p>
                  <w:pPr>
                    <w:jc w:val="center"/>
                    <w:rPr>
                      <w:szCs w:val="21"/>
                    </w:rPr>
                  </w:pPr>
                  <w:r>
                    <w:rPr>
                      <w:szCs w:val="21"/>
                    </w:rPr>
                    <w:t>市政供电</w:t>
                  </w:r>
                </w:p>
              </w:tc>
              <w:tc>
                <w:tcPr>
                  <w:tcW w:w="1318" w:type="pct"/>
                  <w:noWrap w:val="0"/>
                  <w:vAlign w:val="center"/>
                </w:tcPr>
                <w:p>
                  <w:pPr>
                    <w:jc w:val="center"/>
                    <w:rPr>
                      <w:szCs w:val="21"/>
                    </w:rPr>
                  </w:pPr>
                  <w:r>
                    <w:rPr>
                      <w:rFonts w:hint="eastAsia"/>
                      <w:szCs w:val="21"/>
                      <w:lang w:val="en-US" w:eastAsia="zh-CN"/>
                    </w:rPr>
                    <w:t>/</w:t>
                  </w:r>
                </w:p>
              </w:tc>
            </w:tr>
            <w:tr>
              <w:tblPrEx>
                <w:tblW w:w="4986" w:type="pct"/>
                <w:jc w:val="center"/>
                <w:tblCellMar>
                  <w:top w:w="0" w:type="dxa"/>
                  <w:left w:w="108" w:type="dxa"/>
                  <w:bottom w:w="0" w:type="dxa"/>
                  <w:right w:w="108" w:type="dxa"/>
                </w:tblCellMar>
              </w:tblPrEx>
              <w:trPr>
                <w:trHeight w:val="454"/>
                <w:jc w:val="center"/>
              </w:trPr>
              <w:tc>
                <w:tcPr>
                  <w:tcW w:w="538" w:type="pct"/>
                  <w:vMerge/>
                  <w:noWrap w:val="0"/>
                  <w:vAlign w:val="center"/>
                </w:tcPr>
                <w:p>
                  <w:pPr>
                    <w:ind w:left="-90" w:leftChars="0"/>
                    <w:jc w:val="center"/>
                    <w:rPr>
                      <w:szCs w:val="21"/>
                    </w:rPr>
                  </w:pPr>
                </w:p>
              </w:tc>
              <w:tc>
                <w:tcPr>
                  <w:tcW w:w="737" w:type="pct"/>
                  <w:noWrap w:val="0"/>
                  <w:vAlign w:val="center"/>
                </w:tcPr>
                <w:p>
                  <w:pPr>
                    <w:ind w:left="-90" w:leftChars="0"/>
                    <w:jc w:val="center"/>
                    <w:rPr>
                      <w:rFonts w:hint="eastAsia"/>
                      <w:szCs w:val="21"/>
                    </w:rPr>
                  </w:pPr>
                  <w:r>
                    <w:rPr>
                      <w:szCs w:val="21"/>
                    </w:rPr>
                    <w:t>供电</w:t>
                  </w:r>
                </w:p>
              </w:tc>
              <w:tc>
                <w:tcPr>
                  <w:tcW w:w="2405" w:type="pct"/>
                  <w:noWrap w:val="0"/>
                  <w:vAlign w:val="center"/>
                </w:tcPr>
                <w:p>
                  <w:pPr>
                    <w:ind w:left="-90" w:leftChars="0"/>
                    <w:jc w:val="center"/>
                    <w:rPr>
                      <w:szCs w:val="21"/>
                    </w:rPr>
                  </w:pPr>
                  <w:r>
                    <w:rPr>
                      <w:szCs w:val="21"/>
                    </w:rPr>
                    <w:t>市政供电</w:t>
                  </w:r>
                </w:p>
              </w:tc>
              <w:tc>
                <w:tcPr>
                  <w:tcW w:w="1318" w:type="pct"/>
                  <w:noWrap w:val="0"/>
                  <w:vAlign w:val="center"/>
                </w:tcPr>
                <w:p>
                  <w:pPr>
                    <w:keepNext w:val="0"/>
                    <w:keepLines w:val="0"/>
                    <w:pageBreakBefore w:val="0"/>
                    <w:widowControl w:val="0"/>
                    <w:kinsoku/>
                    <w:wordWrap/>
                    <w:overflowPunct/>
                    <w:topLinePunct w:val="0"/>
                    <w:autoSpaceDE/>
                    <w:autoSpaceDN/>
                    <w:bidi w:val="0"/>
                    <w:adjustRightInd/>
                    <w:snapToGrid/>
                    <w:ind w:left="0" w:leftChars="0"/>
                    <w:jc w:val="center"/>
                    <w:textAlignment w:val="auto"/>
                    <w:rPr>
                      <w:szCs w:val="21"/>
                    </w:rPr>
                  </w:pPr>
                  <w:r>
                    <w:rPr>
                      <w:rFonts w:hint="eastAsia"/>
                      <w:szCs w:val="21"/>
                      <w:lang w:val="en-US" w:eastAsia="zh-CN"/>
                    </w:rPr>
                    <w:t>/</w:t>
                  </w:r>
                </w:p>
              </w:tc>
            </w:tr>
            <w:tr>
              <w:tblPrEx>
                <w:tblW w:w="4986" w:type="pct"/>
                <w:jc w:val="center"/>
                <w:tblCellMar>
                  <w:top w:w="0" w:type="dxa"/>
                  <w:left w:w="108" w:type="dxa"/>
                  <w:bottom w:w="0" w:type="dxa"/>
                  <w:right w:w="108" w:type="dxa"/>
                </w:tblCellMar>
              </w:tblPrEx>
              <w:trPr>
                <w:trHeight w:val="454"/>
                <w:jc w:val="center"/>
              </w:trPr>
              <w:tc>
                <w:tcPr>
                  <w:tcW w:w="538" w:type="pct"/>
                  <w:vMerge w:val="restart"/>
                  <w:noWrap w:val="0"/>
                  <w:vAlign w:val="center"/>
                </w:tcPr>
                <w:p>
                  <w:pPr>
                    <w:jc w:val="center"/>
                    <w:rPr>
                      <w:szCs w:val="21"/>
                    </w:rPr>
                  </w:pPr>
                  <w:r>
                    <w:rPr>
                      <w:szCs w:val="21"/>
                    </w:rPr>
                    <w:t>辅助工程</w:t>
                  </w:r>
                </w:p>
              </w:tc>
              <w:tc>
                <w:tcPr>
                  <w:tcW w:w="737" w:type="pct"/>
                  <w:noWrap w:val="0"/>
                  <w:vAlign w:val="center"/>
                </w:tcPr>
                <w:p>
                  <w:pPr>
                    <w:jc w:val="center"/>
                    <w:rPr>
                      <w:rFonts w:hint="default"/>
                      <w:szCs w:val="21"/>
                    </w:rPr>
                  </w:pPr>
                  <w:r>
                    <w:rPr>
                      <w:rFonts w:hint="eastAsia"/>
                      <w:szCs w:val="21"/>
                      <w:lang w:val="en-US" w:eastAsia="zh-CN"/>
                    </w:rPr>
                    <w:t>办公室</w:t>
                  </w:r>
                </w:p>
              </w:tc>
              <w:tc>
                <w:tcPr>
                  <w:tcW w:w="2405" w:type="pct"/>
                  <w:noWrap w:val="0"/>
                  <w:vAlign w:val="center"/>
                </w:tcPr>
                <w:p>
                  <w:pPr>
                    <w:ind w:left="-90"/>
                    <w:jc w:val="center"/>
                    <w:rPr>
                      <w:szCs w:val="21"/>
                    </w:rPr>
                  </w:pPr>
                  <w:r>
                    <w:rPr>
                      <w:rFonts w:hint="eastAsia"/>
                      <w:lang w:val="en-US" w:eastAsia="zh-CN"/>
                    </w:rPr>
                    <w:t>5F，300m</w:t>
                  </w:r>
                  <w:r>
                    <w:rPr>
                      <w:rFonts w:hint="eastAsia"/>
                      <w:vertAlign w:val="superscript"/>
                      <w:lang w:val="en-US" w:eastAsia="zh-CN"/>
                    </w:rPr>
                    <w:t>2</w:t>
                  </w:r>
                </w:p>
              </w:tc>
              <w:tc>
                <w:tcPr>
                  <w:tcW w:w="1318" w:type="pct"/>
                  <w:noWrap w:val="0"/>
                  <w:vAlign w:val="center"/>
                </w:tcPr>
                <w:p>
                  <w:pPr>
                    <w:ind w:left="-90"/>
                    <w:jc w:val="center"/>
                    <w:rPr>
                      <w:rFonts w:hint="default"/>
                      <w:szCs w:val="21"/>
                    </w:rPr>
                  </w:pPr>
                  <w:r>
                    <w:rPr>
                      <w:rFonts w:hint="eastAsia"/>
                      <w:szCs w:val="21"/>
                      <w:lang w:val="en-US" w:eastAsia="zh-CN"/>
                    </w:rPr>
                    <w:t>依托现有工程</w:t>
                  </w:r>
                </w:p>
              </w:tc>
            </w:tr>
            <w:tr>
              <w:tblPrEx>
                <w:tblW w:w="4986" w:type="pct"/>
                <w:jc w:val="center"/>
                <w:tblCellMar>
                  <w:top w:w="0" w:type="dxa"/>
                  <w:left w:w="108" w:type="dxa"/>
                  <w:bottom w:w="0" w:type="dxa"/>
                  <w:right w:w="108" w:type="dxa"/>
                </w:tblCellMar>
              </w:tblPrEx>
              <w:trPr>
                <w:trHeight w:val="454"/>
                <w:jc w:val="center"/>
              </w:trPr>
              <w:tc>
                <w:tcPr>
                  <w:tcW w:w="538" w:type="pct"/>
                  <w:vMerge/>
                  <w:noWrap w:val="0"/>
                  <w:vAlign w:val="center"/>
                </w:tcPr>
                <w:p>
                  <w:pPr>
                    <w:jc w:val="center"/>
                    <w:rPr>
                      <w:szCs w:val="21"/>
                    </w:rPr>
                  </w:pPr>
                </w:p>
              </w:tc>
              <w:tc>
                <w:tcPr>
                  <w:tcW w:w="737" w:type="pct"/>
                  <w:noWrap w:val="0"/>
                  <w:vAlign w:val="center"/>
                </w:tcPr>
                <w:p>
                  <w:pPr>
                    <w:jc w:val="center"/>
                    <w:rPr>
                      <w:rFonts w:hint="default"/>
                      <w:szCs w:val="21"/>
                    </w:rPr>
                  </w:pPr>
                  <w:r>
                    <w:rPr>
                      <w:rFonts w:hint="eastAsia"/>
                      <w:szCs w:val="21"/>
                      <w:lang w:val="en-US" w:eastAsia="zh-CN"/>
                    </w:rPr>
                    <w:t>会议室</w:t>
                  </w:r>
                </w:p>
              </w:tc>
              <w:tc>
                <w:tcPr>
                  <w:tcW w:w="2405" w:type="pct"/>
                  <w:noWrap w:val="0"/>
                  <w:vAlign w:val="center"/>
                </w:tcPr>
                <w:p>
                  <w:pPr>
                    <w:ind w:left="-90"/>
                    <w:jc w:val="center"/>
                    <w:rPr>
                      <w:rFonts w:hint="eastAsia"/>
                      <w:szCs w:val="21"/>
                    </w:rPr>
                  </w:pPr>
                  <w:r>
                    <w:rPr>
                      <w:rFonts w:hint="eastAsia"/>
                      <w:lang w:val="en-US" w:eastAsia="zh-CN"/>
                    </w:rPr>
                    <w:t>5F，30m</w:t>
                  </w:r>
                  <w:r>
                    <w:rPr>
                      <w:rFonts w:hint="eastAsia"/>
                      <w:vertAlign w:val="superscript"/>
                      <w:lang w:val="en-US" w:eastAsia="zh-CN"/>
                    </w:rPr>
                    <w:t>2</w:t>
                  </w:r>
                </w:p>
              </w:tc>
              <w:tc>
                <w:tcPr>
                  <w:tcW w:w="1318" w:type="pct"/>
                  <w:noWrap w:val="0"/>
                  <w:vAlign w:val="center"/>
                </w:tcPr>
                <w:p>
                  <w:pPr>
                    <w:ind w:left="-90"/>
                    <w:jc w:val="center"/>
                    <w:rPr>
                      <w:rFonts w:hint="eastAsia"/>
                      <w:szCs w:val="21"/>
                    </w:rPr>
                  </w:pPr>
                  <w:r>
                    <w:rPr>
                      <w:rFonts w:hint="eastAsia"/>
                      <w:szCs w:val="21"/>
                      <w:lang w:val="en-US" w:eastAsia="zh-CN"/>
                    </w:rPr>
                    <w:t>依托现有工程</w:t>
                  </w:r>
                </w:p>
              </w:tc>
            </w:tr>
            <w:tr>
              <w:tblPrEx>
                <w:tblW w:w="4986" w:type="pct"/>
                <w:jc w:val="center"/>
                <w:tblCellMar>
                  <w:top w:w="0" w:type="dxa"/>
                  <w:left w:w="108" w:type="dxa"/>
                  <w:bottom w:w="0" w:type="dxa"/>
                  <w:right w:w="108" w:type="dxa"/>
                </w:tblCellMar>
              </w:tblPrEx>
              <w:trPr>
                <w:trHeight w:val="454"/>
                <w:jc w:val="center"/>
              </w:trPr>
              <w:tc>
                <w:tcPr>
                  <w:tcW w:w="538" w:type="pct"/>
                  <w:vMerge w:val="restart"/>
                  <w:noWrap w:val="0"/>
                  <w:vAlign w:val="center"/>
                </w:tcPr>
                <w:p>
                  <w:pPr>
                    <w:ind w:left="-90"/>
                    <w:jc w:val="center"/>
                    <w:rPr>
                      <w:rFonts w:hint="eastAsia"/>
                      <w:szCs w:val="21"/>
                    </w:rPr>
                  </w:pPr>
                  <w:r>
                    <w:rPr>
                      <w:szCs w:val="21"/>
                    </w:rPr>
                    <w:t>环保工程</w:t>
                  </w:r>
                </w:p>
              </w:tc>
              <w:tc>
                <w:tcPr>
                  <w:tcW w:w="737" w:type="pct"/>
                  <w:noWrap w:val="0"/>
                  <w:vAlign w:val="center"/>
                </w:tcPr>
                <w:p>
                  <w:pPr>
                    <w:ind w:left="-90"/>
                    <w:jc w:val="center"/>
                    <w:rPr>
                      <w:szCs w:val="21"/>
                    </w:rPr>
                  </w:pPr>
                  <w:r>
                    <w:rPr>
                      <w:szCs w:val="21"/>
                    </w:rPr>
                    <w:t>废水</w:t>
                  </w:r>
                </w:p>
              </w:tc>
              <w:tc>
                <w:tcPr>
                  <w:tcW w:w="2405" w:type="pct"/>
                  <w:noWrap w:val="0"/>
                  <w:vAlign w:val="center"/>
                </w:tcPr>
                <w:p>
                  <w:pPr>
                    <w:jc w:val="center"/>
                    <w:rPr>
                      <w:rFonts w:hint="eastAsia"/>
                      <w:szCs w:val="21"/>
                    </w:rPr>
                  </w:pPr>
                  <w:r>
                    <w:rPr>
                      <w:rFonts w:hint="eastAsia"/>
                      <w:lang w:val="en-US" w:eastAsia="zh-CN"/>
                    </w:rPr>
                    <w:t>碱喷淋废水经中和处理后与</w:t>
                  </w:r>
                  <w:r>
                    <w:rPr>
                      <w:rFonts w:hint="eastAsia"/>
                      <w:lang w:eastAsia="zh-CN"/>
                    </w:rPr>
                    <w:t>检验仪器清洗废水经化粪池预处理后排入城市污水管网，</w:t>
                  </w:r>
                  <w:r>
                    <w:rPr>
                      <w:rFonts w:hint="eastAsia"/>
                      <w:lang w:val="en-US" w:eastAsia="zh-CN"/>
                    </w:rPr>
                    <w:t>由</w:t>
                  </w:r>
                  <w:r>
                    <w:rPr>
                      <w:rFonts w:hint="eastAsia"/>
                      <w:lang w:eastAsia="zh-CN"/>
                    </w:rPr>
                    <w:t>青山湖污水处理厂处理</w:t>
                  </w:r>
                  <w:r>
                    <w:rPr>
                      <w:rFonts w:hint="eastAsia"/>
                      <w:lang w:val="en-US" w:eastAsia="zh-CN"/>
                    </w:rPr>
                    <w:t>后排入赣江南支</w:t>
                  </w:r>
                  <w:r>
                    <w:rPr>
                      <w:rFonts w:hint="eastAsia"/>
                      <w:szCs w:val="21"/>
                      <w:lang w:eastAsia="zh-CN"/>
                    </w:rPr>
                    <w:t>；</w:t>
                  </w:r>
                  <w:r>
                    <w:rPr>
                      <w:rFonts w:eastAsia="宋体" w:hint="eastAsia"/>
                      <w:szCs w:val="21"/>
                      <w:lang w:eastAsia="zh-CN"/>
                    </w:rPr>
                    <w:t>本项目无新增人员，故不新增生活污水</w:t>
                  </w:r>
                </w:p>
              </w:tc>
              <w:tc>
                <w:tcPr>
                  <w:tcW w:w="1318" w:type="pct"/>
                  <w:noWrap w:val="0"/>
                  <w:vAlign w:val="center"/>
                </w:tcPr>
                <w:p>
                  <w:pPr>
                    <w:jc w:val="center"/>
                    <w:rPr>
                      <w:rFonts w:hint="default"/>
                      <w:szCs w:val="21"/>
                    </w:rPr>
                  </w:pPr>
                  <w:r>
                    <w:rPr>
                      <w:rFonts w:hint="eastAsia"/>
                      <w:szCs w:val="21"/>
                      <w:lang w:val="en-US" w:eastAsia="zh-CN"/>
                    </w:rPr>
                    <w:t>依托现有化粪池，新建碱喷淋设施</w:t>
                  </w:r>
                </w:p>
              </w:tc>
            </w:tr>
            <w:tr>
              <w:tblPrEx>
                <w:tblW w:w="4986" w:type="pct"/>
                <w:jc w:val="center"/>
                <w:tblCellMar>
                  <w:top w:w="0" w:type="dxa"/>
                  <w:left w:w="108" w:type="dxa"/>
                  <w:bottom w:w="0" w:type="dxa"/>
                  <w:right w:w="108" w:type="dxa"/>
                </w:tblCellMar>
              </w:tblPrEx>
              <w:trPr>
                <w:trHeight w:val="454"/>
                <w:jc w:val="center"/>
              </w:trPr>
              <w:tc>
                <w:tcPr>
                  <w:tcW w:w="538" w:type="pct"/>
                  <w:vMerge/>
                  <w:noWrap w:val="0"/>
                  <w:vAlign w:val="center"/>
                </w:tcPr>
                <w:p>
                  <w:pPr>
                    <w:ind w:left="-90"/>
                    <w:jc w:val="center"/>
                    <w:rPr>
                      <w:szCs w:val="21"/>
                    </w:rPr>
                  </w:pPr>
                </w:p>
              </w:tc>
              <w:tc>
                <w:tcPr>
                  <w:tcW w:w="737" w:type="pct"/>
                  <w:noWrap w:val="0"/>
                  <w:vAlign w:val="center"/>
                </w:tcPr>
                <w:p>
                  <w:pPr>
                    <w:ind w:left="-90"/>
                    <w:jc w:val="center"/>
                    <w:rPr>
                      <w:szCs w:val="21"/>
                    </w:rPr>
                  </w:pPr>
                  <w:r>
                    <w:rPr>
                      <w:szCs w:val="21"/>
                    </w:rPr>
                    <w:t>废气</w:t>
                  </w:r>
                </w:p>
              </w:tc>
              <w:tc>
                <w:tcPr>
                  <w:tcW w:w="2405" w:type="pct"/>
                  <w:noWrap w:val="0"/>
                  <w:vAlign w:val="center"/>
                </w:tcPr>
                <w:p>
                  <w:pPr>
                    <w:pStyle w:val="yt3"/>
                    <w:rPr>
                      <w:rFonts w:hint="default"/>
                      <w:lang w:val="en-US"/>
                    </w:rPr>
                  </w:pPr>
                  <w:r>
                    <w:rPr>
                      <w:rFonts w:hint="default"/>
                      <w:lang w:val="en-US"/>
                    </w:rPr>
                    <w:t>实验室酸性废气经</w:t>
                  </w:r>
                  <w:r>
                    <w:rPr>
                      <w:rFonts w:hint="eastAsia"/>
                      <w:lang w:val="en-US" w:eastAsia="zh-CN"/>
                    </w:rPr>
                    <w:t>通风</w:t>
                  </w:r>
                  <w:r>
                    <w:rPr>
                      <w:rFonts w:hint="eastAsia"/>
                      <w:highlight w:val="none"/>
                      <w:lang w:val="en-US" w:eastAsia="zh-CN"/>
                    </w:rPr>
                    <w:t>橱</w:t>
                  </w:r>
                  <w:r>
                    <w:rPr>
                      <w:rFonts w:hint="default"/>
                      <w:highlight w:val="none"/>
                      <w:lang w:val="en-US"/>
                    </w:rPr>
                    <w:t>收集后进入</w:t>
                  </w:r>
                  <w:r>
                    <w:rPr>
                      <w:rFonts w:hint="eastAsia"/>
                      <w:highlight w:val="none"/>
                      <w:lang w:val="en-US" w:eastAsia="zh-CN"/>
                    </w:rPr>
                    <w:t>碱液喷淋装置处理</w:t>
                  </w:r>
                  <w:r>
                    <w:rPr>
                      <w:rFonts w:hint="default"/>
                      <w:highlight w:val="none"/>
                      <w:lang w:val="en-US"/>
                    </w:rPr>
                    <w:t>，</w:t>
                  </w:r>
                  <w:r>
                    <w:rPr>
                      <w:rFonts w:hint="eastAsia"/>
                      <w:highlight w:val="none"/>
                      <w:lang w:val="en-US" w:eastAsia="zh-CN"/>
                    </w:rPr>
                    <w:t>而后引至40</w:t>
                  </w:r>
                  <w:r>
                    <w:rPr>
                      <w:rFonts w:hint="default"/>
                      <w:highlight w:val="none"/>
                      <w:lang w:val="en-US"/>
                    </w:rPr>
                    <w:t>米</w:t>
                  </w:r>
                  <w:r>
                    <w:rPr>
                      <w:rFonts w:hint="default"/>
                      <w:lang w:val="en-US"/>
                    </w:rPr>
                    <w:t>高</w:t>
                  </w:r>
                  <w:r>
                    <w:rPr>
                      <w:rFonts w:hint="eastAsia"/>
                      <w:lang w:val="en-US" w:eastAsia="zh-CN"/>
                    </w:rPr>
                    <w:t>楼顶</w:t>
                  </w:r>
                  <w:r>
                    <w:rPr>
                      <w:rFonts w:hint="default"/>
                      <w:lang w:val="en-US"/>
                    </w:rPr>
                    <w:t>排气筒</w:t>
                  </w:r>
                  <w:r>
                    <w:rPr>
                      <w:rFonts w:hint="eastAsia"/>
                      <w:lang w:val="en-US" w:eastAsia="zh-CN"/>
                    </w:rPr>
                    <w:t>（DA004）</w:t>
                  </w:r>
                  <w:r>
                    <w:rPr>
                      <w:rFonts w:hint="default"/>
                      <w:lang w:val="en-US"/>
                    </w:rPr>
                    <w:t>排放；</w:t>
                  </w:r>
                </w:p>
              </w:tc>
              <w:tc>
                <w:tcPr>
                  <w:tcW w:w="1318" w:type="pct"/>
                  <w:noWrap w:val="0"/>
                  <w:vAlign w:val="center"/>
                </w:tcPr>
                <w:p>
                  <w:pPr>
                    <w:pStyle w:val="yt3"/>
                    <w:rPr>
                      <w:rFonts w:hint="default"/>
                      <w:lang w:val="en-US" w:eastAsia="zh-CN"/>
                    </w:rPr>
                  </w:pPr>
                  <w:r>
                    <w:rPr>
                      <w:rFonts w:hint="eastAsia"/>
                      <w:lang w:val="en-US" w:eastAsia="zh-CN"/>
                    </w:rPr>
                    <w:t>新建</w:t>
                  </w:r>
                </w:p>
              </w:tc>
            </w:tr>
            <w:tr>
              <w:tblPrEx>
                <w:tblW w:w="4986" w:type="pct"/>
                <w:jc w:val="center"/>
                <w:tblCellMar>
                  <w:top w:w="0" w:type="dxa"/>
                  <w:left w:w="108" w:type="dxa"/>
                  <w:bottom w:w="0" w:type="dxa"/>
                  <w:right w:w="108" w:type="dxa"/>
                </w:tblCellMar>
              </w:tblPrEx>
              <w:trPr>
                <w:trHeight w:val="454"/>
                <w:jc w:val="center"/>
              </w:trPr>
              <w:tc>
                <w:tcPr>
                  <w:tcW w:w="538" w:type="pct"/>
                  <w:vMerge/>
                  <w:noWrap w:val="0"/>
                  <w:vAlign w:val="center"/>
                </w:tcPr>
                <w:p>
                  <w:pPr>
                    <w:ind w:left="-90"/>
                    <w:jc w:val="center"/>
                    <w:rPr>
                      <w:rFonts w:hint="eastAsia"/>
                      <w:szCs w:val="21"/>
                    </w:rPr>
                  </w:pPr>
                </w:p>
              </w:tc>
              <w:tc>
                <w:tcPr>
                  <w:tcW w:w="737" w:type="pct"/>
                  <w:noWrap w:val="0"/>
                  <w:vAlign w:val="center"/>
                </w:tcPr>
                <w:p>
                  <w:pPr>
                    <w:ind w:left="-90"/>
                    <w:jc w:val="center"/>
                    <w:rPr>
                      <w:szCs w:val="21"/>
                    </w:rPr>
                  </w:pPr>
                  <w:r>
                    <w:rPr>
                      <w:szCs w:val="21"/>
                    </w:rPr>
                    <w:t>噪声</w:t>
                  </w:r>
                </w:p>
              </w:tc>
              <w:tc>
                <w:tcPr>
                  <w:tcW w:w="2405" w:type="pct"/>
                  <w:noWrap w:val="0"/>
                  <w:vAlign w:val="center"/>
                </w:tcPr>
                <w:p>
                  <w:pPr>
                    <w:pStyle w:val="yt3"/>
                    <w:jc w:val="left"/>
                    <w:rPr>
                      <w:rFonts w:ascii="Times New Roman" w:eastAsia="宋体" w:hAnsi="Times New Roman" w:cs="Times New Roman" w:hint="eastAsia"/>
                      <w:lang w:val="en-US" w:eastAsia="zh-CN"/>
                    </w:rPr>
                  </w:pPr>
                  <w:r>
                    <w:rPr>
                      <w:rFonts w:ascii="Times New Roman" w:eastAsia="宋体" w:hAnsi="Times New Roman" w:cs="Times New Roman" w:hint="eastAsia"/>
                      <w:lang w:val="en-US" w:eastAsia="zh-CN"/>
                    </w:rPr>
                    <w:t>（1）</w:t>
                  </w:r>
                  <w:r>
                    <w:rPr>
                      <w:rFonts w:cs="Times New Roman" w:hint="eastAsia"/>
                      <w:lang w:val="en-US" w:eastAsia="zh-CN"/>
                    </w:rPr>
                    <w:t>选用低噪声设备，墙体隔声、合理布局；</w:t>
                  </w:r>
                </w:p>
                <w:p>
                  <w:pPr>
                    <w:pStyle w:val="yt3"/>
                    <w:jc w:val="left"/>
                    <w:rPr>
                      <w:rFonts w:ascii="Times New Roman" w:eastAsia="宋体" w:hAnsi="Times New Roman" w:cs="Times New Roman" w:hint="eastAsia"/>
                      <w:lang w:val="en-US" w:eastAsia="zh-CN"/>
                    </w:rPr>
                  </w:pPr>
                  <w:r>
                    <w:rPr>
                      <w:rFonts w:ascii="Times New Roman" w:eastAsia="宋体" w:hAnsi="Times New Roman" w:cs="Times New Roman" w:hint="eastAsia"/>
                      <w:lang w:val="en-US" w:eastAsia="zh-CN"/>
                    </w:rPr>
                    <w:t>（2）安装减振基础，减少</w:t>
                  </w:r>
                  <w:r>
                    <w:rPr>
                      <w:rFonts w:cs="Times New Roman" w:hint="eastAsia"/>
                      <w:lang w:val="en-US" w:eastAsia="zh-CN"/>
                    </w:rPr>
                    <w:t>设备</w:t>
                  </w:r>
                  <w:r>
                    <w:rPr>
                      <w:rFonts w:ascii="Times New Roman" w:eastAsia="宋体" w:hAnsi="Times New Roman" w:cs="Times New Roman" w:hint="eastAsia"/>
                      <w:lang w:val="en-US" w:eastAsia="zh-CN"/>
                    </w:rPr>
                    <w:t>振动引起的</w:t>
                  </w:r>
                  <w:r>
                    <w:rPr>
                      <w:rFonts w:cs="Times New Roman" w:hint="eastAsia"/>
                      <w:lang w:val="en-US" w:eastAsia="zh-CN"/>
                    </w:rPr>
                    <w:t>噪声</w:t>
                  </w:r>
                  <w:r>
                    <w:rPr>
                      <w:rFonts w:ascii="Times New Roman" w:eastAsia="宋体" w:hAnsi="Times New Roman" w:cs="Times New Roman" w:hint="eastAsia"/>
                      <w:lang w:val="en-US" w:eastAsia="zh-CN"/>
                    </w:rPr>
                    <w:t>；</w:t>
                  </w:r>
                </w:p>
                <w:p>
                  <w:pPr>
                    <w:pStyle w:val="yt3"/>
                    <w:jc w:val="left"/>
                    <w:rPr>
                      <w:rFonts w:hint="eastAsia"/>
                    </w:rPr>
                  </w:pPr>
                  <w:r>
                    <w:rPr>
                      <w:rFonts w:ascii="Times New Roman" w:eastAsia="宋体" w:hAnsi="Times New Roman" w:cs="Times New Roman" w:hint="eastAsia"/>
                      <w:lang w:val="en-US" w:eastAsia="zh-CN"/>
                    </w:rPr>
                    <w:t>（3）</w:t>
                  </w:r>
                  <w:r>
                    <w:rPr>
                      <w:rFonts w:cs="Times New Roman" w:hint="eastAsia"/>
                      <w:lang w:val="en-US" w:eastAsia="zh-CN"/>
                    </w:rPr>
                    <w:t>加强风机的润滑维护，减少运行摩擦噪声</w:t>
                  </w:r>
                  <w:r>
                    <w:rPr>
                      <w:rFonts w:ascii="Times New Roman" w:eastAsia="宋体" w:hAnsi="Times New Roman" w:cs="Times New Roman" w:hint="eastAsia"/>
                      <w:lang w:val="en-US" w:eastAsia="zh-CN"/>
                    </w:rPr>
                    <w:t>。</w:t>
                  </w:r>
                </w:p>
              </w:tc>
              <w:tc>
                <w:tcPr>
                  <w:tcW w:w="1318" w:type="pct"/>
                  <w:noWrap w:val="0"/>
                  <w:vAlign w:val="center"/>
                </w:tcPr>
                <w:p>
                  <w:pPr>
                    <w:ind w:left="-90"/>
                    <w:jc w:val="center"/>
                    <w:rPr>
                      <w:rFonts w:hint="eastAsia"/>
                      <w:szCs w:val="21"/>
                    </w:rPr>
                  </w:pPr>
                  <w:r>
                    <w:rPr>
                      <w:rFonts w:hint="eastAsia"/>
                      <w:szCs w:val="21"/>
                      <w:lang w:val="en-US" w:eastAsia="zh-CN"/>
                    </w:rPr>
                    <w:t>新建</w:t>
                  </w:r>
                </w:p>
              </w:tc>
            </w:tr>
          </w:tbl>
          <w:p/>
        </w:tc>
      </w:tr>
    </w:tbl>
    <w:p>
      <w:pPr>
        <w:sectPr>
          <w:footerReference w:type="default" r:id="rId24"/>
          <w:pgSz w:w="11906" w:h="16838"/>
          <w:pgMar w:top="1134" w:right="1134" w:bottom="1134" w:left="1417" w:header="851" w:footer="850" w:gutter="0"/>
          <w:pgBorders>
            <w:top w:val="none" w:sz="0" w:space="0" w:color="auto"/>
            <w:left w:val="none" w:sz="0" w:space="0" w:color="auto"/>
            <w:bottom w:val="none" w:sz="0" w:space="0" w:color="auto"/>
            <w:right w:val="none" w:sz="0" w:space="0" w:color="auto"/>
          </w:pgBorders>
          <w:pgNumType w:start="17"/>
          <w:cols w:num="1" w:space="72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87"/>
        <w:gridCol w:w="9184"/>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883"/>
          <w:jc w:val="center"/>
        </w:trPr>
        <w:tc>
          <w:tcPr>
            <w:tcW w:w="318" w:type="pct"/>
            <w:noWrap w:val="0"/>
            <w:vAlign w:val="center"/>
          </w:tcPr>
          <w:p/>
        </w:tc>
        <w:tc>
          <w:tcPr>
            <w:tcW w:w="4681" w:type="pct"/>
            <w:noWrap w:val="0"/>
            <w:vAlign w:val="center"/>
          </w:tcPr>
          <w:tbl>
            <w:tblPr>
              <w:tblStyle w:val="TableNormal"/>
              <w:tblW w:w="4986"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962"/>
              <w:gridCol w:w="1318"/>
              <w:gridCol w:w="4303"/>
              <w:gridCol w:w="2360"/>
            </w:tblGrid>
            <w:tr>
              <w:tblPrEx>
                <w:tblW w:w="4986"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454"/>
                <w:jc w:val="center"/>
              </w:trPr>
              <w:tc>
                <w:tcPr>
                  <w:tcW w:w="538" w:type="pct"/>
                  <w:vMerge w:val="restart"/>
                  <w:noWrap w:val="0"/>
                  <w:vAlign w:val="center"/>
                </w:tcPr>
                <w:p>
                  <w:pPr>
                    <w:ind w:left="-90"/>
                    <w:jc w:val="center"/>
                    <w:rPr>
                      <w:szCs w:val="21"/>
                    </w:rPr>
                  </w:pPr>
                </w:p>
              </w:tc>
              <w:tc>
                <w:tcPr>
                  <w:tcW w:w="737" w:type="pct"/>
                  <w:noWrap w:val="0"/>
                  <w:vAlign w:val="center"/>
                </w:tcPr>
                <w:p>
                  <w:pPr>
                    <w:ind w:left="-90"/>
                    <w:jc w:val="center"/>
                    <w:rPr>
                      <w:szCs w:val="21"/>
                    </w:rPr>
                  </w:pPr>
                  <w:r>
                    <w:rPr>
                      <w:szCs w:val="21"/>
                    </w:rPr>
                    <w:t>固废</w:t>
                  </w:r>
                </w:p>
              </w:tc>
              <w:tc>
                <w:tcPr>
                  <w:tcW w:w="2405" w:type="pct"/>
                  <w:noWrap w:val="0"/>
                  <w:vAlign w:val="center"/>
                </w:tcPr>
                <w:p>
                  <w:pPr>
                    <w:pStyle w:val="CXY1"/>
                    <w:bidi w:val="0"/>
                    <w:rPr>
                      <w:rFonts w:hint="default"/>
                      <w:lang w:val="en-US"/>
                    </w:rPr>
                  </w:pPr>
                  <w:r>
                    <w:rPr>
                      <w:rFonts w:hint="eastAsia"/>
                      <w:lang w:val="en-US" w:eastAsia="zh-CN"/>
                    </w:rPr>
                    <w:t>项目不新增人员，无生活垃圾新增；实验室废液、废渣等危废依托现有危废暂存间（7.4m</w:t>
                  </w:r>
                  <w:r>
                    <w:rPr>
                      <w:rFonts w:hint="eastAsia"/>
                      <w:vertAlign w:val="superscript"/>
                      <w:lang w:val="en-US" w:eastAsia="zh-CN"/>
                    </w:rPr>
                    <w:t>2</w:t>
                  </w:r>
                  <w:r>
                    <w:rPr>
                      <w:rFonts w:hint="eastAsia"/>
                      <w:lang w:val="en-US" w:eastAsia="zh-CN"/>
                    </w:rPr>
                    <w:t>）暂存</w:t>
                  </w:r>
                </w:p>
              </w:tc>
              <w:tc>
                <w:tcPr>
                  <w:tcW w:w="1318" w:type="pct"/>
                  <w:noWrap w:val="0"/>
                  <w:vAlign w:val="center"/>
                </w:tcPr>
                <w:p>
                  <w:pPr>
                    <w:pStyle w:val="CXY1"/>
                    <w:bidi w:val="0"/>
                    <w:rPr>
                      <w:rFonts w:hint="default"/>
                      <w:lang w:val="en-US" w:eastAsia="zh-CN"/>
                    </w:rPr>
                  </w:pPr>
                  <w:r>
                    <w:rPr>
                      <w:rFonts w:hint="eastAsia"/>
                      <w:szCs w:val="21"/>
                      <w:lang w:val="en-US" w:eastAsia="zh-CN"/>
                    </w:rPr>
                    <w:t>依托现有工程</w:t>
                  </w:r>
                </w:p>
              </w:tc>
            </w:tr>
            <w:tr>
              <w:tblPrEx>
                <w:tblW w:w="4986" w:type="pct"/>
                <w:jc w:val="center"/>
                <w:tblCellMar>
                  <w:top w:w="0" w:type="dxa"/>
                  <w:left w:w="108" w:type="dxa"/>
                  <w:bottom w:w="0" w:type="dxa"/>
                  <w:right w:w="108" w:type="dxa"/>
                </w:tblCellMar>
              </w:tblPrEx>
              <w:trPr>
                <w:trHeight w:val="454"/>
                <w:jc w:val="center"/>
              </w:trPr>
              <w:tc>
                <w:tcPr>
                  <w:tcW w:w="538" w:type="pct"/>
                  <w:vMerge/>
                  <w:noWrap w:val="0"/>
                  <w:vAlign w:val="center"/>
                </w:tcPr>
                <w:p>
                  <w:pPr>
                    <w:ind w:left="-90"/>
                    <w:jc w:val="center"/>
                    <w:rPr>
                      <w:szCs w:val="21"/>
                    </w:rPr>
                  </w:pPr>
                </w:p>
              </w:tc>
              <w:tc>
                <w:tcPr>
                  <w:tcW w:w="737" w:type="pct"/>
                  <w:noWrap w:val="0"/>
                  <w:vAlign w:val="center"/>
                </w:tcPr>
                <w:p>
                  <w:pPr>
                    <w:ind w:left="-90"/>
                    <w:jc w:val="center"/>
                    <w:rPr>
                      <w:rFonts w:hint="default"/>
                      <w:szCs w:val="21"/>
                    </w:rPr>
                  </w:pPr>
                  <w:r>
                    <w:rPr>
                      <w:rFonts w:hint="eastAsia"/>
                      <w:szCs w:val="21"/>
                      <w:lang w:val="en-US" w:eastAsia="zh-CN"/>
                    </w:rPr>
                    <w:t>环境风险</w:t>
                  </w:r>
                </w:p>
              </w:tc>
              <w:tc>
                <w:tcPr>
                  <w:tcW w:w="3724" w:type="pct"/>
                  <w:gridSpan w:val="2"/>
                  <w:noWrap w:val="0"/>
                  <w:vAlign w:val="center"/>
                </w:tcPr>
                <w:p>
                  <w:pPr>
                    <w:pStyle w:val="CXY1"/>
                    <w:bidi w:val="0"/>
                    <w:rPr>
                      <w:rFonts w:hint="default"/>
                      <w:lang w:val="en-US" w:eastAsia="zh-CN"/>
                    </w:rPr>
                  </w:pPr>
                  <w:r>
                    <w:rPr>
                      <w:rFonts w:hint="eastAsia"/>
                      <w:lang w:val="en-US" w:eastAsia="zh-CN"/>
                    </w:rPr>
                    <w:t>/</w:t>
                  </w:r>
                </w:p>
              </w:tc>
            </w:tr>
          </w:tbl>
          <w:p>
            <w:pPr>
              <w:pStyle w:val="yt"/>
              <w:keepNext w:val="0"/>
              <w:keepLines w:val="0"/>
              <w:pageBreakBefore w:val="0"/>
              <w:widowControl w:val="0"/>
              <w:kinsoku/>
              <w:wordWrap/>
              <w:overflowPunct/>
              <w:topLinePunct w:val="0"/>
              <w:autoSpaceDE/>
              <w:autoSpaceDN/>
              <w:bidi w:val="0"/>
              <w:adjustRightInd/>
              <w:snapToGrid/>
              <w:spacing w:before="120" w:beforeLines="50"/>
              <w:ind w:firstLine="482"/>
              <w:textAlignment w:val="auto"/>
              <w:rPr>
                <w:rFonts w:hint="default"/>
                <w:b/>
                <w:bCs/>
                <w:color w:val="auto"/>
                <w:lang w:val="en-US" w:eastAsia="zh-CN"/>
              </w:rPr>
            </w:pPr>
            <w:r>
              <w:rPr>
                <w:b/>
                <w:bCs/>
              </w:rPr>
              <w:t>3、</w:t>
            </w:r>
            <w:r>
              <w:rPr>
                <w:rFonts w:hint="eastAsia"/>
                <w:b/>
                <w:bCs/>
                <w:lang w:val="en-US" w:eastAsia="zh-CN"/>
              </w:rPr>
              <w:t>本项目检测项目方案</w:t>
            </w:r>
          </w:p>
          <w:p>
            <w:pPr>
              <w:pStyle w:val="yt"/>
              <w:ind w:firstLine="480"/>
            </w:pPr>
            <w:r>
              <w:rPr>
                <w:rFonts w:hint="eastAsia"/>
                <w:lang w:val="en-US" w:eastAsia="zh-CN"/>
              </w:rPr>
              <w:t>本次为固体废物、土壤和水系沉积物检测部分扩建项目，具体情况见下表</w:t>
            </w:r>
            <w:r>
              <w:t>。</w:t>
            </w:r>
            <w:bookmarkStart w:id="21" w:name="_Ref29065"/>
          </w:p>
          <w:p>
            <w:pPr>
              <w:pStyle w:val="yt1"/>
              <w:numPr>
                <w:numId w:val="10"/>
              </w:numPr>
              <w:ind w:left="0" w:firstLine="0"/>
            </w:pPr>
            <w:r>
              <w:rPr>
                <w:rFonts w:hint="eastAsia"/>
                <w:lang w:val="en-US" w:eastAsia="zh-CN"/>
              </w:rPr>
              <w:t>项目检测项目</w:t>
            </w:r>
            <w:r>
              <w:t>方案一览表</w:t>
            </w:r>
            <w:bookmarkEnd w:id="21"/>
          </w:p>
          <w:tbl>
            <w:tblPr>
              <w:tblStyle w:val="TableGrid2"/>
              <w:tblW w:w="4999"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368"/>
              <w:gridCol w:w="4068"/>
              <w:gridCol w:w="3530"/>
            </w:tblGrid>
            <w:tr>
              <w:tblPrEx>
                <w:tblW w:w="4999"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97"/>
              </w:trPr>
              <w:tc>
                <w:tcPr>
                  <w:tcW w:w="763" w:type="pct"/>
                  <w:tcBorders>
                    <w:tl2br w:val="nil"/>
                    <w:tr2bl w:val="nil"/>
                  </w:tcBorders>
                  <w:noWrap w:val="0"/>
                  <w:vAlign w:val="center"/>
                </w:tcPr>
                <w:p>
                  <w:pPr>
                    <w:pStyle w:val="CXY1"/>
                    <w:bidi w:val="0"/>
                    <w:jc w:val="center"/>
                    <w:rPr>
                      <w:rFonts w:hint="eastAsia"/>
                      <w:b/>
                      <w:bCs/>
                      <w:lang w:val="en-US" w:eastAsia="zh-CN"/>
                    </w:rPr>
                  </w:pPr>
                  <w:r>
                    <w:rPr>
                      <w:b/>
                      <w:bCs/>
                    </w:rPr>
                    <w:t>序号</w:t>
                  </w:r>
                </w:p>
              </w:tc>
              <w:tc>
                <w:tcPr>
                  <w:tcW w:w="2268" w:type="pct"/>
                  <w:tcBorders>
                    <w:tl2br w:val="nil"/>
                    <w:tr2bl w:val="nil"/>
                  </w:tcBorders>
                  <w:noWrap w:val="0"/>
                  <w:vAlign w:val="center"/>
                </w:tcPr>
                <w:p>
                  <w:pPr>
                    <w:pStyle w:val="CXY1"/>
                    <w:bidi w:val="0"/>
                    <w:jc w:val="center"/>
                    <w:rPr>
                      <w:rFonts w:hint="default"/>
                      <w:b/>
                      <w:bCs/>
                      <w:lang w:val="en-US" w:eastAsia="zh-CN"/>
                    </w:rPr>
                  </w:pPr>
                  <w:r>
                    <w:rPr>
                      <w:rFonts w:hint="eastAsia"/>
                      <w:b/>
                      <w:bCs/>
                      <w:lang w:val="en-US" w:eastAsia="zh-CN"/>
                    </w:rPr>
                    <w:t>检测类别</w:t>
                  </w:r>
                </w:p>
              </w:tc>
              <w:tc>
                <w:tcPr>
                  <w:tcW w:w="1968" w:type="pct"/>
                  <w:tcBorders>
                    <w:tl2br w:val="nil"/>
                    <w:tr2bl w:val="nil"/>
                  </w:tcBorders>
                  <w:noWrap w:val="0"/>
                  <w:vAlign w:val="center"/>
                </w:tcPr>
                <w:p>
                  <w:pPr>
                    <w:pStyle w:val="CXY1"/>
                    <w:bidi w:val="0"/>
                    <w:jc w:val="center"/>
                    <w:rPr>
                      <w:rFonts w:hint="default"/>
                      <w:b/>
                      <w:bCs/>
                      <w:lang w:val="en-US" w:eastAsia="zh-CN"/>
                    </w:rPr>
                  </w:pPr>
                  <w:r>
                    <w:rPr>
                      <w:rFonts w:hint="eastAsia"/>
                      <w:b/>
                      <w:bCs/>
                      <w:lang w:val="en-US" w:eastAsia="zh-CN"/>
                    </w:rPr>
                    <w:t>检测样品数（个/a）</w:t>
                  </w:r>
                </w:p>
              </w:tc>
            </w:tr>
            <w:tr>
              <w:tblPrEx>
                <w:tblW w:w="4999" w:type="pct"/>
                <w:tblInd w:w="0" w:type="dxa"/>
                <w:tblCellMar>
                  <w:top w:w="0" w:type="dxa"/>
                  <w:left w:w="108" w:type="dxa"/>
                  <w:bottom w:w="0" w:type="dxa"/>
                  <w:right w:w="108" w:type="dxa"/>
                </w:tblCellMar>
              </w:tblPrEx>
              <w:trPr>
                <w:trHeight w:val="397"/>
              </w:trPr>
              <w:tc>
                <w:tcPr>
                  <w:tcW w:w="763" w:type="pct"/>
                  <w:tcBorders>
                    <w:tl2br w:val="nil"/>
                    <w:tr2bl w:val="nil"/>
                  </w:tcBorders>
                  <w:noWrap w:val="0"/>
                  <w:vAlign w:val="center"/>
                </w:tcPr>
                <w:p>
                  <w:pPr>
                    <w:pStyle w:val="CXY1"/>
                    <w:bidi w:val="0"/>
                    <w:jc w:val="center"/>
                    <w:rPr>
                      <w:rFonts w:hint="eastAsia"/>
                      <w:lang w:val="en-US" w:eastAsia="zh-CN"/>
                    </w:rPr>
                  </w:pPr>
                  <w:r>
                    <w:t>1</w:t>
                  </w:r>
                </w:p>
              </w:tc>
              <w:tc>
                <w:tcPr>
                  <w:tcW w:w="2268" w:type="pct"/>
                  <w:tcBorders>
                    <w:tl2br w:val="nil"/>
                    <w:tr2bl w:val="nil"/>
                  </w:tcBorders>
                  <w:noWrap w:val="0"/>
                  <w:vAlign w:val="center"/>
                </w:tcPr>
                <w:p>
                  <w:pPr>
                    <w:pStyle w:val="CXY1"/>
                    <w:bidi w:val="0"/>
                    <w:jc w:val="center"/>
                    <w:rPr>
                      <w:rFonts w:hint="eastAsia"/>
                      <w:lang w:val="en-US" w:eastAsia="zh-CN"/>
                    </w:rPr>
                  </w:pPr>
                  <w:r>
                    <w:rPr>
                      <w:rFonts w:hint="eastAsia"/>
                      <w:lang w:val="en-US" w:eastAsia="zh-CN"/>
                    </w:rPr>
                    <w:t>土壤和水系沉积物</w:t>
                  </w:r>
                </w:p>
              </w:tc>
              <w:tc>
                <w:tcPr>
                  <w:tcW w:w="1968" w:type="pct"/>
                  <w:vMerge w:val="restart"/>
                  <w:tcBorders>
                    <w:tl2br w:val="nil"/>
                    <w:tr2bl w:val="nil"/>
                  </w:tcBorders>
                  <w:noWrap w:val="0"/>
                  <w:vAlign w:val="center"/>
                </w:tcPr>
                <w:p>
                  <w:pPr>
                    <w:pStyle w:val="CXY1"/>
                    <w:bidi w:val="0"/>
                    <w:jc w:val="center"/>
                    <w:rPr>
                      <w:rFonts w:hint="default"/>
                      <w:lang w:val="en-US" w:eastAsia="zh-CN"/>
                    </w:rPr>
                  </w:pPr>
                  <w:r>
                    <w:rPr>
                      <w:rFonts w:hint="eastAsia"/>
                      <w:lang w:val="en-US" w:eastAsia="zh-CN"/>
                    </w:rPr>
                    <w:t>3000</w:t>
                  </w:r>
                </w:p>
              </w:tc>
            </w:tr>
            <w:tr>
              <w:tblPrEx>
                <w:tblW w:w="4999" w:type="pct"/>
                <w:tblInd w:w="0" w:type="dxa"/>
                <w:tblCellMar>
                  <w:top w:w="0" w:type="dxa"/>
                  <w:left w:w="108" w:type="dxa"/>
                  <w:bottom w:w="0" w:type="dxa"/>
                  <w:right w:w="108" w:type="dxa"/>
                </w:tblCellMar>
              </w:tblPrEx>
              <w:trPr>
                <w:trHeight w:val="397"/>
              </w:trPr>
              <w:tc>
                <w:tcPr>
                  <w:tcW w:w="763" w:type="pct"/>
                  <w:tcBorders>
                    <w:tl2br w:val="nil"/>
                    <w:tr2bl w:val="nil"/>
                  </w:tcBorders>
                  <w:noWrap w:val="0"/>
                  <w:vAlign w:val="center"/>
                </w:tcPr>
                <w:p>
                  <w:pPr>
                    <w:pStyle w:val="CXY1"/>
                    <w:bidi w:val="0"/>
                    <w:jc w:val="center"/>
                    <w:rPr>
                      <w:rFonts w:hint="eastAsia"/>
                      <w:lang w:val="en-US" w:eastAsia="zh-CN"/>
                    </w:rPr>
                  </w:pPr>
                  <w:r>
                    <w:rPr>
                      <w:rFonts w:hint="eastAsia"/>
                      <w:lang w:val="en-US" w:eastAsia="zh-CN"/>
                    </w:rPr>
                    <w:t>2</w:t>
                  </w:r>
                </w:p>
              </w:tc>
              <w:tc>
                <w:tcPr>
                  <w:tcW w:w="2268" w:type="pct"/>
                  <w:tcBorders>
                    <w:tl2br w:val="nil"/>
                    <w:tr2bl w:val="nil"/>
                  </w:tcBorders>
                  <w:noWrap w:val="0"/>
                  <w:vAlign w:val="center"/>
                </w:tcPr>
                <w:p>
                  <w:pPr>
                    <w:pStyle w:val="CXY1"/>
                    <w:bidi w:val="0"/>
                    <w:jc w:val="center"/>
                    <w:rPr>
                      <w:rFonts w:hint="eastAsia"/>
                      <w:lang w:val="en-US" w:eastAsia="zh-CN"/>
                    </w:rPr>
                  </w:pPr>
                  <w:r>
                    <w:rPr>
                      <w:rFonts w:hint="eastAsia"/>
                      <w:lang w:val="en-US" w:eastAsia="zh-CN"/>
                    </w:rPr>
                    <w:t>固体废物</w:t>
                  </w:r>
                </w:p>
              </w:tc>
              <w:tc>
                <w:tcPr>
                  <w:tcW w:w="1968" w:type="pct"/>
                  <w:vMerge/>
                  <w:tcBorders>
                    <w:tl2br w:val="nil"/>
                    <w:tr2bl w:val="nil"/>
                  </w:tcBorders>
                  <w:noWrap w:val="0"/>
                  <w:vAlign w:val="center"/>
                </w:tcPr>
                <w:p>
                  <w:pPr>
                    <w:pStyle w:val="CXY1"/>
                    <w:bidi w:val="0"/>
                    <w:jc w:val="center"/>
                  </w:pPr>
                </w:p>
              </w:tc>
            </w:tr>
          </w:tbl>
          <w:p>
            <w:pPr>
              <w:pStyle w:val="yt"/>
              <w:keepNext w:val="0"/>
              <w:keepLines w:val="0"/>
              <w:pageBreakBefore w:val="0"/>
              <w:widowControl w:val="0"/>
              <w:kinsoku/>
              <w:wordWrap/>
              <w:overflowPunct/>
              <w:topLinePunct w:val="0"/>
              <w:autoSpaceDE/>
              <w:autoSpaceDN/>
              <w:bidi w:val="0"/>
              <w:adjustRightInd/>
              <w:snapToGrid/>
              <w:spacing w:before="120" w:beforeLines="50" w:line="360" w:lineRule="auto"/>
              <w:ind w:firstLine="482"/>
              <w:textAlignment w:val="auto"/>
              <w:rPr>
                <w:b/>
                <w:bCs/>
              </w:rPr>
            </w:pPr>
            <w:r>
              <w:rPr>
                <w:rFonts w:hint="eastAsia"/>
                <w:b/>
                <w:bCs/>
                <w:lang w:val="en-US" w:eastAsia="zh-CN"/>
              </w:rPr>
              <w:t>4、</w:t>
            </w:r>
            <w:r>
              <w:rPr>
                <w:b/>
                <w:bCs/>
              </w:rPr>
              <w:t>主要生产单元、生产设施及设施参数</w:t>
            </w:r>
          </w:p>
          <w:p>
            <w:pPr>
              <w:pStyle w:val="yt"/>
              <w:spacing w:line="336" w:lineRule="auto"/>
              <w:ind w:firstLine="480"/>
            </w:pPr>
            <w:r>
              <w:t>项目主要生产单元、生产设施及设施参数见</w:t>
            </w:r>
            <w:r>
              <w:fldChar w:fldCharType="begin"/>
            </w:r>
            <w:r>
              <w:instrText xml:space="preserve"> REF _Ref29568 \n \h </w:instrText>
            </w:r>
            <w:r>
              <w:fldChar w:fldCharType="separate"/>
            </w:r>
            <w:r>
              <w:t>表2-3</w:t>
            </w:r>
            <w:r>
              <w:fldChar w:fldCharType="end"/>
            </w:r>
            <w:r>
              <w:t>。</w:t>
            </w:r>
          </w:p>
          <w:p>
            <w:pPr>
              <w:pStyle w:val="yt1"/>
              <w:numPr>
                <w:numId w:val="10"/>
              </w:numPr>
              <w:ind w:left="0" w:firstLine="0"/>
            </w:pPr>
            <w:bookmarkStart w:id="22" w:name="_Ref29568"/>
            <w:r>
              <w:t>主要生产单元、生产设施及设施参数一览表</w:t>
            </w:r>
            <w:bookmarkEnd w:id="22"/>
          </w:p>
          <w:tbl>
            <w:tblPr>
              <w:tblStyle w:val="TableNormal"/>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274"/>
              <w:gridCol w:w="1628"/>
              <w:gridCol w:w="1716"/>
              <w:gridCol w:w="2365"/>
              <w:gridCol w:w="980"/>
            </w:tblGrid>
            <w:tr>
              <w:tblPrEx>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268" w:type="pct"/>
                  <w:noWrap w:val="0"/>
                  <w:vAlign w:val="center"/>
                </w:tcPr>
                <w:p>
                  <w:pPr>
                    <w:pStyle w:val="CXY1"/>
                    <w:bidi w:val="0"/>
                    <w:rPr>
                      <w:rFonts w:hint="default"/>
                      <w:b/>
                      <w:bCs/>
                      <w:lang w:val="en-US" w:eastAsia="zh-CN"/>
                    </w:rPr>
                  </w:pPr>
                  <w:r>
                    <w:rPr>
                      <w:rFonts w:hint="eastAsia"/>
                      <w:b/>
                      <w:bCs/>
                      <w:lang w:val="en-US" w:eastAsia="zh-CN"/>
                    </w:rPr>
                    <w:t>检测类别</w:t>
                  </w:r>
                </w:p>
              </w:tc>
              <w:tc>
                <w:tcPr>
                  <w:tcW w:w="908" w:type="pct"/>
                  <w:noWrap w:val="0"/>
                  <w:vAlign w:val="center"/>
                </w:tcPr>
                <w:p>
                  <w:pPr>
                    <w:pStyle w:val="CXY1"/>
                    <w:bidi w:val="0"/>
                    <w:rPr>
                      <w:rFonts w:hint="default"/>
                      <w:b/>
                      <w:bCs/>
                      <w:lang w:val="en-US" w:eastAsia="zh-CN"/>
                    </w:rPr>
                  </w:pPr>
                  <w:r>
                    <w:rPr>
                      <w:rFonts w:hint="eastAsia"/>
                      <w:b/>
                      <w:bCs/>
                      <w:lang w:val="en-US" w:eastAsia="zh-CN"/>
                    </w:rPr>
                    <w:t>仪器名称</w:t>
                  </w:r>
                </w:p>
              </w:tc>
              <w:tc>
                <w:tcPr>
                  <w:tcW w:w="957" w:type="pct"/>
                  <w:noWrap w:val="0"/>
                  <w:vAlign w:val="center"/>
                </w:tcPr>
                <w:p>
                  <w:pPr>
                    <w:pStyle w:val="CXY1"/>
                    <w:bidi w:val="0"/>
                    <w:rPr>
                      <w:b/>
                      <w:bCs/>
                    </w:rPr>
                  </w:pPr>
                  <w:r>
                    <w:rPr>
                      <w:b/>
                      <w:bCs/>
                    </w:rPr>
                    <w:t>规格/型号</w:t>
                  </w:r>
                </w:p>
              </w:tc>
              <w:tc>
                <w:tcPr>
                  <w:tcW w:w="1319" w:type="pct"/>
                  <w:noWrap w:val="0"/>
                  <w:vAlign w:val="center"/>
                </w:tcPr>
                <w:p>
                  <w:pPr>
                    <w:pStyle w:val="CXY1"/>
                    <w:bidi w:val="0"/>
                    <w:rPr>
                      <w:rFonts w:hint="eastAsia"/>
                      <w:b/>
                      <w:bCs/>
                    </w:rPr>
                  </w:pPr>
                  <w:r>
                    <w:rPr>
                      <w:b/>
                      <w:bCs/>
                    </w:rPr>
                    <w:t>数量</w:t>
                  </w:r>
                  <w:r>
                    <w:rPr>
                      <w:rFonts w:hint="eastAsia"/>
                      <w:b/>
                      <w:bCs/>
                    </w:rPr>
                    <w:t>（</w:t>
                  </w:r>
                  <w:r>
                    <w:rPr>
                      <w:rFonts w:hint="eastAsia"/>
                      <w:b/>
                      <w:bCs/>
                      <w:lang w:val="en-US" w:eastAsia="zh-CN"/>
                    </w:rPr>
                    <w:t>个/台</w:t>
                  </w:r>
                  <w:r>
                    <w:rPr>
                      <w:rFonts w:hint="eastAsia"/>
                      <w:b/>
                      <w:bCs/>
                    </w:rPr>
                    <w:t>）</w:t>
                  </w:r>
                </w:p>
              </w:tc>
              <w:tc>
                <w:tcPr>
                  <w:tcW w:w="546" w:type="pct"/>
                  <w:noWrap w:val="0"/>
                  <w:vAlign w:val="center"/>
                </w:tcPr>
                <w:p>
                  <w:pPr>
                    <w:pStyle w:val="CXY1"/>
                    <w:bidi w:val="0"/>
                    <w:rPr>
                      <w:b/>
                      <w:bCs/>
                    </w:rPr>
                  </w:pPr>
                  <w:r>
                    <w:rPr>
                      <w:b/>
                      <w:bCs/>
                    </w:rPr>
                    <w:t>备注</w:t>
                  </w:r>
                </w:p>
              </w:tc>
            </w:tr>
            <w:tr>
              <w:tblPrEx>
                <w:tblW w:w="4997" w:type="pct"/>
                <w:jc w:val="center"/>
                <w:tblCellMar>
                  <w:top w:w="0" w:type="dxa"/>
                  <w:left w:w="108" w:type="dxa"/>
                  <w:bottom w:w="0" w:type="dxa"/>
                  <w:right w:w="108" w:type="dxa"/>
                </w:tblCellMar>
              </w:tblPrEx>
              <w:trPr>
                <w:jc w:val="center"/>
              </w:trPr>
              <w:tc>
                <w:tcPr>
                  <w:tcW w:w="1268" w:type="pct"/>
                  <w:vMerge w:val="restart"/>
                  <w:noWrap w:val="0"/>
                  <w:vAlign w:val="center"/>
                </w:tcPr>
                <w:p>
                  <w:pPr>
                    <w:pStyle w:val="CXY1"/>
                    <w:bidi w:val="0"/>
                    <w:rPr>
                      <w:rFonts w:hint="default"/>
                      <w:lang w:val="en-US" w:eastAsia="zh-CN"/>
                    </w:rPr>
                  </w:pPr>
                  <w:r>
                    <w:rPr>
                      <w:rFonts w:hint="eastAsia"/>
                      <w:lang w:val="en-US" w:eastAsia="zh-CN"/>
                    </w:rPr>
                    <w:t>固体废物、土壤和水系沉积物</w:t>
                  </w:r>
                </w:p>
              </w:tc>
              <w:tc>
                <w:tcPr>
                  <w:tcW w:w="908" w:type="pct"/>
                  <w:noWrap w:val="0"/>
                  <w:vAlign w:val="center"/>
                </w:tcPr>
                <w:p>
                  <w:pPr>
                    <w:pStyle w:val="CXY1"/>
                    <w:bidi w:val="0"/>
                    <w:rPr>
                      <w:rFonts w:hint="default"/>
                      <w:lang w:val="en-US" w:eastAsia="zh-CN"/>
                    </w:rPr>
                  </w:pPr>
                  <w:r>
                    <w:rPr>
                      <w:rFonts w:hint="eastAsia"/>
                      <w:lang w:val="en-US" w:eastAsia="zh-CN"/>
                    </w:rPr>
                    <w:t xml:space="preserve">ICP-MS </w:t>
                  </w:r>
                </w:p>
              </w:tc>
              <w:tc>
                <w:tcPr>
                  <w:tcW w:w="957" w:type="pct"/>
                  <w:noWrap w:val="0"/>
                  <w:vAlign w:val="center"/>
                </w:tcPr>
                <w:p>
                  <w:pPr>
                    <w:pStyle w:val="CXY1"/>
                    <w:bidi w:val="0"/>
                    <w:rPr>
                      <w:rFonts w:hint="default"/>
                      <w:lang w:val="en-US" w:eastAsia="zh-CN"/>
                    </w:rPr>
                  </w:pPr>
                  <w:r>
                    <w:rPr>
                      <w:rFonts w:hint="eastAsia"/>
                      <w:lang w:val="en-US" w:eastAsia="zh-CN"/>
                    </w:rPr>
                    <w:t>7850</w:t>
                  </w:r>
                </w:p>
              </w:tc>
              <w:tc>
                <w:tcPr>
                  <w:tcW w:w="1319" w:type="pct"/>
                  <w:noWrap w:val="0"/>
                  <w:vAlign w:val="center"/>
                </w:tcPr>
                <w:p>
                  <w:pPr>
                    <w:pStyle w:val="CXY1"/>
                    <w:bidi w:val="0"/>
                    <w:rPr>
                      <w:rFonts w:hint="eastAsia"/>
                      <w:lang w:eastAsia="zh-CN"/>
                    </w:rPr>
                  </w:pPr>
                  <w:r>
                    <w:rPr>
                      <w:rFonts w:hint="eastAsia"/>
                      <w:lang w:val="en-US" w:eastAsia="zh-CN"/>
                    </w:rPr>
                    <w:t>1</w:t>
                  </w:r>
                </w:p>
              </w:tc>
              <w:tc>
                <w:tcPr>
                  <w:tcW w:w="546" w:type="pct"/>
                  <w:noWrap w:val="0"/>
                  <w:vAlign w:val="center"/>
                </w:tcPr>
                <w:p>
                  <w:pPr>
                    <w:pStyle w:val="CXY1"/>
                    <w:bidi w:val="0"/>
                  </w:pPr>
                </w:p>
              </w:tc>
            </w:tr>
            <w:tr>
              <w:tblPrEx>
                <w:tblW w:w="4997" w:type="pct"/>
                <w:jc w:val="center"/>
                <w:tblCellMar>
                  <w:top w:w="0" w:type="dxa"/>
                  <w:left w:w="108" w:type="dxa"/>
                  <w:bottom w:w="0" w:type="dxa"/>
                  <w:right w:w="108" w:type="dxa"/>
                </w:tblCellMar>
              </w:tblPrEx>
              <w:trPr>
                <w:jc w:val="center"/>
              </w:trPr>
              <w:tc>
                <w:tcPr>
                  <w:tcW w:w="1268" w:type="pct"/>
                  <w:vMerge/>
                  <w:noWrap w:val="0"/>
                  <w:vAlign w:val="center"/>
                </w:tcPr>
                <w:p>
                  <w:pPr>
                    <w:pStyle w:val="CXY1"/>
                    <w:bidi w:val="0"/>
                  </w:pPr>
                </w:p>
              </w:tc>
              <w:tc>
                <w:tcPr>
                  <w:tcW w:w="908" w:type="pct"/>
                  <w:noWrap w:val="0"/>
                  <w:vAlign w:val="center"/>
                </w:tcPr>
                <w:p>
                  <w:pPr>
                    <w:pStyle w:val="CXY1"/>
                    <w:bidi w:val="0"/>
                    <w:rPr>
                      <w:rFonts w:hint="default"/>
                      <w:lang w:val="en-US" w:eastAsia="zh-CN"/>
                    </w:rPr>
                  </w:pPr>
                  <w:r>
                    <w:rPr>
                      <w:rFonts w:hint="eastAsia"/>
                      <w:lang w:val="en-US" w:eastAsia="zh-CN"/>
                    </w:rPr>
                    <w:t>原子荧光</w:t>
                  </w:r>
                </w:p>
              </w:tc>
              <w:tc>
                <w:tcPr>
                  <w:tcW w:w="957" w:type="pct"/>
                  <w:noWrap w:val="0"/>
                  <w:vAlign w:val="center"/>
                </w:tcPr>
                <w:p>
                  <w:pPr>
                    <w:pStyle w:val="CXY1"/>
                    <w:bidi w:val="0"/>
                    <w:rPr>
                      <w:rFonts w:hint="default"/>
                      <w:lang w:val="en-US" w:eastAsia="zh-CN"/>
                    </w:rPr>
                  </w:pPr>
                  <w:r>
                    <w:rPr>
                      <w:rFonts w:hint="eastAsia"/>
                      <w:lang w:val="en-US" w:eastAsia="zh-CN"/>
                    </w:rPr>
                    <w:t>AFS-8510</w:t>
                  </w:r>
                </w:p>
              </w:tc>
              <w:tc>
                <w:tcPr>
                  <w:tcW w:w="1319" w:type="pct"/>
                  <w:noWrap w:val="0"/>
                  <w:vAlign w:val="center"/>
                </w:tcPr>
                <w:p>
                  <w:pPr>
                    <w:pStyle w:val="CXY1"/>
                    <w:bidi w:val="0"/>
                    <w:rPr>
                      <w:rFonts w:hint="eastAsia"/>
                      <w:lang w:eastAsia="zh-CN"/>
                    </w:rPr>
                  </w:pPr>
                  <w:r>
                    <w:rPr>
                      <w:rFonts w:hint="eastAsia"/>
                      <w:lang w:val="en-US" w:eastAsia="zh-CN"/>
                    </w:rPr>
                    <w:t>1</w:t>
                  </w:r>
                </w:p>
              </w:tc>
              <w:tc>
                <w:tcPr>
                  <w:tcW w:w="546" w:type="pct"/>
                  <w:noWrap w:val="0"/>
                  <w:vAlign w:val="center"/>
                </w:tcPr>
                <w:p>
                  <w:pPr>
                    <w:pStyle w:val="CXY1"/>
                    <w:bidi w:val="0"/>
                    <w:rPr>
                      <w:rFonts w:hint="eastAsia"/>
                    </w:rPr>
                  </w:pPr>
                </w:p>
              </w:tc>
            </w:tr>
            <w:tr>
              <w:tblPrEx>
                <w:tblW w:w="4997" w:type="pct"/>
                <w:jc w:val="center"/>
                <w:tblCellMar>
                  <w:top w:w="0" w:type="dxa"/>
                  <w:left w:w="108" w:type="dxa"/>
                  <w:bottom w:w="0" w:type="dxa"/>
                  <w:right w:w="108" w:type="dxa"/>
                </w:tblCellMar>
              </w:tblPrEx>
              <w:trPr>
                <w:jc w:val="center"/>
              </w:trPr>
              <w:tc>
                <w:tcPr>
                  <w:tcW w:w="1268" w:type="pct"/>
                  <w:vMerge/>
                  <w:noWrap w:val="0"/>
                  <w:vAlign w:val="center"/>
                </w:tcPr>
                <w:p>
                  <w:pPr>
                    <w:pStyle w:val="CXY1"/>
                    <w:bidi w:val="0"/>
                  </w:pPr>
                </w:p>
              </w:tc>
              <w:tc>
                <w:tcPr>
                  <w:tcW w:w="908" w:type="pct"/>
                  <w:noWrap w:val="0"/>
                  <w:vAlign w:val="center"/>
                </w:tcPr>
                <w:p>
                  <w:pPr>
                    <w:pStyle w:val="CXY1"/>
                    <w:bidi w:val="0"/>
                    <w:rPr>
                      <w:rFonts w:hint="default"/>
                      <w:lang w:val="en-US" w:eastAsia="zh-CN"/>
                    </w:rPr>
                  </w:pPr>
                  <w:r>
                    <w:rPr>
                      <w:rFonts w:hint="eastAsia"/>
                      <w:lang w:val="en-US" w:eastAsia="zh-CN"/>
                    </w:rPr>
                    <w:t>定氮仪</w:t>
                  </w:r>
                </w:p>
              </w:tc>
              <w:tc>
                <w:tcPr>
                  <w:tcW w:w="957" w:type="pct"/>
                  <w:noWrap w:val="0"/>
                  <w:vAlign w:val="center"/>
                </w:tcPr>
                <w:p>
                  <w:pPr>
                    <w:pStyle w:val="CXY1"/>
                    <w:bidi w:val="0"/>
                    <w:rPr>
                      <w:rFonts w:hint="eastAsia"/>
                      <w:lang w:val="en-US" w:eastAsia="zh-CN"/>
                    </w:rPr>
                  </w:pPr>
                  <w:r>
                    <w:rPr>
                      <w:rFonts w:hint="default"/>
                      <w:lang w:val="en-US" w:eastAsia="zh-CN"/>
                    </w:rPr>
                    <w:t>K9860</w:t>
                  </w:r>
                </w:p>
              </w:tc>
              <w:tc>
                <w:tcPr>
                  <w:tcW w:w="1319" w:type="pct"/>
                  <w:noWrap w:val="0"/>
                  <w:vAlign w:val="center"/>
                </w:tcPr>
                <w:p>
                  <w:pPr>
                    <w:pStyle w:val="CXY1"/>
                    <w:bidi w:val="0"/>
                    <w:rPr>
                      <w:rFonts w:hint="default"/>
                      <w:lang w:val="en-US" w:eastAsia="zh-CN"/>
                    </w:rPr>
                  </w:pPr>
                  <w:r>
                    <w:rPr>
                      <w:rFonts w:hint="eastAsia"/>
                      <w:lang w:val="en-US" w:eastAsia="zh-CN"/>
                    </w:rPr>
                    <w:t>2</w:t>
                  </w:r>
                </w:p>
              </w:tc>
              <w:tc>
                <w:tcPr>
                  <w:tcW w:w="546" w:type="pct"/>
                  <w:noWrap w:val="0"/>
                  <w:vAlign w:val="center"/>
                </w:tcPr>
                <w:p>
                  <w:pPr>
                    <w:pStyle w:val="CXY1"/>
                    <w:bidi w:val="0"/>
                    <w:rPr>
                      <w:rFonts w:hint="eastAsia"/>
                    </w:rPr>
                  </w:pPr>
                </w:p>
              </w:tc>
            </w:tr>
            <w:tr>
              <w:tblPrEx>
                <w:tblW w:w="4997" w:type="pct"/>
                <w:jc w:val="center"/>
                <w:tblCellMar>
                  <w:top w:w="0" w:type="dxa"/>
                  <w:left w:w="108" w:type="dxa"/>
                  <w:bottom w:w="0" w:type="dxa"/>
                  <w:right w:w="108" w:type="dxa"/>
                </w:tblCellMar>
              </w:tblPrEx>
              <w:trPr>
                <w:trHeight w:val="247"/>
                <w:jc w:val="center"/>
              </w:trPr>
              <w:tc>
                <w:tcPr>
                  <w:tcW w:w="1268" w:type="pct"/>
                  <w:vMerge/>
                  <w:noWrap w:val="0"/>
                  <w:vAlign w:val="center"/>
                </w:tcPr>
                <w:p>
                  <w:pPr>
                    <w:pStyle w:val="CXY1"/>
                    <w:bidi w:val="0"/>
                    <w:rPr>
                      <w:rFonts w:hint="default"/>
                      <w:lang w:val="en-US" w:eastAsia="zh-CN"/>
                    </w:rPr>
                  </w:pPr>
                </w:p>
              </w:tc>
              <w:tc>
                <w:tcPr>
                  <w:tcW w:w="908" w:type="pct"/>
                  <w:noWrap w:val="0"/>
                  <w:vAlign w:val="center"/>
                </w:tcPr>
                <w:p>
                  <w:pPr>
                    <w:pStyle w:val="CXY1"/>
                    <w:bidi w:val="0"/>
                    <w:rPr>
                      <w:rFonts w:hint="default"/>
                      <w:lang w:val="en-US" w:eastAsia="zh-CN"/>
                    </w:rPr>
                  </w:pPr>
                  <w:r>
                    <w:rPr>
                      <w:rFonts w:hint="eastAsia"/>
                      <w:lang w:val="en-US" w:eastAsia="zh-CN"/>
                    </w:rPr>
                    <w:t>火焰光度计</w:t>
                  </w:r>
                </w:p>
              </w:tc>
              <w:tc>
                <w:tcPr>
                  <w:tcW w:w="957" w:type="pct"/>
                  <w:noWrap w:val="0"/>
                  <w:vAlign w:val="center"/>
                </w:tcPr>
                <w:p>
                  <w:pPr>
                    <w:pStyle w:val="CXY1"/>
                    <w:bidi w:val="0"/>
                    <w:rPr>
                      <w:rFonts w:hint="eastAsia"/>
                      <w:lang w:val="en-US" w:eastAsia="zh-CN"/>
                    </w:rPr>
                  </w:pPr>
                  <w:r>
                    <w:rPr>
                      <w:rFonts w:hint="eastAsia"/>
                      <w:lang w:val="en-US" w:eastAsia="zh-CN"/>
                    </w:rPr>
                    <w:t>/</w:t>
                  </w:r>
                </w:p>
              </w:tc>
              <w:tc>
                <w:tcPr>
                  <w:tcW w:w="1319" w:type="pct"/>
                  <w:noWrap w:val="0"/>
                  <w:vAlign w:val="center"/>
                </w:tcPr>
                <w:p>
                  <w:pPr>
                    <w:pStyle w:val="CXY1"/>
                    <w:bidi w:val="0"/>
                    <w:rPr>
                      <w:rFonts w:hint="eastAsia"/>
                    </w:rPr>
                  </w:pPr>
                  <w:r>
                    <w:rPr>
                      <w:rFonts w:hint="eastAsia"/>
                      <w:lang w:val="en-US" w:eastAsia="zh-CN"/>
                    </w:rPr>
                    <w:t>1</w:t>
                  </w:r>
                </w:p>
              </w:tc>
              <w:tc>
                <w:tcPr>
                  <w:tcW w:w="546" w:type="pct"/>
                  <w:noWrap w:val="0"/>
                  <w:vAlign w:val="center"/>
                </w:tcPr>
                <w:p>
                  <w:pPr>
                    <w:pStyle w:val="CXY1"/>
                    <w:bidi w:val="0"/>
                  </w:pPr>
                </w:p>
              </w:tc>
            </w:tr>
            <w:tr>
              <w:tblPrEx>
                <w:tblW w:w="4997" w:type="pct"/>
                <w:jc w:val="center"/>
                <w:tblCellMar>
                  <w:top w:w="0" w:type="dxa"/>
                  <w:left w:w="108" w:type="dxa"/>
                  <w:bottom w:w="0" w:type="dxa"/>
                  <w:right w:w="108" w:type="dxa"/>
                </w:tblCellMar>
              </w:tblPrEx>
              <w:trPr>
                <w:trHeight w:val="136"/>
                <w:jc w:val="center"/>
              </w:trPr>
              <w:tc>
                <w:tcPr>
                  <w:tcW w:w="1268" w:type="pct"/>
                  <w:vMerge/>
                  <w:noWrap w:val="0"/>
                  <w:vAlign w:val="center"/>
                </w:tcPr>
                <w:p>
                  <w:pPr>
                    <w:pStyle w:val="CXY1"/>
                    <w:bidi w:val="0"/>
                  </w:pPr>
                </w:p>
              </w:tc>
              <w:tc>
                <w:tcPr>
                  <w:tcW w:w="908" w:type="pct"/>
                  <w:noWrap w:val="0"/>
                  <w:vAlign w:val="center"/>
                </w:tcPr>
                <w:p>
                  <w:pPr>
                    <w:pStyle w:val="CXY1"/>
                    <w:bidi w:val="0"/>
                    <w:rPr>
                      <w:rFonts w:hint="eastAsia"/>
                      <w:lang w:eastAsia="zh-CN"/>
                    </w:rPr>
                  </w:pPr>
                  <w:r>
                    <w:rPr>
                      <w:rFonts w:hint="eastAsia"/>
                      <w:lang w:val="en-US" w:eastAsia="zh-CN"/>
                    </w:rPr>
                    <w:t>石墨消解仪</w:t>
                  </w:r>
                </w:p>
              </w:tc>
              <w:tc>
                <w:tcPr>
                  <w:tcW w:w="957" w:type="pct"/>
                  <w:noWrap w:val="0"/>
                  <w:vAlign w:val="center"/>
                </w:tcPr>
                <w:p>
                  <w:pPr>
                    <w:pStyle w:val="CXY1"/>
                    <w:bidi w:val="0"/>
                    <w:rPr>
                      <w:rFonts w:hint="eastAsia"/>
                    </w:rPr>
                  </w:pPr>
                  <w:r>
                    <w:rPr>
                      <w:rFonts w:hint="default"/>
                      <w:lang w:val="en-US" w:eastAsia="zh-CN"/>
                    </w:rPr>
                    <w:t>SH220F</w:t>
                  </w:r>
                </w:p>
              </w:tc>
              <w:tc>
                <w:tcPr>
                  <w:tcW w:w="1319" w:type="pct"/>
                  <w:noWrap w:val="0"/>
                  <w:vAlign w:val="center"/>
                </w:tcPr>
                <w:p>
                  <w:pPr>
                    <w:pStyle w:val="CXY1"/>
                    <w:bidi w:val="0"/>
                  </w:pPr>
                  <w:r>
                    <w:rPr>
                      <w:rFonts w:hint="eastAsia"/>
                      <w:lang w:val="en-US" w:eastAsia="zh-CN"/>
                    </w:rPr>
                    <w:t>2</w:t>
                  </w:r>
                </w:p>
              </w:tc>
              <w:tc>
                <w:tcPr>
                  <w:tcW w:w="546" w:type="pct"/>
                  <w:noWrap w:val="0"/>
                  <w:vAlign w:val="center"/>
                </w:tcPr>
                <w:p>
                  <w:pPr>
                    <w:pStyle w:val="CXY1"/>
                    <w:bidi w:val="0"/>
                  </w:pPr>
                </w:p>
              </w:tc>
            </w:tr>
            <w:tr>
              <w:tblPrEx>
                <w:tblW w:w="4997" w:type="pct"/>
                <w:jc w:val="center"/>
                <w:tblCellMar>
                  <w:top w:w="0" w:type="dxa"/>
                  <w:left w:w="108" w:type="dxa"/>
                  <w:bottom w:w="0" w:type="dxa"/>
                  <w:right w:w="108" w:type="dxa"/>
                </w:tblCellMar>
              </w:tblPrEx>
              <w:trPr>
                <w:trHeight w:val="136"/>
                <w:jc w:val="center"/>
              </w:trPr>
              <w:tc>
                <w:tcPr>
                  <w:tcW w:w="1268" w:type="pct"/>
                  <w:vMerge/>
                  <w:noWrap w:val="0"/>
                  <w:vAlign w:val="center"/>
                </w:tcPr>
                <w:p>
                  <w:pPr>
                    <w:pStyle w:val="CXY1"/>
                    <w:bidi w:val="0"/>
                    <w:rPr>
                      <w:rFonts w:hint="eastAsia"/>
                    </w:rPr>
                  </w:pPr>
                </w:p>
              </w:tc>
              <w:tc>
                <w:tcPr>
                  <w:tcW w:w="908" w:type="pct"/>
                  <w:noWrap w:val="0"/>
                  <w:vAlign w:val="center"/>
                </w:tcPr>
                <w:p>
                  <w:pPr>
                    <w:pStyle w:val="CXY1"/>
                    <w:bidi w:val="0"/>
                    <w:rPr>
                      <w:rFonts w:hint="eastAsia"/>
                      <w:lang w:eastAsia="zh-CN"/>
                    </w:rPr>
                  </w:pPr>
                  <w:r>
                    <w:rPr>
                      <w:rFonts w:hint="eastAsia"/>
                      <w:lang w:val="en-US" w:eastAsia="zh-CN"/>
                    </w:rPr>
                    <w:t>电子天平</w:t>
                  </w:r>
                </w:p>
              </w:tc>
              <w:tc>
                <w:tcPr>
                  <w:tcW w:w="957" w:type="pct"/>
                  <w:noWrap w:val="0"/>
                  <w:vAlign w:val="center"/>
                </w:tcPr>
                <w:p>
                  <w:pPr>
                    <w:pStyle w:val="CXY1"/>
                    <w:bidi w:val="0"/>
                    <w:rPr>
                      <w:rFonts w:hint="eastAsia"/>
                    </w:rPr>
                  </w:pPr>
                  <w:r>
                    <w:rPr>
                      <w:rFonts w:hint="eastAsia"/>
                      <w:lang w:val="en-US" w:eastAsia="zh-CN"/>
                    </w:rPr>
                    <w:t>百分之一</w:t>
                  </w:r>
                </w:p>
              </w:tc>
              <w:tc>
                <w:tcPr>
                  <w:tcW w:w="1319" w:type="pct"/>
                  <w:noWrap w:val="0"/>
                  <w:vAlign w:val="center"/>
                </w:tcPr>
                <w:p>
                  <w:pPr>
                    <w:pStyle w:val="CXY1"/>
                    <w:bidi w:val="0"/>
                    <w:rPr>
                      <w:rFonts w:hint="eastAsia"/>
                      <w:lang w:eastAsia="zh-CN"/>
                    </w:rPr>
                  </w:pPr>
                  <w:r>
                    <w:rPr>
                      <w:rFonts w:hint="eastAsia"/>
                      <w:lang w:val="en-US" w:eastAsia="zh-CN"/>
                    </w:rPr>
                    <w:t>2</w:t>
                  </w:r>
                </w:p>
              </w:tc>
              <w:tc>
                <w:tcPr>
                  <w:tcW w:w="546" w:type="pct"/>
                  <w:noWrap w:val="0"/>
                  <w:vAlign w:val="center"/>
                </w:tcPr>
                <w:p>
                  <w:pPr>
                    <w:pStyle w:val="CXY1"/>
                    <w:bidi w:val="0"/>
                  </w:pPr>
                </w:p>
              </w:tc>
            </w:tr>
            <w:tr>
              <w:tblPrEx>
                <w:tblW w:w="4997" w:type="pct"/>
                <w:jc w:val="center"/>
                <w:tblCellMar>
                  <w:top w:w="0" w:type="dxa"/>
                  <w:left w:w="108" w:type="dxa"/>
                  <w:bottom w:w="0" w:type="dxa"/>
                  <w:right w:w="108" w:type="dxa"/>
                </w:tblCellMar>
              </w:tblPrEx>
              <w:trPr>
                <w:trHeight w:val="136"/>
                <w:jc w:val="center"/>
              </w:trPr>
              <w:tc>
                <w:tcPr>
                  <w:tcW w:w="1268" w:type="pct"/>
                  <w:vMerge/>
                  <w:noWrap w:val="0"/>
                  <w:vAlign w:val="center"/>
                </w:tcPr>
                <w:p>
                  <w:pPr>
                    <w:pStyle w:val="CXY1"/>
                    <w:bidi w:val="0"/>
                    <w:rPr>
                      <w:rFonts w:hint="eastAsia"/>
                    </w:rPr>
                  </w:pPr>
                </w:p>
              </w:tc>
              <w:tc>
                <w:tcPr>
                  <w:tcW w:w="908" w:type="pct"/>
                  <w:noWrap w:val="0"/>
                  <w:vAlign w:val="center"/>
                </w:tcPr>
                <w:p>
                  <w:pPr>
                    <w:pStyle w:val="CXY1"/>
                    <w:bidi w:val="0"/>
                    <w:rPr>
                      <w:rFonts w:hint="default"/>
                      <w:lang w:val="en-US" w:eastAsia="zh-CN"/>
                    </w:rPr>
                  </w:pPr>
                  <w:r>
                    <w:rPr>
                      <w:rFonts w:hint="eastAsia"/>
                      <w:lang w:val="en-US" w:eastAsia="zh-CN"/>
                    </w:rPr>
                    <w:t>离子计</w:t>
                  </w:r>
                </w:p>
              </w:tc>
              <w:tc>
                <w:tcPr>
                  <w:tcW w:w="957" w:type="pct"/>
                  <w:noWrap w:val="0"/>
                  <w:vAlign w:val="center"/>
                </w:tcPr>
                <w:p>
                  <w:pPr>
                    <w:pStyle w:val="CXY1"/>
                    <w:bidi w:val="0"/>
                    <w:rPr>
                      <w:rFonts w:hint="default"/>
                      <w:lang w:val="en-US" w:eastAsia="zh-CN"/>
                    </w:rPr>
                  </w:pPr>
                  <w:r>
                    <w:rPr>
                      <w:rFonts w:hint="eastAsia"/>
                      <w:lang w:val="en-US" w:eastAsia="zh-CN"/>
                    </w:rPr>
                    <w:t>/</w:t>
                  </w:r>
                </w:p>
              </w:tc>
              <w:tc>
                <w:tcPr>
                  <w:tcW w:w="1319" w:type="pct"/>
                  <w:noWrap w:val="0"/>
                  <w:vAlign w:val="center"/>
                </w:tcPr>
                <w:p>
                  <w:pPr>
                    <w:pStyle w:val="CXY1"/>
                    <w:bidi w:val="0"/>
                    <w:rPr>
                      <w:rFonts w:hint="default"/>
                      <w:lang w:val="en-US" w:eastAsia="zh-CN"/>
                    </w:rPr>
                  </w:pPr>
                  <w:r>
                    <w:rPr>
                      <w:rFonts w:hint="eastAsia"/>
                      <w:lang w:val="en-US" w:eastAsia="zh-CN"/>
                    </w:rPr>
                    <w:t>2</w:t>
                  </w:r>
                </w:p>
              </w:tc>
              <w:tc>
                <w:tcPr>
                  <w:tcW w:w="546" w:type="pct"/>
                  <w:noWrap w:val="0"/>
                  <w:vAlign w:val="center"/>
                </w:tcPr>
                <w:p>
                  <w:pPr>
                    <w:pStyle w:val="CXY1"/>
                    <w:bidi w:val="0"/>
                  </w:pPr>
                </w:p>
              </w:tc>
            </w:tr>
            <w:tr>
              <w:tblPrEx>
                <w:tblW w:w="4997" w:type="pct"/>
                <w:jc w:val="center"/>
                <w:tblCellMar>
                  <w:top w:w="0" w:type="dxa"/>
                  <w:left w:w="108" w:type="dxa"/>
                  <w:bottom w:w="0" w:type="dxa"/>
                  <w:right w:w="108" w:type="dxa"/>
                </w:tblCellMar>
              </w:tblPrEx>
              <w:trPr>
                <w:trHeight w:val="136"/>
                <w:jc w:val="center"/>
              </w:trPr>
              <w:tc>
                <w:tcPr>
                  <w:tcW w:w="1268" w:type="pct"/>
                  <w:vMerge/>
                  <w:noWrap w:val="0"/>
                  <w:vAlign w:val="center"/>
                </w:tcPr>
                <w:p>
                  <w:pPr>
                    <w:pStyle w:val="CXY1"/>
                    <w:bidi w:val="0"/>
                    <w:rPr>
                      <w:rFonts w:hint="eastAsia"/>
                    </w:rPr>
                  </w:pPr>
                </w:p>
              </w:tc>
              <w:tc>
                <w:tcPr>
                  <w:tcW w:w="908" w:type="pct"/>
                  <w:noWrap w:val="0"/>
                  <w:vAlign w:val="center"/>
                </w:tcPr>
                <w:p>
                  <w:pPr>
                    <w:pStyle w:val="CXY1"/>
                    <w:bidi w:val="0"/>
                    <w:rPr>
                      <w:rFonts w:hint="default"/>
                      <w:lang w:val="en-US" w:eastAsia="zh-CN"/>
                    </w:rPr>
                  </w:pPr>
                  <w:r>
                    <w:rPr>
                      <w:rFonts w:hint="eastAsia"/>
                      <w:lang w:val="en-US" w:eastAsia="zh-CN"/>
                    </w:rPr>
                    <w:t>pH计</w:t>
                  </w:r>
                </w:p>
              </w:tc>
              <w:tc>
                <w:tcPr>
                  <w:tcW w:w="957" w:type="pct"/>
                  <w:noWrap w:val="0"/>
                  <w:vAlign w:val="center"/>
                </w:tcPr>
                <w:p>
                  <w:pPr>
                    <w:pStyle w:val="CXY1"/>
                    <w:bidi w:val="0"/>
                    <w:rPr>
                      <w:rFonts w:hint="eastAsia"/>
                      <w:lang w:val="en-US" w:eastAsia="zh-CN"/>
                    </w:rPr>
                  </w:pPr>
                  <w:r>
                    <w:rPr>
                      <w:rFonts w:hint="eastAsia"/>
                      <w:lang w:val="en-US" w:eastAsia="zh-CN"/>
                    </w:rPr>
                    <w:t>PHB-4</w:t>
                  </w:r>
                </w:p>
              </w:tc>
              <w:tc>
                <w:tcPr>
                  <w:tcW w:w="1319" w:type="pct"/>
                  <w:noWrap w:val="0"/>
                  <w:vAlign w:val="center"/>
                </w:tcPr>
                <w:p>
                  <w:pPr>
                    <w:pStyle w:val="CXY1"/>
                    <w:bidi w:val="0"/>
                    <w:rPr>
                      <w:rFonts w:hint="default"/>
                      <w:lang w:val="en-US" w:eastAsia="zh-CN"/>
                    </w:rPr>
                  </w:pPr>
                  <w:r>
                    <w:rPr>
                      <w:rFonts w:hint="eastAsia"/>
                      <w:lang w:val="en-US" w:eastAsia="zh-CN"/>
                    </w:rPr>
                    <w:t>2</w:t>
                  </w:r>
                </w:p>
              </w:tc>
              <w:tc>
                <w:tcPr>
                  <w:tcW w:w="546" w:type="pct"/>
                  <w:noWrap w:val="0"/>
                  <w:vAlign w:val="center"/>
                </w:tcPr>
                <w:p>
                  <w:pPr>
                    <w:pStyle w:val="CXY1"/>
                    <w:bidi w:val="0"/>
                  </w:pPr>
                </w:p>
              </w:tc>
            </w:tr>
            <w:tr>
              <w:tblPrEx>
                <w:tblW w:w="4997" w:type="pct"/>
                <w:jc w:val="center"/>
                <w:tblCellMar>
                  <w:top w:w="0" w:type="dxa"/>
                  <w:left w:w="108" w:type="dxa"/>
                  <w:bottom w:w="0" w:type="dxa"/>
                  <w:right w:w="108" w:type="dxa"/>
                </w:tblCellMar>
              </w:tblPrEx>
              <w:trPr>
                <w:trHeight w:val="136"/>
                <w:jc w:val="center"/>
              </w:trPr>
              <w:tc>
                <w:tcPr>
                  <w:tcW w:w="1268" w:type="pct"/>
                  <w:vMerge/>
                  <w:noWrap w:val="0"/>
                  <w:vAlign w:val="center"/>
                </w:tcPr>
                <w:p>
                  <w:pPr>
                    <w:pStyle w:val="CXY1"/>
                    <w:bidi w:val="0"/>
                    <w:rPr>
                      <w:rFonts w:hint="eastAsia"/>
                    </w:rPr>
                  </w:pPr>
                </w:p>
              </w:tc>
              <w:tc>
                <w:tcPr>
                  <w:tcW w:w="908" w:type="pct"/>
                  <w:noWrap w:val="0"/>
                  <w:vAlign w:val="center"/>
                </w:tcPr>
                <w:p>
                  <w:pPr>
                    <w:pStyle w:val="CXY1"/>
                    <w:bidi w:val="0"/>
                    <w:rPr>
                      <w:rFonts w:hint="default"/>
                      <w:lang w:val="en-US" w:eastAsia="zh-CN"/>
                    </w:rPr>
                  </w:pPr>
                  <w:r>
                    <w:rPr>
                      <w:rFonts w:hint="eastAsia"/>
                      <w:lang w:val="en-US" w:eastAsia="zh-CN"/>
                    </w:rPr>
                    <w:t>通风柜</w:t>
                  </w:r>
                </w:p>
              </w:tc>
              <w:tc>
                <w:tcPr>
                  <w:tcW w:w="957" w:type="pct"/>
                  <w:noWrap w:val="0"/>
                  <w:vAlign w:val="center"/>
                </w:tcPr>
                <w:p>
                  <w:pPr>
                    <w:pStyle w:val="CXY1"/>
                    <w:bidi w:val="0"/>
                    <w:rPr>
                      <w:rFonts w:hint="eastAsia"/>
                      <w:lang w:val="en-US" w:eastAsia="zh-CN"/>
                    </w:rPr>
                  </w:pPr>
                  <w:r>
                    <w:rPr>
                      <w:rFonts w:hint="eastAsia"/>
                      <w:lang w:val="en-US" w:eastAsia="zh-CN"/>
                    </w:rPr>
                    <w:t>/</w:t>
                  </w:r>
                </w:p>
              </w:tc>
              <w:tc>
                <w:tcPr>
                  <w:tcW w:w="1319" w:type="pct"/>
                  <w:noWrap w:val="0"/>
                  <w:vAlign w:val="center"/>
                </w:tcPr>
                <w:p>
                  <w:pPr>
                    <w:pStyle w:val="CXY1"/>
                    <w:bidi w:val="0"/>
                    <w:rPr>
                      <w:rFonts w:hint="default"/>
                      <w:lang w:val="en-US" w:eastAsia="zh-CN"/>
                    </w:rPr>
                  </w:pPr>
                  <w:r>
                    <w:rPr>
                      <w:rFonts w:hint="eastAsia"/>
                      <w:lang w:val="en-US" w:eastAsia="zh-CN"/>
                    </w:rPr>
                    <w:t>5</w:t>
                  </w:r>
                </w:p>
              </w:tc>
              <w:tc>
                <w:tcPr>
                  <w:tcW w:w="546" w:type="pct"/>
                  <w:noWrap w:val="0"/>
                  <w:vAlign w:val="center"/>
                </w:tcPr>
                <w:p>
                  <w:pPr>
                    <w:pStyle w:val="CXY1"/>
                    <w:bidi w:val="0"/>
                  </w:pPr>
                </w:p>
              </w:tc>
            </w:tr>
            <w:tr>
              <w:tblPrEx>
                <w:tblW w:w="4997" w:type="pct"/>
                <w:jc w:val="center"/>
                <w:tblCellMar>
                  <w:top w:w="0" w:type="dxa"/>
                  <w:left w:w="108" w:type="dxa"/>
                  <w:bottom w:w="0" w:type="dxa"/>
                  <w:right w:w="108" w:type="dxa"/>
                </w:tblCellMar>
              </w:tblPrEx>
              <w:trPr>
                <w:trHeight w:val="136"/>
                <w:jc w:val="center"/>
              </w:trPr>
              <w:tc>
                <w:tcPr>
                  <w:tcW w:w="1268" w:type="pct"/>
                  <w:vMerge/>
                  <w:noWrap w:val="0"/>
                  <w:vAlign w:val="center"/>
                </w:tcPr>
                <w:p>
                  <w:pPr>
                    <w:pStyle w:val="CXY1"/>
                    <w:bidi w:val="0"/>
                    <w:rPr>
                      <w:rFonts w:hint="eastAsia"/>
                    </w:rPr>
                  </w:pPr>
                </w:p>
              </w:tc>
              <w:tc>
                <w:tcPr>
                  <w:tcW w:w="908" w:type="pct"/>
                  <w:noWrap w:val="0"/>
                  <w:vAlign w:val="center"/>
                </w:tcPr>
                <w:p>
                  <w:pPr>
                    <w:pStyle w:val="CXY1"/>
                    <w:bidi w:val="0"/>
                    <w:rPr>
                      <w:rFonts w:hint="default"/>
                      <w:lang w:val="en-US" w:eastAsia="zh-CN"/>
                    </w:rPr>
                  </w:pPr>
                  <w:r>
                    <w:rPr>
                      <w:rFonts w:hint="eastAsia"/>
                      <w:lang w:val="en-US" w:eastAsia="zh-CN"/>
                    </w:rPr>
                    <w:t>货架</w:t>
                  </w:r>
                </w:p>
              </w:tc>
              <w:tc>
                <w:tcPr>
                  <w:tcW w:w="957" w:type="pct"/>
                  <w:noWrap w:val="0"/>
                  <w:vAlign w:val="center"/>
                </w:tcPr>
                <w:p>
                  <w:pPr>
                    <w:pStyle w:val="CXY1"/>
                    <w:bidi w:val="0"/>
                    <w:rPr>
                      <w:rFonts w:hint="eastAsia"/>
                      <w:lang w:val="en-US" w:eastAsia="zh-CN"/>
                    </w:rPr>
                  </w:pPr>
                  <w:r>
                    <w:rPr>
                      <w:rFonts w:hint="eastAsia"/>
                      <w:lang w:val="en-US" w:eastAsia="zh-CN"/>
                    </w:rPr>
                    <w:t>/</w:t>
                  </w:r>
                </w:p>
              </w:tc>
              <w:tc>
                <w:tcPr>
                  <w:tcW w:w="1319" w:type="pct"/>
                  <w:noWrap w:val="0"/>
                  <w:vAlign w:val="center"/>
                </w:tcPr>
                <w:p>
                  <w:pPr>
                    <w:pStyle w:val="CXY1"/>
                    <w:bidi w:val="0"/>
                    <w:rPr>
                      <w:rFonts w:hint="default"/>
                      <w:lang w:val="en-US" w:eastAsia="zh-CN"/>
                    </w:rPr>
                  </w:pPr>
                  <w:r>
                    <w:rPr>
                      <w:rFonts w:hint="eastAsia"/>
                      <w:lang w:val="en-US" w:eastAsia="zh-CN"/>
                    </w:rPr>
                    <w:t>20</w:t>
                  </w:r>
                </w:p>
              </w:tc>
              <w:tc>
                <w:tcPr>
                  <w:tcW w:w="546" w:type="pct"/>
                  <w:noWrap w:val="0"/>
                  <w:vAlign w:val="center"/>
                </w:tcPr>
                <w:p>
                  <w:pPr>
                    <w:pStyle w:val="CXY1"/>
                    <w:bidi w:val="0"/>
                  </w:pPr>
                </w:p>
              </w:tc>
            </w:tr>
            <w:tr>
              <w:tblPrEx>
                <w:tblW w:w="4997" w:type="pct"/>
                <w:jc w:val="center"/>
                <w:tblCellMar>
                  <w:top w:w="0" w:type="dxa"/>
                  <w:left w:w="108" w:type="dxa"/>
                  <w:bottom w:w="0" w:type="dxa"/>
                  <w:right w:w="108" w:type="dxa"/>
                </w:tblCellMar>
              </w:tblPrEx>
              <w:trPr>
                <w:trHeight w:val="136"/>
                <w:jc w:val="center"/>
              </w:trPr>
              <w:tc>
                <w:tcPr>
                  <w:tcW w:w="1268" w:type="pct"/>
                  <w:vMerge/>
                  <w:noWrap w:val="0"/>
                  <w:vAlign w:val="center"/>
                </w:tcPr>
                <w:p>
                  <w:pPr>
                    <w:pStyle w:val="CXY1"/>
                    <w:bidi w:val="0"/>
                    <w:rPr>
                      <w:rFonts w:hint="eastAsia"/>
                    </w:rPr>
                  </w:pPr>
                </w:p>
              </w:tc>
              <w:tc>
                <w:tcPr>
                  <w:tcW w:w="908" w:type="pct"/>
                  <w:noWrap w:val="0"/>
                  <w:vAlign w:val="center"/>
                </w:tcPr>
                <w:p>
                  <w:pPr>
                    <w:pStyle w:val="CXY1"/>
                    <w:bidi w:val="0"/>
                    <w:rPr>
                      <w:rFonts w:hint="default"/>
                      <w:lang w:val="en-US" w:eastAsia="zh-CN"/>
                    </w:rPr>
                  </w:pPr>
                  <w:r>
                    <w:rPr>
                      <w:rFonts w:hint="eastAsia"/>
                      <w:lang w:val="en-US" w:eastAsia="zh-CN"/>
                    </w:rPr>
                    <w:t>内循环通风柜</w:t>
                  </w:r>
                </w:p>
              </w:tc>
              <w:tc>
                <w:tcPr>
                  <w:tcW w:w="957" w:type="pct"/>
                  <w:noWrap w:val="0"/>
                  <w:vAlign w:val="center"/>
                </w:tcPr>
                <w:p>
                  <w:pPr>
                    <w:pStyle w:val="CXY1"/>
                    <w:bidi w:val="0"/>
                    <w:rPr>
                      <w:rFonts w:hint="eastAsia"/>
                      <w:lang w:val="en-US" w:eastAsia="zh-CN"/>
                    </w:rPr>
                  </w:pPr>
                </w:p>
              </w:tc>
              <w:tc>
                <w:tcPr>
                  <w:tcW w:w="1319" w:type="pct"/>
                  <w:noWrap w:val="0"/>
                  <w:vAlign w:val="center"/>
                </w:tcPr>
                <w:p>
                  <w:pPr>
                    <w:pStyle w:val="CXY1"/>
                    <w:bidi w:val="0"/>
                    <w:rPr>
                      <w:rFonts w:hint="default"/>
                      <w:lang w:val="en-US" w:eastAsia="zh-CN"/>
                    </w:rPr>
                  </w:pPr>
                  <w:r>
                    <w:rPr>
                      <w:rFonts w:hint="eastAsia"/>
                      <w:lang w:val="en-US" w:eastAsia="zh-CN"/>
                    </w:rPr>
                    <w:t>3</w:t>
                  </w:r>
                </w:p>
              </w:tc>
              <w:tc>
                <w:tcPr>
                  <w:tcW w:w="546" w:type="pct"/>
                  <w:noWrap w:val="0"/>
                  <w:vAlign w:val="center"/>
                </w:tcPr>
                <w:p>
                  <w:pPr>
                    <w:pStyle w:val="CXY1"/>
                    <w:bidi w:val="0"/>
                    <w:rPr>
                      <w:rFonts w:hint="default"/>
                      <w:lang w:val="en-US" w:eastAsia="zh-CN"/>
                    </w:rPr>
                  </w:pPr>
                  <w:r>
                    <w:rPr>
                      <w:rFonts w:hint="eastAsia"/>
                      <w:lang w:val="en-US" w:eastAsia="zh-CN"/>
                    </w:rPr>
                    <w:t>制样柜</w:t>
                  </w:r>
                </w:p>
              </w:tc>
            </w:tr>
            <w:tr>
              <w:tblPrEx>
                <w:tblW w:w="4997" w:type="pct"/>
                <w:jc w:val="center"/>
                <w:tblCellMar>
                  <w:top w:w="0" w:type="dxa"/>
                  <w:left w:w="108" w:type="dxa"/>
                  <w:bottom w:w="0" w:type="dxa"/>
                  <w:right w:w="108" w:type="dxa"/>
                </w:tblCellMar>
              </w:tblPrEx>
              <w:trPr>
                <w:trHeight w:val="136"/>
                <w:jc w:val="center"/>
              </w:trPr>
              <w:tc>
                <w:tcPr>
                  <w:tcW w:w="1268" w:type="pct"/>
                  <w:vMerge/>
                  <w:noWrap w:val="0"/>
                  <w:vAlign w:val="center"/>
                </w:tcPr>
                <w:p>
                  <w:pPr>
                    <w:pStyle w:val="CXY1"/>
                    <w:bidi w:val="0"/>
                    <w:rPr>
                      <w:rFonts w:hint="eastAsia"/>
                    </w:rPr>
                  </w:pPr>
                </w:p>
              </w:tc>
              <w:tc>
                <w:tcPr>
                  <w:tcW w:w="908" w:type="pct"/>
                  <w:noWrap w:val="0"/>
                  <w:vAlign w:val="center"/>
                </w:tcPr>
                <w:p>
                  <w:pPr>
                    <w:pStyle w:val="CXY1"/>
                    <w:bidi w:val="0"/>
                    <w:rPr>
                      <w:rFonts w:hint="eastAsia"/>
                      <w:lang w:val="en-US" w:eastAsia="zh-CN"/>
                    </w:rPr>
                  </w:pPr>
                  <w:r>
                    <w:rPr>
                      <w:rFonts w:hint="eastAsia"/>
                      <w:lang w:val="en-US" w:eastAsia="zh-CN"/>
                    </w:rPr>
                    <w:t>紫外</w:t>
                  </w:r>
                  <w:r>
                    <w:rPr>
                      <w:rFonts w:hint="default"/>
                      <w:lang w:val="en-US" w:eastAsia="zh-CN"/>
                    </w:rPr>
                    <w:t>/</w:t>
                  </w:r>
                  <w:r>
                    <w:rPr>
                      <w:rFonts w:hint="eastAsia"/>
                      <w:lang w:val="en-US" w:eastAsia="zh-CN"/>
                    </w:rPr>
                    <w:t>可见分光</w:t>
                  </w:r>
                </w:p>
              </w:tc>
              <w:tc>
                <w:tcPr>
                  <w:tcW w:w="957" w:type="pct"/>
                  <w:noWrap w:val="0"/>
                  <w:vAlign w:val="center"/>
                </w:tcPr>
                <w:p>
                  <w:pPr>
                    <w:pStyle w:val="CXY1"/>
                    <w:bidi w:val="0"/>
                    <w:rPr>
                      <w:rFonts w:hint="eastAsia"/>
                      <w:lang w:val="en-US" w:eastAsia="zh-CN"/>
                    </w:rPr>
                  </w:pPr>
                  <w:r>
                    <w:rPr>
                      <w:rFonts w:hint="eastAsia"/>
                      <w:lang w:val="en-US" w:eastAsia="zh-CN"/>
                    </w:rPr>
                    <w:t>UV-1800</w:t>
                  </w:r>
                </w:p>
              </w:tc>
              <w:tc>
                <w:tcPr>
                  <w:tcW w:w="1319" w:type="pct"/>
                  <w:noWrap w:val="0"/>
                  <w:vAlign w:val="center"/>
                </w:tcPr>
                <w:p>
                  <w:pPr>
                    <w:pStyle w:val="CXY1"/>
                    <w:bidi w:val="0"/>
                    <w:rPr>
                      <w:rFonts w:hint="eastAsia"/>
                      <w:lang w:val="en-US" w:eastAsia="zh-CN"/>
                    </w:rPr>
                  </w:pPr>
                  <w:r>
                    <w:rPr>
                      <w:rFonts w:hint="eastAsia"/>
                      <w:lang w:val="en-US" w:eastAsia="zh-CN"/>
                    </w:rPr>
                    <w:t>1</w:t>
                  </w:r>
                </w:p>
              </w:tc>
              <w:tc>
                <w:tcPr>
                  <w:tcW w:w="546" w:type="pct"/>
                  <w:noWrap w:val="0"/>
                  <w:vAlign w:val="center"/>
                </w:tcPr>
                <w:p>
                  <w:pPr>
                    <w:pStyle w:val="CXY1"/>
                    <w:bidi w:val="0"/>
                  </w:pPr>
                </w:p>
              </w:tc>
            </w:tr>
            <w:tr>
              <w:tblPrEx>
                <w:tblW w:w="4997" w:type="pct"/>
                <w:jc w:val="center"/>
                <w:tblCellMar>
                  <w:top w:w="0" w:type="dxa"/>
                  <w:left w:w="108" w:type="dxa"/>
                  <w:bottom w:w="0" w:type="dxa"/>
                  <w:right w:w="108" w:type="dxa"/>
                </w:tblCellMar>
              </w:tblPrEx>
              <w:trPr>
                <w:trHeight w:val="136"/>
                <w:jc w:val="center"/>
              </w:trPr>
              <w:tc>
                <w:tcPr>
                  <w:tcW w:w="1268" w:type="pct"/>
                  <w:vMerge/>
                  <w:noWrap w:val="0"/>
                  <w:vAlign w:val="center"/>
                </w:tcPr>
                <w:p>
                  <w:pPr>
                    <w:pStyle w:val="CXY1"/>
                    <w:bidi w:val="0"/>
                    <w:rPr>
                      <w:rFonts w:hint="eastAsia"/>
                    </w:rPr>
                  </w:pPr>
                </w:p>
              </w:tc>
              <w:tc>
                <w:tcPr>
                  <w:tcW w:w="908" w:type="pct"/>
                  <w:noWrap w:val="0"/>
                  <w:vAlign w:val="center"/>
                </w:tcPr>
                <w:p>
                  <w:pPr>
                    <w:pStyle w:val="CXY1"/>
                    <w:bidi w:val="0"/>
                    <w:rPr>
                      <w:rFonts w:hint="default"/>
                      <w:lang w:val="en-US" w:eastAsia="zh-CN"/>
                    </w:rPr>
                  </w:pPr>
                  <w:r>
                    <w:rPr>
                      <w:rFonts w:hint="eastAsia"/>
                      <w:lang w:val="en-US" w:eastAsia="zh-CN"/>
                    </w:rPr>
                    <w:t>研磨筛分器</w:t>
                  </w:r>
                </w:p>
              </w:tc>
              <w:tc>
                <w:tcPr>
                  <w:tcW w:w="957" w:type="pct"/>
                  <w:noWrap w:val="0"/>
                  <w:vAlign w:val="center"/>
                </w:tcPr>
                <w:p>
                  <w:pPr>
                    <w:pStyle w:val="CXY1"/>
                    <w:bidi w:val="0"/>
                    <w:rPr>
                      <w:rFonts w:hint="default"/>
                      <w:lang w:val="en-US" w:eastAsia="zh-CN"/>
                    </w:rPr>
                  </w:pPr>
                  <w:r>
                    <w:rPr>
                      <w:rFonts w:hint="eastAsia"/>
                      <w:lang w:val="en-US" w:eastAsia="zh-CN"/>
                    </w:rPr>
                    <w:t>/</w:t>
                  </w:r>
                </w:p>
              </w:tc>
              <w:tc>
                <w:tcPr>
                  <w:tcW w:w="1319" w:type="pct"/>
                  <w:noWrap w:val="0"/>
                  <w:vAlign w:val="center"/>
                </w:tcPr>
                <w:p>
                  <w:pPr>
                    <w:pStyle w:val="CXY1"/>
                    <w:bidi w:val="0"/>
                    <w:rPr>
                      <w:rFonts w:hint="default"/>
                      <w:lang w:val="en-US" w:eastAsia="zh-CN"/>
                    </w:rPr>
                  </w:pPr>
                  <w:r>
                    <w:rPr>
                      <w:rFonts w:hint="eastAsia"/>
                      <w:lang w:val="en-US" w:eastAsia="zh-CN"/>
                    </w:rPr>
                    <w:t>1</w:t>
                  </w:r>
                </w:p>
              </w:tc>
              <w:tc>
                <w:tcPr>
                  <w:tcW w:w="546" w:type="pct"/>
                  <w:noWrap w:val="0"/>
                  <w:vAlign w:val="center"/>
                </w:tcPr>
                <w:p>
                  <w:pPr>
                    <w:pStyle w:val="CXY1"/>
                    <w:bidi w:val="0"/>
                  </w:pPr>
                </w:p>
              </w:tc>
            </w:tr>
          </w:tbl>
          <w:p>
            <w:pPr>
              <w:pStyle w:val="yt"/>
              <w:keepNext w:val="0"/>
              <w:keepLines w:val="0"/>
              <w:pageBreakBefore w:val="0"/>
              <w:widowControl w:val="0"/>
              <w:kinsoku/>
              <w:wordWrap/>
              <w:overflowPunct/>
              <w:topLinePunct w:val="0"/>
              <w:autoSpaceDE/>
              <w:autoSpaceDN/>
              <w:bidi w:val="0"/>
              <w:adjustRightInd/>
              <w:snapToGrid/>
              <w:spacing w:before="120" w:beforeLines="50"/>
              <w:ind w:firstLine="0"/>
              <w:textAlignment w:val="auto"/>
              <w:rPr>
                <w:rFonts w:hint="eastAsia"/>
                <w:b/>
                <w:bCs/>
                <w:i w:val="0"/>
                <w:iCs w:val="0"/>
                <w:lang w:val="en-US" w:eastAsia="zh-CN"/>
              </w:rPr>
            </w:pPr>
            <w:r>
              <w:rPr>
                <w:rFonts w:hint="eastAsia"/>
                <w:b/>
                <w:bCs/>
                <w:i w:val="0"/>
                <w:iCs w:val="0"/>
                <w:lang w:val="en-US" w:eastAsia="zh-CN"/>
              </w:rPr>
              <w:t>5、主要试剂用量</w:t>
            </w:r>
          </w:p>
          <w:p>
            <w:pPr>
              <w:pStyle w:val="BodyTextIndent2"/>
              <w:rPr>
                <w:rFonts w:hint="eastAsia"/>
                <w:sz w:val="24"/>
                <w:szCs w:val="18"/>
                <w:lang w:val="en-US" w:eastAsia="zh-CN"/>
              </w:rPr>
            </w:pPr>
            <w:r>
              <w:rPr>
                <w:rFonts w:hint="eastAsia"/>
                <w:sz w:val="24"/>
                <w:szCs w:val="18"/>
                <w:lang w:val="en-US" w:eastAsia="zh-CN"/>
              </w:rPr>
              <w:t>项目涉及的主要试剂、气体年用量情况如下表。</w:t>
            </w:r>
          </w:p>
          <w:p>
            <w:pPr>
              <w:pStyle w:val="yt1"/>
              <w:bidi w:val="0"/>
              <w:ind w:left="0" w:firstLine="0"/>
              <w:rPr>
                <w:rFonts w:hint="default"/>
                <w:lang w:val="en-US" w:eastAsia="zh-CN"/>
              </w:rPr>
            </w:pPr>
            <w:r>
              <w:rPr>
                <w:rFonts w:hint="eastAsia"/>
                <w:lang w:val="en-US" w:eastAsia="zh-CN"/>
              </w:rPr>
              <w:t>项目试剂、气体用量一览表</w:t>
            </w:r>
          </w:p>
          <w:tbl>
            <w:tblPr>
              <w:tblStyle w:val="TableNormal"/>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545"/>
              <w:gridCol w:w="1526"/>
              <w:gridCol w:w="1572"/>
              <w:gridCol w:w="710"/>
              <w:gridCol w:w="1667"/>
              <w:gridCol w:w="1039"/>
              <w:gridCol w:w="874"/>
              <w:gridCol w:w="1035"/>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rPr>
                      <w:b/>
                      <w:bCs/>
                    </w:rPr>
                  </w:pPr>
                  <w:bookmarkStart w:id="23" w:name="_Hlk72915171"/>
                  <w:r>
                    <w:rPr>
                      <w:b/>
                      <w:bCs/>
                    </w:rPr>
                    <w:t>编号</w:t>
                  </w:r>
                </w:p>
              </w:tc>
              <w:tc>
                <w:tcPr>
                  <w:tcW w:w="598" w:type="pct"/>
                  <w:tcBorders>
                    <w:tl2br w:val="nil"/>
                    <w:tr2bl w:val="nil"/>
                  </w:tcBorders>
                  <w:noWrap/>
                  <w:vAlign w:val="center"/>
                </w:tcPr>
                <w:p>
                  <w:pPr>
                    <w:pStyle w:val="CXY1"/>
                    <w:bidi w:val="0"/>
                    <w:jc w:val="center"/>
                    <w:rPr>
                      <w:b/>
                      <w:bCs/>
                    </w:rPr>
                  </w:pPr>
                  <w:r>
                    <w:rPr>
                      <w:b/>
                      <w:bCs/>
                    </w:rPr>
                    <w:t>试剂名称</w:t>
                  </w:r>
                </w:p>
              </w:tc>
              <w:tc>
                <w:tcPr>
                  <w:tcW w:w="820" w:type="pct"/>
                  <w:tcBorders>
                    <w:tl2br w:val="nil"/>
                    <w:tr2bl w:val="nil"/>
                  </w:tcBorders>
                  <w:noWrap/>
                  <w:vAlign w:val="center"/>
                </w:tcPr>
                <w:p>
                  <w:pPr>
                    <w:pStyle w:val="CXY1"/>
                    <w:bidi w:val="0"/>
                    <w:jc w:val="center"/>
                    <w:rPr>
                      <w:b/>
                      <w:bCs/>
                    </w:rPr>
                  </w:pPr>
                  <w:r>
                    <w:rPr>
                      <w:b/>
                      <w:bCs/>
                    </w:rPr>
                    <w:t>规格</w:t>
                  </w:r>
                </w:p>
              </w:tc>
              <w:tc>
                <w:tcPr>
                  <w:tcW w:w="540" w:type="pct"/>
                  <w:tcBorders>
                    <w:tl2br w:val="nil"/>
                    <w:tr2bl w:val="nil"/>
                  </w:tcBorders>
                  <w:noWrap/>
                  <w:vAlign w:val="center"/>
                </w:tcPr>
                <w:p>
                  <w:pPr>
                    <w:pStyle w:val="CXY1"/>
                    <w:bidi w:val="0"/>
                    <w:jc w:val="center"/>
                    <w:rPr>
                      <w:b/>
                      <w:bCs/>
                    </w:rPr>
                  </w:pPr>
                  <w:r>
                    <w:rPr>
                      <w:b/>
                      <w:bCs/>
                    </w:rPr>
                    <w:t>年用量</w:t>
                  </w:r>
                </w:p>
                <w:p>
                  <w:pPr>
                    <w:pStyle w:val="CXY1"/>
                    <w:bidi w:val="0"/>
                    <w:jc w:val="center"/>
                    <w:rPr>
                      <w:rFonts w:hint="default"/>
                      <w:b/>
                      <w:bCs/>
                      <w:lang w:val="en-US" w:eastAsia="zh-CN"/>
                    </w:rPr>
                  </w:pPr>
                  <w:r>
                    <w:rPr>
                      <w:rFonts w:hint="eastAsia"/>
                      <w:b/>
                      <w:bCs/>
                      <w:lang w:val="en-US" w:eastAsia="zh-CN"/>
                    </w:rPr>
                    <w:t>瓶/a</w:t>
                  </w:r>
                </w:p>
              </w:tc>
              <w:tc>
                <w:tcPr>
                  <w:tcW w:w="863" w:type="pct"/>
                  <w:tcBorders>
                    <w:tl2br w:val="nil"/>
                    <w:tr2bl w:val="nil"/>
                  </w:tcBorders>
                  <w:noWrap/>
                  <w:vAlign w:val="center"/>
                </w:tcPr>
                <w:p>
                  <w:pPr>
                    <w:pStyle w:val="CXY1"/>
                    <w:bidi w:val="0"/>
                    <w:jc w:val="center"/>
                    <w:rPr>
                      <w:rFonts w:hint="default"/>
                      <w:b/>
                      <w:bCs/>
                      <w:lang w:val="en-US" w:eastAsia="zh-CN"/>
                    </w:rPr>
                  </w:pPr>
                  <w:r>
                    <w:rPr>
                      <w:rFonts w:hint="eastAsia"/>
                      <w:b/>
                      <w:bCs/>
                      <w:lang w:val="en-US" w:eastAsia="zh-CN"/>
                    </w:rPr>
                    <w:t>最大年用量（kg/a）</w:t>
                  </w:r>
                </w:p>
              </w:tc>
              <w:tc>
                <w:tcPr>
                  <w:tcW w:w="614" w:type="pct"/>
                  <w:tcBorders>
                    <w:tl2br w:val="nil"/>
                    <w:tr2bl w:val="nil"/>
                  </w:tcBorders>
                  <w:noWrap/>
                  <w:vAlign w:val="center"/>
                </w:tcPr>
                <w:p>
                  <w:pPr>
                    <w:pStyle w:val="CXY1"/>
                    <w:bidi w:val="0"/>
                    <w:jc w:val="center"/>
                    <w:rPr>
                      <w:b/>
                      <w:bCs/>
                    </w:rPr>
                  </w:pPr>
                  <w:r>
                    <w:rPr>
                      <w:b/>
                      <w:bCs/>
                    </w:rPr>
                    <w:t>最大贮存量</w:t>
                  </w:r>
                </w:p>
                <w:p>
                  <w:pPr>
                    <w:pStyle w:val="CXY1"/>
                    <w:bidi w:val="0"/>
                    <w:jc w:val="center"/>
                    <w:rPr>
                      <w:rFonts w:hint="default"/>
                      <w:b/>
                      <w:bCs/>
                      <w:lang w:val="en-US" w:eastAsia="zh-CN"/>
                    </w:rPr>
                  </w:pPr>
                  <w:r>
                    <w:rPr>
                      <w:rFonts w:hint="eastAsia"/>
                      <w:b/>
                      <w:bCs/>
                      <w:lang w:val="en-US" w:eastAsia="zh-CN"/>
                    </w:rPr>
                    <w:t>瓶/a</w:t>
                  </w:r>
                </w:p>
              </w:tc>
              <w:tc>
                <w:tcPr>
                  <w:tcW w:w="582" w:type="pct"/>
                  <w:tcBorders>
                    <w:tl2br w:val="nil"/>
                    <w:tr2bl w:val="nil"/>
                  </w:tcBorders>
                  <w:noWrap/>
                  <w:vAlign w:val="center"/>
                </w:tcPr>
                <w:p>
                  <w:pPr>
                    <w:pStyle w:val="CXY1"/>
                    <w:bidi w:val="0"/>
                    <w:jc w:val="center"/>
                    <w:rPr>
                      <w:b/>
                      <w:bCs/>
                    </w:rPr>
                  </w:pPr>
                  <w:r>
                    <w:rPr>
                      <w:b/>
                      <w:bCs/>
                    </w:rPr>
                    <w:t>存放位置</w:t>
                  </w:r>
                </w:p>
              </w:tc>
              <w:tc>
                <w:tcPr>
                  <w:tcW w:w="533" w:type="pct"/>
                  <w:tcBorders>
                    <w:tl2br w:val="nil"/>
                    <w:tr2bl w:val="nil"/>
                  </w:tcBorders>
                  <w:noWrap/>
                  <w:vAlign w:val="center"/>
                </w:tcPr>
                <w:p>
                  <w:pPr>
                    <w:pStyle w:val="CXY1"/>
                    <w:bidi w:val="0"/>
                    <w:jc w:val="center"/>
                    <w:rPr>
                      <w:rFonts w:hint="eastAsia"/>
                      <w:b/>
                      <w:bCs/>
                      <w:lang w:val="en-US" w:eastAsia="zh-CN"/>
                    </w:rPr>
                  </w:pPr>
                  <w:r>
                    <w:rPr>
                      <w:rFonts w:hint="eastAsia"/>
                      <w:b/>
                      <w:bCs/>
                      <w:lang w:val="en-US" w:eastAsia="zh-CN"/>
                    </w:rPr>
                    <w:t>备注</w:t>
                  </w: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盐酸</w:t>
                  </w:r>
                </w:p>
              </w:tc>
              <w:tc>
                <w:tcPr>
                  <w:tcW w:w="820" w:type="pct"/>
                  <w:tcBorders>
                    <w:tl2br w:val="nil"/>
                    <w:tr2bl w:val="nil"/>
                  </w:tcBorders>
                  <w:noWrap/>
                  <w:vAlign w:val="center"/>
                </w:tcPr>
                <w:p>
                  <w:pPr>
                    <w:keepNext w:val="0"/>
                    <w:keepLines w:val="0"/>
                    <w:widowControl/>
                    <w:suppressLineNumbers w:val="0"/>
                    <w:jc w:val="center"/>
                    <w:textAlignment w:val="center"/>
                  </w:pPr>
                  <w:r>
                    <w:rPr>
                      <w:rStyle w:val="font11"/>
                      <w:lang w:val="en-US" w:eastAsia="zh-CN" w:bidi="ar"/>
                    </w:rPr>
                    <w:t>（优级）</w:t>
                  </w:r>
                  <w:r>
                    <w:rPr>
                      <w:rStyle w:val="font21"/>
                      <w:rFonts w:eastAsia="宋体"/>
                      <w:lang w:val="en-US" w:eastAsia="zh-CN" w:bidi="ar"/>
                    </w:rPr>
                    <w:t>GR500mL</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60</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35.4</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20</w:t>
                  </w:r>
                </w:p>
              </w:tc>
              <w:tc>
                <w:tcPr>
                  <w:tcW w:w="582" w:type="pct"/>
                  <w:tcBorders>
                    <w:tl2br w:val="nil"/>
                    <w:tr2bl w:val="nil"/>
                  </w:tcBorders>
                  <w:noWrap/>
                  <w:vAlign w:val="center"/>
                </w:tcPr>
                <w:p>
                  <w:pPr>
                    <w:pStyle w:val="CXY1"/>
                    <w:bidi w:val="0"/>
                    <w:jc w:val="center"/>
                    <w:rPr>
                      <w:rFonts w:hint="default"/>
                      <w:lang w:val="en-US" w:eastAsia="zh-CN"/>
                    </w:rPr>
                  </w:pPr>
                  <w:r>
                    <w:rPr>
                      <w:rFonts w:hint="eastAsia"/>
                      <w:lang w:val="en-US" w:eastAsia="zh-CN"/>
                    </w:rPr>
                    <w:t>药品柜</w:t>
                  </w:r>
                </w:p>
              </w:tc>
              <w:tc>
                <w:tcPr>
                  <w:tcW w:w="533" w:type="pct"/>
                  <w:tcBorders>
                    <w:tl2br w:val="nil"/>
                    <w:tr2bl w:val="nil"/>
                  </w:tcBorders>
                  <w:noWrap/>
                  <w:vAlign w:val="center"/>
                </w:tcPr>
                <w:p>
                  <w:pPr>
                    <w:pStyle w:val="CXY1"/>
                    <w:bidi w:val="0"/>
                    <w:jc w:val="center"/>
                    <w:rPr>
                      <w:rFonts w:hint="default"/>
                      <w:lang w:val="en-US" w:eastAsia="zh-CN"/>
                    </w:rPr>
                  </w:pPr>
                  <w:r>
                    <w:rPr>
                      <w:rFonts w:hint="eastAsia"/>
                      <w:lang w:val="en-US" w:eastAsia="zh-CN"/>
                    </w:rPr>
                    <w:t>危险化学品</w:t>
                  </w: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2</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硝酸银</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AR100g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0.1</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r>
                    <w:rPr>
                      <w:rFonts w:hint="eastAsia"/>
                      <w:lang w:val="en-US" w:eastAsia="zh-CN"/>
                    </w:rPr>
                    <w:t>危险化学品</w:t>
                  </w: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3</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氨水</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AR500ml</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12</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5.46</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12</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r>
                    <w:rPr>
                      <w:rFonts w:hint="eastAsia"/>
                      <w:lang w:val="en-US" w:eastAsia="zh-CN"/>
                    </w:rPr>
                    <w:t>危险化学品</w:t>
                  </w: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4</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硝酸</w:t>
                  </w:r>
                </w:p>
              </w:tc>
              <w:tc>
                <w:tcPr>
                  <w:tcW w:w="820" w:type="pct"/>
                  <w:tcBorders>
                    <w:tl2br w:val="nil"/>
                    <w:tr2bl w:val="nil"/>
                  </w:tcBorders>
                  <w:noWrap/>
                  <w:vAlign w:val="center"/>
                </w:tcPr>
                <w:p>
                  <w:pPr>
                    <w:keepNext w:val="0"/>
                    <w:keepLines w:val="0"/>
                    <w:widowControl/>
                    <w:suppressLineNumbers w:val="0"/>
                    <w:jc w:val="center"/>
                    <w:textAlignment w:val="center"/>
                  </w:pPr>
                  <w:r>
                    <w:rPr>
                      <w:rStyle w:val="font21"/>
                      <w:rFonts w:eastAsia="宋体"/>
                      <w:lang w:val="en-US" w:eastAsia="zh-CN" w:bidi="ar"/>
                    </w:rPr>
                    <w:t>GR500mL</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120</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84</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20</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r>
                    <w:rPr>
                      <w:rFonts w:hint="eastAsia"/>
                      <w:lang w:val="en-US" w:eastAsia="zh-CN"/>
                    </w:rPr>
                    <w:t>危险化学品</w:t>
                  </w: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5</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硫酸</w:t>
                  </w:r>
                </w:p>
              </w:tc>
              <w:tc>
                <w:tcPr>
                  <w:tcW w:w="820" w:type="pct"/>
                  <w:tcBorders>
                    <w:tl2br w:val="nil"/>
                    <w:tr2bl w:val="nil"/>
                  </w:tcBorders>
                  <w:noWrap/>
                  <w:vAlign w:val="center"/>
                </w:tcPr>
                <w:p>
                  <w:pPr>
                    <w:keepNext w:val="0"/>
                    <w:keepLines w:val="0"/>
                    <w:widowControl/>
                    <w:suppressLineNumbers w:val="0"/>
                    <w:jc w:val="center"/>
                    <w:textAlignment w:val="center"/>
                  </w:pPr>
                  <w:r>
                    <w:rPr>
                      <w:rStyle w:val="font11"/>
                      <w:lang w:val="en-US" w:eastAsia="zh-CN" w:bidi="ar"/>
                    </w:rPr>
                    <w:t>优级</w:t>
                  </w:r>
                  <w:r>
                    <w:rPr>
                      <w:rStyle w:val="font21"/>
                      <w:rFonts w:eastAsia="宋体"/>
                      <w:lang w:val="en-US" w:eastAsia="zh-CN" w:bidi="ar"/>
                    </w:rPr>
                    <w:t>500mL</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60</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55.2</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20</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r>
                    <w:rPr>
                      <w:rFonts w:hint="eastAsia"/>
                      <w:lang w:val="en-US" w:eastAsia="zh-CN"/>
                    </w:rPr>
                    <w:t>危险化学品</w:t>
                  </w:r>
                </w:p>
              </w:tc>
            </w:tr>
          </w:tbl>
          <w:p/>
        </w:tc>
      </w:tr>
    </w:tbl>
    <w:p>
      <w:pPr>
        <w:sectPr>
          <w:footerReference w:type="default" r:id="rId25"/>
          <w:type w:val="nextPage"/>
          <w:pgSz w:w="11906" w:h="16838"/>
          <w:pgMar w:top="1134" w:right="1134" w:bottom="1134" w:left="1417" w:header="851" w:footer="850" w:gutter="0"/>
          <w:pgBorders>
            <w:top w:val="none" w:sz="0" w:space="0" w:color="auto"/>
            <w:left w:val="none" w:sz="0" w:space="0" w:color="auto"/>
            <w:bottom w:val="none" w:sz="0" w:space="0" w:color="auto"/>
            <w:right w:val="none" w:sz="0" w:space="0" w:color="auto"/>
          </w:pgBorders>
          <w:pgNumType w:start="18"/>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87"/>
        <w:gridCol w:w="9184"/>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883"/>
          <w:jc w:val="center"/>
        </w:trPr>
        <w:tc>
          <w:tcPr>
            <w:tcW w:w="318" w:type="pct"/>
            <w:noWrap w:val="0"/>
            <w:vAlign w:val="center"/>
          </w:tcPr>
          <w:p/>
        </w:tc>
        <w:tc>
          <w:tcPr>
            <w:tcW w:w="4681" w:type="pct"/>
            <w:noWrap w:val="0"/>
            <w:vAlign w:val="center"/>
          </w:tcPr>
          <w:tbl>
            <w:tblPr>
              <w:tblStyle w:val="TableNormal"/>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545"/>
              <w:gridCol w:w="1526"/>
              <w:gridCol w:w="1572"/>
              <w:gridCol w:w="710"/>
              <w:gridCol w:w="1667"/>
              <w:gridCol w:w="1039"/>
              <w:gridCol w:w="874"/>
              <w:gridCol w:w="1035"/>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6</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甲基橙</w:t>
                  </w:r>
                </w:p>
              </w:tc>
              <w:tc>
                <w:tcPr>
                  <w:tcW w:w="820" w:type="pct"/>
                  <w:tcBorders>
                    <w:tl2br w:val="nil"/>
                    <w:tr2bl w:val="nil"/>
                  </w:tcBorders>
                  <w:noWrap/>
                  <w:vAlign w:val="center"/>
                </w:tcPr>
                <w:p>
                  <w:pPr>
                    <w:keepNext w:val="0"/>
                    <w:keepLines w:val="0"/>
                    <w:widowControl/>
                    <w:suppressLineNumbers w:val="0"/>
                    <w:jc w:val="center"/>
                    <w:textAlignment w:val="center"/>
                  </w:pPr>
                  <w:r>
                    <w:rPr>
                      <w:rStyle w:val="font21"/>
                      <w:rFonts w:eastAsia="宋体"/>
                      <w:lang w:val="en-US" w:eastAsia="zh-CN" w:bidi="ar"/>
                    </w:rPr>
                    <w:t>AR25g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0.025</w:t>
                  </w:r>
                </w:p>
              </w:tc>
              <w:tc>
                <w:tcPr>
                  <w:tcW w:w="614" w:type="pct"/>
                  <w:tcBorders>
                    <w:tl2br w:val="nil"/>
                    <w:tr2bl w:val="nil"/>
                  </w:tcBorders>
                  <w:noWrap/>
                  <w:vAlign w:val="center"/>
                </w:tcPr>
                <w:p>
                  <w:pPr>
                    <w:jc w:val="center"/>
                    <w:rPr>
                      <w:rFonts w:hint="default"/>
                    </w:rPr>
                  </w:pPr>
                  <w:r>
                    <w:rPr>
                      <w:rFonts w:hint="eastAsia"/>
                      <w:lang w:val="en-US" w:eastAsia="zh-CN"/>
                    </w:rPr>
                    <w:t>1</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7</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甲基红</w:t>
                  </w:r>
                </w:p>
              </w:tc>
              <w:tc>
                <w:tcPr>
                  <w:tcW w:w="820" w:type="pct"/>
                  <w:tcBorders>
                    <w:tl2br w:val="nil"/>
                    <w:tr2bl w:val="nil"/>
                  </w:tcBorders>
                  <w:noWrap/>
                  <w:vAlign w:val="center"/>
                </w:tcPr>
                <w:p>
                  <w:pPr>
                    <w:keepNext w:val="0"/>
                    <w:keepLines w:val="0"/>
                    <w:widowControl/>
                    <w:suppressLineNumbers w:val="0"/>
                    <w:jc w:val="center"/>
                    <w:textAlignment w:val="center"/>
                  </w:pPr>
                  <w:r>
                    <w:rPr>
                      <w:rStyle w:val="font21"/>
                      <w:rFonts w:eastAsia="宋体"/>
                      <w:lang w:val="en-US" w:eastAsia="zh-CN" w:bidi="ar"/>
                    </w:rPr>
                    <w:t>AR25g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0.025</w:t>
                  </w:r>
                </w:p>
              </w:tc>
              <w:tc>
                <w:tcPr>
                  <w:tcW w:w="614" w:type="pct"/>
                  <w:tcBorders>
                    <w:tl2br w:val="nil"/>
                    <w:tr2bl w:val="nil"/>
                  </w:tcBorders>
                  <w:noWrap/>
                  <w:vAlign w:val="center"/>
                </w:tcPr>
                <w:p>
                  <w:pPr>
                    <w:jc w:val="center"/>
                    <w:rPr>
                      <w:rFonts w:hint="default"/>
                    </w:rPr>
                  </w:pPr>
                  <w:r>
                    <w:rPr>
                      <w:rFonts w:hint="eastAsia"/>
                      <w:lang w:val="en-US" w:eastAsia="zh-CN"/>
                    </w:rPr>
                    <w:t>1</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8</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酚酞</w:t>
                  </w:r>
                </w:p>
              </w:tc>
              <w:tc>
                <w:tcPr>
                  <w:tcW w:w="820" w:type="pct"/>
                  <w:tcBorders>
                    <w:tl2br w:val="nil"/>
                    <w:tr2bl w:val="nil"/>
                  </w:tcBorders>
                  <w:noWrap/>
                  <w:vAlign w:val="center"/>
                </w:tcPr>
                <w:p>
                  <w:pPr>
                    <w:keepNext w:val="0"/>
                    <w:keepLines w:val="0"/>
                    <w:widowControl/>
                    <w:suppressLineNumbers w:val="0"/>
                    <w:jc w:val="center"/>
                    <w:textAlignment w:val="center"/>
                  </w:pPr>
                  <w:r>
                    <w:rPr>
                      <w:rStyle w:val="font21"/>
                      <w:rFonts w:eastAsia="宋体"/>
                      <w:lang w:val="en-US" w:eastAsia="zh-CN" w:bidi="ar"/>
                    </w:rPr>
                    <w:t>AR25g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0.025</w:t>
                  </w:r>
                </w:p>
              </w:tc>
              <w:tc>
                <w:tcPr>
                  <w:tcW w:w="614" w:type="pct"/>
                  <w:tcBorders>
                    <w:tl2br w:val="nil"/>
                    <w:tr2bl w:val="nil"/>
                  </w:tcBorders>
                  <w:noWrap/>
                  <w:vAlign w:val="center"/>
                </w:tcPr>
                <w:p>
                  <w:pPr>
                    <w:jc w:val="center"/>
                    <w:rPr>
                      <w:rFonts w:hint="default"/>
                    </w:rPr>
                  </w:pPr>
                  <w:r>
                    <w:rPr>
                      <w:rFonts w:hint="eastAsia"/>
                      <w:lang w:val="en-US" w:eastAsia="zh-CN"/>
                    </w:rPr>
                    <w:t>1</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9</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氢氧化钠</w:t>
                  </w:r>
                </w:p>
              </w:tc>
              <w:tc>
                <w:tcPr>
                  <w:tcW w:w="820" w:type="pct"/>
                  <w:tcBorders>
                    <w:tl2br w:val="nil"/>
                    <w:tr2bl w:val="nil"/>
                  </w:tcBorders>
                  <w:noWrap/>
                  <w:vAlign w:val="center"/>
                </w:tcPr>
                <w:p>
                  <w:pPr>
                    <w:keepNext w:val="0"/>
                    <w:keepLines w:val="0"/>
                    <w:widowControl/>
                    <w:suppressLineNumbers w:val="0"/>
                    <w:jc w:val="center"/>
                    <w:textAlignment w:val="center"/>
                  </w:pPr>
                  <w:r>
                    <w:rPr>
                      <w:rStyle w:val="font21"/>
                      <w:rFonts w:eastAsia="宋体"/>
                      <w:lang w:val="en-US" w:eastAsia="zh-CN" w:bidi="ar"/>
                    </w:rPr>
                    <w:t>AR500g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1</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10</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碳酸氢钠</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AR500g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1</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11</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碳酸钠</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AR500g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1</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12</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乙醇</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AR500mL</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20</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8.08</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20</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13</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氯化铵</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AR500g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1</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14</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草酸</w:t>
                  </w:r>
                </w:p>
              </w:tc>
              <w:tc>
                <w:tcPr>
                  <w:tcW w:w="820" w:type="pct"/>
                  <w:tcBorders>
                    <w:tl2br w:val="nil"/>
                    <w:tr2bl w:val="nil"/>
                  </w:tcBorders>
                  <w:noWrap/>
                  <w:vAlign w:val="center"/>
                </w:tcPr>
                <w:p>
                  <w:pPr>
                    <w:keepNext w:val="0"/>
                    <w:keepLines w:val="0"/>
                    <w:widowControl/>
                    <w:suppressLineNumbers w:val="0"/>
                    <w:jc w:val="center"/>
                    <w:textAlignment w:val="center"/>
                  </w:pPr>
                  <w:r>
                    <w:rPr>
                      <w:rStyle w:val="font21"/>
                      <w:rFonts w:eastAsia="宋体"/>
                      <w:lang w:val="en-US" w:eastAsia="zh-CN" w:bidi="ar"/>
                    </w:rPr>
                    <w:t>GR500g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0.5</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15</w:t>
                  </w:r>
                </w:p>
              </w:tc>
              <w:tc>
                <w:tcPr>
                  <w:tcW w:w="598"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氩气</w:t>
                  </w:r>
                </w:p>
              </w:tc>
              <w:tc>
                <w:tcPr>
                  <w:tcW w:w="820" w:type="pct"/>
                  <w:tcBorders>
                    <w:tl2br w:val="nil"/>
                    <w:tr2bl w:val="nil"/>
                  </w:tcBorders>
                  <w:noWrap/>
                  <w:vAlign w:val="center"/>
                </w:tcPr>
                <w:p>
                  <w:pPr>
                    <w:keepNext w:val="0"/>
                    <w:keepLines w:val="0"/>
                    <w:widowControl/>
                    <w:suppressLineNumbers w:val="0"/>
                    <w:jc w:val="center"/>
                    <w:textAlignment w:val="center"/>
                  </w:pPr>
                  <w:r>
                    <w:rPr>
                      <w:rStyle w:val="font21"/>
                      <w:rFonts w:eastAsia="宋体"/>
                      <w:lang w:val="en-US" w:eastAsia="zh-CN" w:bidi="ar"/>
                    </w:rPr>
                    <w:t>40L/</w:t>
                  </w:r>
                  <w:r>
                    <w:rPr>
                      <w:rStyle w:val="font11"/>
                      <w:lang w:val="en-US" w:eastAsia="zh-CN" w:bidi="ar"/>
                    </w:rPr>
                    <w:t>瓶</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150</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10.704</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4</w:t>
                  </w:r>
                </w:p>
              </w:tc>
              <w:tc>
                <w:tcPr>
                  <w:tcW w:w="582" w:type="pct"/>
                  <w:tcBorders>
                    <w:tl2br w:val="nil"/>
                    <w:tr2bl w:val="nil"/>
                  </w:tcBorders>
                  <w:noWrap/>
                  <w:vAlign w:val="center"/>
                </w:tcPr>
                <w:p>
                  <w:pPr>
                    <w:bidi w:val="0"/>
                    <w:jc w:val="center"/>
                    <w:rPr>
                      <w:rFonts w:hint="default"/>
                    </w:rPr>
                  </w:pPr>
                  <w:r>
                    <w:rPr>
                      <w:rFonts w:hint="eastAsia"/>
                      <w:lang w:val="en-US" w:eastAsia="zh-CN"/>
                    </w:rPr>
                    <w:t>气瓶柜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16</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氯化钠</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AR500g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1</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2</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17</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氯化钾</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AR250g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0.25</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18</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Fonts w:ascii="宋体" w:eastAsia="宋体" w:hAnsi="宋体" w:cs="宋体" w:hint="eastAsia"/>
                      <w:i w:val="0"/>
                      <w:iCs w:val="0"/>
                      <w:color w:val="000000"/>
                      <w:kern w:val="0"/>
                      <w:sz w:val="21"/>
                      <w:szCs w:val="21"/>
                      <w:highlight w:val="none"/>
                      <w:u w:val="none"/>
                      <w:lang w:val="en-US" w:eastAsia="zh-CN" w:bidi="ar"/>
                    </w:rPr>
                    <w:t>无水氯化钙</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AR200g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5</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1</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5</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19</w:t>
                  </w:r>
                </w:p>
              </w:tc>
              <w:tc>
                <w:tcPr>
                  <w:tcW w:w="598" w:type="pct"/>
                  <w:tcBorders>
                    <w:tl2br w:val="nil"/>
                    <w:tr2bl w:val="nil"/>
                  </w:tcBorders>
                  <w:noWrap/>
                  <w:vAlign w:val="center"/>
                </w:tcPr>
                <w:p>
                  <w:pPr>
                    <w:keepNext w:val="0"/>
                    <w:keepLines w:val="0"/>
                    <w:widowControl/>
                    <w:suppressLineNumbers w:val="0"/>
                    <w:jc w:val="center"/>
                    <w:textAlignment w:val="center"/>
                    <w:rPr>
                      <w:highlight w:val="none"/>
                    </w:rPr>
                  </w:pPr>
                  <w:r>
                    <w:rPr>
                      <w:rStyle w:val="font11"/>
                      <w:highlight w:val="none"/>
                      <w:lang w:val="en-US" w:eastAsia="zh-CN" w:bidi="ar"/>
                    </w:rPr>
                    <w:t>乙二胺四乙酸二钠</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AR500g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10</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5</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10</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tr>
              <w:tblPrEx>
                <w:tblW w:w="5000" w:type="pct"/>
                <w:jc w:val="center"/>
                <w:tblCellMar>
                  <w:top w:w="0" w:type="dxa"/>
                  <w:left w:w="108" w:type="dxa"/>
                  <w:bottom w:w="0" w:type="dxa"/>
                  <w:right w:w="108" w:type="dxa"/>
                </w:tblCellMar>
              </w:tblPrEx>
              <w:trPr>
                <w:trHeight w:val="340"/>
                <w:jc w:val="center"/>
              </w:trPr>
              <w:tc>
                <w:tcPr>
                  <w:tcW w:w="446" w:type="pct"/>
                  <w:tcBorders>
                    <w:tl2br w:val="nil"/>
                    <w:tr2bl w:val="nil"/>
                  </w:tcBorders>
                  <w:noWrap/>
                  <w:vAlign w:val="center"/>
                </w:tcPr>
                <w:p>
                  <w:pPr>
                    <w:pStyle w:val="CXY1"/>
                    <w:bidi w:val="0"/>
                    <w:jc w:val="center"/>
                  </w:pPr>
                  <w:r>
                    <w:t>20</w:t>
                  </w:r>
                </w:p>
              </w:tc>
              <w:tc>
                <w:tcPr>
                  <w:tcW w:w="598"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草酸钠</w:t>
                  </w:r>
                </w:p>
              </w:tc>
              <w:tc>
                <w:tcPr>
                  <w:tcW w:w="820" w:type="pct"/>
                  <w:tcBorders>
                    <w:tl2br w:val="nil"/>
                    <w:tr2bl w:val="nil"/>
                  </w:tcBorders>
                  <w:noWrap/>
                  <w:vAlign w:val="center"/>
                </w:tcPr>
                <w:p>
                  <w:pPr>
                    <w:keepNext w:val="0"/>
                    <w:keepLines w:val="0"/>
                    <w:widowControl/>
                    <w:suppressLineNumbers w:val="0"/>
                    <w:jc w:val="center"/>
                    <w:textAlignment w:val="center"/>
                  </w:pPr>
                  <w:r>
                    <w:rPr>
                      <w:rFonts w:ascii="Times New Roman" w:eastAsia="宋体" w:hAnsi="Times New Roman" w:cs="Times New Roman" w:hint="default"/>
                      <w:i w:val="0"/>
                      <w:iCs w:val="0"/>
                      <w:color w:val="000000"/>
                      <w:kern w:val="0"/>
                      <w:sz w:val="21"/>
                      <w:szCs w:val="21"/>
                      <w:u w:val="none"/>
                      <w:lang w:val="en-US" w:eastAsia="zh-CN" w:bidi="ar"/>
                    </w:rPr>
                    <w:t>AR500g</w:t>
                  </w:r>
                </w:p>
              </w:tc>
              <w:tc>
                <w:tcPr>
                  <w:tcW w:w="540"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5</w:t>
                  </w:r>
                </w:p>
              </w:tc>
              <w:tc>
                <w:tcPr>
                  <w:tcW w:w="863" w:type="pct"/>
                  <w:tcBorders>
                    <w:tl2br w:val="nil"/>
                    <w:tr2bl w:val="nil"/>
                  </w:tcBorders>
                  <w:noWrap/>
                  <w:vAlign w:val="center"/>
                </w:tcPr>
                <w:p>
                  <w:pPr>
                    <w:pStyle w:val="CXY1"/>
                    <w:rPr>
                      <w:rFonts w:hint="eastAsia"/>
                      <w:lang w:val="en-US" w:eastAsia="zh-CN"/>
                    </w:rPr>
                  </w:pPr>
                  <w:r>
                    <w:rPr>
                      <w:rFonts w:hint="eastAsia"/>
                      <w:lang w:val="en-US" w:eastAsia="zh-CN"/>
                    </w:rPr>
                    <w:t>2.5</w:t>
                  </w:r>
                </w:p>
              </w:tc>
              <w:tc>
                <w:tcPr>
                  <w:tcW w:w="614" w:type="pct"/>
                  <w:tcBorders>
                    <w:tl2br w:val="nil"/>
                    <w:tr2bl w:val="nil"/>
                  </w:tcBorders>
                  <w:noWrap/>
                  <w:vAlign w:val="center"/>
                </w:tcPr>
                <w:p>
                  <w:pPr>
                    <w:keepNext w:val="0"/>
                    <w:keepLines w:val="0"/>
                    <w:widowControl/>
                    <w:suppressLineNumbers w:val="0"/>
                    <w:jc w:val="center"/>
                    <w:textAlignment w:val="center"/>
                  </w:pPr>
                  <w:r>
                    <w:rPr>
                      <w:rFonts w:ascii="宋体" w:eastAsia="宋体" w:hAnsi="宋体" w:cs="宋体" w:hint="eastAsia"/>
                      <w:i w:val="0"/>
                      <w:iCs w:val="0"/>
                      <w:color w:val="000000"/>
                      <w:kern w:val="0"/>
                      <w:sz w:val="21"/>
                      <w:szCs w:val="21"/>
                      <w:u w:val="none"/>
                      <w:lang w:val="en-US" w:eastAsia="zh-CN" w:bidi="ar"/>
                    </w:rPr>
                    <w:t>5</w:t>
                  </w:r>
                </w:p>
              </w:tc>
              <w:tc>
                <w:tcPr>
                  <w:tcW w:w="582" w:type="pct"/>
                  <w:tcBorders>
                    <w:tl2br w:val="nil"/>
                    <w:tr2bl w:val="nil"/>
                  </w:tcBorders>
                  <w:noWrap/>
                  <w:vAlign w:val="center"/>
                </w:tcPr>
                <w:p>
                  <w:pPr>
                    <w:bidi w:val="0"/>
                    <w:jc w:val="center"/>
                  </w:pPr>
                  <w:r>
                    <w:rPr>
                      <w:rFonts w:hint="eastAsia"/>
                      <w:lang w:val="en-US" w:eastAsia="zh-CN"/>
                    </w:rPr>
                    <w:t>药品柜</w:t>
                  </w:r>
                </w:p>
              </w:tc>
              <w:tc>
                <w:tcPr>
                  <w:tcW w:w="533" w:type="pct"/>
                  <w:tcBorders>
                    <w:tl2br w:val="nil"/>
                    <w:tr2bl w:val="nil"/>
                  </w:tcBorders>
                  <w:noWrap/>
                  <w:vAlign w:val="center"/>
                </w:tcPr>
                <w:p>
                  <w:pPr>
                    <w:bidi w:val="0"/>
                    <w:jc w:val="center"/>
                    <w:rPr>
                      <w:rFonts w:hint="eastAsia"/>
                    </w:rPr>
                  </w:pPr>
                </w:p>
              </w:tc>
            </w:tr>
            <w:bookmarkEnd w:id="23"/>
          </w:tbl>
          <w:p>
            <w:pPr>
              <w:pStyle w:val="yt"/>
              <w:bidi w:val="0"/>
              <w:rPr>
                <w:rFonts w:hint="eastAsia"/>
                <w:lang w:val="en-US" w:eastAsia="zh-CN"/>
              </w:rPr>
            </w:pPr>
            <w:r>
              <w:rPr>
                <w:rFonts w:hint="default"/>
                <w:lang w:val="en-US" w:eastAsia="zh-CN"/>
              </w:rPr>
              <w:t>本项目部分常用化学试剂理化性质见</w:t>
            </w:r>
            <w:r>
              <w:rPr>
                <w:rFonts w:hint="eastAsia"/>
                <w:lang w:val="en-US" w:eastAsia="zh-CN"/>
              </w:rPr>
              <w:t>下表：</w:t>
            </w:r>
          </w:p>
          <w:p>
            <w:pPr>
              <w:pStyle w:val="yt1"/>
              <w:bidi w:val="0"/>
              <w:rPr>
                <w:rFonts w:hint="eastAsia"/>
                <w:lang w:val="en-US" w:eastAsia="zh-CN"/>
              </w:rPr>
            </w:pPr>
            <w:r>
              <w:rPr>
                <w:rFonts w:hint="default"/>
                <w:lang w:val="en-US" w:eastAsia="zh-CN"/>
              </w:rPr>
              <w:t>主要试剂理化性质</w:t>
            </w:r>
            <w:r>
              <w:rPr>
                <w:rFonts w:hint="eastAsia"/>
                <w:lang w:val="en-US" w:eastAsia="zh-CN"/>
              </w:rPr>
              <w:t>一览</w:t>
            </w:r>
            <w:r>
              <w:rPr>
                <w:rFonts w:hint="default"/>
                <w:lang w:val="en-US" w:eastAsia="zh-CN"/>
              </w:rPr>
              <w:t>表</w:t>
            </w:r>
          </w:p>
          <w:tbl>
            <w:tblPr>
              <w:tblStyle w:val="TableNormal"/>
              <w:tblW w:w="4997" w:type="pct"/>
              <w:tblInd w:w="0"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CellMar>
                <w:top w:w="0" w:type="dxa"/>
                <w:left w:w="108" w:type="dxa"/>
                <w:bottom w:w="0" w:type="dxa"/>
                <w:right w:w="108" w:type="dxa"/>
              </w:tblCellMar>
            </w:tblPr>
            <w:tblGrid>
              <w:gridCol w:w="1180"/>
              <w:gridCol w:w="7783"/>
            </w:tblGrid>
            <w:tr>
              <w:tblPrEx>
                <w:tblW w:w="4997" w:type="pct"/>
                <w:tblInd w:w="0"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CellMar>
                  <w:top w:w="0" w:type="dxa"/>
                  <w:left w:w="108" w:type="dxa"/>
                  <w:bottom w:w="0" w:type="dxa"/>
                  <w:right w:w="108" w:type="dxa"/>
                </w:tblCellMar>
              </w:tblPrEx>
              <w:trPr>
                <w:trHeight w:val="340"/>
              </w:trPr>
              <w:tc>
                <w:tcPr>
                  <w:tcW w:w="504" w:type="pct"/>
                  <w:tcBorders>
                    <w:tl2br w:val="nil"/>
                    <w:tr2bl w:val="nil"/>
                  </w:tcBorders>
                  <w:noWrap w:val="0"/>
                  <w:vAlign w:val="center"/>
                </w:tcPr>
                <w:p>
                  <w:pPr>
                    <w:pStyle w:val="Default"/>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ascii="Times New Roman" w:hAnsi="Times New Roman" w:cs="Times New Roman" w:hint="default"/>
                      <w:b/>
                      <w:color w:val="auto"/>
                      <w:sz w:val="21"/>
                      <w:szCs w:val="21"/>
                      <w:highlight w:val="none"/>
                    </w:rPr>
                  </w:pPr>
                  <w:r>
                    <w:rPr>
                      <w:rFonts w:ascii="Times New Roman" w:eastAsia="宋体" w:hAnsi="Times New Roman" w:cs="Times New Roman" w:hint="default"/>
                      <w:b/>
                      <w:color w:val="auto"/>
                      <w:sz w:val="21"/>
                      <w:szCs w:val="21"/>
                      <w:highlight w:val="none"/>
                    </w:rPr>
                    <w:t>物料</w:t>
                  </w:r>
                </w:p>
              </w:tc>
              <w:tc>
                <w:tcPr>
                  <w:tcW w:w="4495" w:type="pct"/>
                  <w:tcBorders>
                    <w:tl2br w:val="nil"/>
                    <w:tr2bl w:val="nil"/>
                  </w:tcBorders>
                  <w:noWrap w:val="0"/>
                  <w:vAlign w:val="center"/>
                </w:tcPr>
                <w:p>
                  <w:pPr>
                    <w:pStyle w:val="Default"/>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ascii="Times New Roman" w:hAnsi="Times New Roman" w:cs="Times New Roman" w:hint="default"/>
                      <w:b/>
                      <w:color w:val="auto"/>
                      <w:sz w:val="21"/>
                      <w:szCs w:val="21"/>
                      <w:highlight w:val="none"/>
                    </w:rPr>
                  </w:pPr>
                  <w:r>
                    <w:rPr>
                      <w:rFonts w:ascii="Times New Roman" w:eastAsia="宋体" w:hAnsi="Times New Roman" w:cs="Times New Roman" w:hint="default"/>
                      <w:b/>
                      <w:color w:val="auto"/>
                      <w:sz w:val="21"/>
                      <w:szCs w:val="21"/>
                      <w:highlight w:val="none"/>
                    </w:rPr>
                    <w:t>理化性质</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盐酸</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属于一元无机强酸，工业用途广泛。盐酸的性状为无色透明的液体，有强烈的刺鼻气味，具有较高的腐蚀性。浓盐酸（质量分数约为37%）具有极强的挥发性，因此盛有浓盐酸的容器打开后氯化氢气体会挥发，与空气中的水蒸气结合产生盐酸小液滴，使瓶口上方出现酸雾。盐酸是胃酸的主要成分，它能够促进食物消化、抵御微生物感染。</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硝酸</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透明、无色或带黄色有独特的窒息性气味的腐蚀性液体，分子式</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HNO</w:t>
                  </w:r>
                  <w:r>
                    <w:rPr>
                      <w:rFonts w:ascii="Times New Roman" w:eastAsia="宋体" w:hAnsi="Times New Roman" w:cs="Times New Roman" w:hint="default"/>
                      <w:color w:val="auto"/>
                      <w:sz w:val="21"/>
                      <w:szCs w:val="21"/>
                      <w:highlight w:val="none"/>
                      <w:vertAlign w:val="subscript"/>
                    </w:rPr>
                    <w:t>3</w:t>
                  </w:r>
                  <w:r>
                    <w:rPr>
                      <w:rFonts w:ascii="Times New Roman" w:eastAsia="宋体" w:hAnsi="Times New Roman" w:cs="Times New Roman" w:hint="default"/>
                      <w:color w:val="auto"/>
                      <w:sz w:val="21"/>
                      <w:szCs w:val="21"/>
                      <w:highlight w:val="none"/>
                    </w:rPr>
                    <w:t>；分子量</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63.0；熔点</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-41.59℃；沸点：83℃；密度（水=1）:1.41(20℃)(68%硝酸</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；相对密度：1.503(25℃)；1.41(20℃)；熔点：-41.59℃；沸点：83℃；稳定性</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遇潮气或受热分解而成有刺鼻臭味的二氧化氮。</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碳酸钠</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分子量</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105.99；熔点（ºC）:851；密度（水=1）:2.53；溶解性</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易溶于水，不溶于乙醇、乙醚等；外观与性状</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白色粉末或细颗粒(无水纯品</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，味涩。</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硫酸</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分子量：98.08；熔点(℃)：10.5；沸点(℃)：330；纯品为无色透明油状液体，无臭。与水混溶。本品助燃，具强腐蚀性、强刺激性，可致人体灼伤。</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氢氧化钠</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分子式：NaOH，分子量：40.01，白色不透明固体，易潮解；熔点（℃）：318.4，沸点（℃）：1390，闪点(℃)：无意义；相对密度(水=1)：2.12；相对蒸气密度(空气=1)：无资料，饱和蒸气压(kPa)：0.13(739℃)；易溶于水、乙醇、甘油、不溶于丙酮。</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氨水</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分子量：35.05，熔点（℃）：-77，沸点（℃）：36，无色透明液体。有强烈的刺激性臭味。溶于水、醇。</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氯化钠</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无色立方结晶或细小结晶粉末，味咸。外观是白色晶体状，其来源主要是海水，是食盐的主要成分。易溶于水、甘油，微溶于乙醇（酒精）、液氨；不溶于浓盐酸。不纯的氯化钠在空气中有潮解性。稳定性比较好。</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碳酸氢钠</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eastAsia"/>
                      <w:color w:val="auto"/>
                      <w:szCs w:val="21"/>
                      <w:highlight w:val="none"/>
                    </w:rPr>
                  </w:pPr>
                  <w:r>
                    <w:rPr>
                      <w:rFonts w:ascii="Times New Roman" w:eastAsia="宋体" w:hAnsi="Times New Roman" w:cs="Times New Roman" w:hint="default"/>
                      <w:color w:val="auto"/>
                      <w:sz w:val="21"/>
                      <w:szCs w:val="21"/>
                      <w:highlight w:val="none"/>
                    </w:rPr>
                    <w:t>俗称小苏打、苏打粉，白色细小晶体，在水中的溶解度小于苏打</w:t>
                  </w:r>
                  <w:r>
                    <w:rPr>
                      <w:rFonts w:ascii="Times New Roman" w:eastAsia="宋体" w:hAnsi="Times New Roman" w:cs="Times New Roman" w:hint="eastAsia"/>
                      <w:color w:val="auto"/>
                      <w:sz w:val="21"/>
                      <w:szCs w:val="21"/>
                      <w:highlight w:val="none"/>
                      <w:lang w:eastAsia="zh-CN"/>
                    </w:rPr>
                    <w:t>，在与水结合后开始起作用释出二氧化碳CO</w:t>
                  </w:r>
                  <w:r>
                    <w:rPr>
                      <w:rFonts w:ascii="Times New Roman" w:eastAsia="宋体" w:hAnsi="Times New Roman" w:cs="Times New Roman" w:hint="eastAsia"/>
                      <w:color w:val="auto"/>
                      <w:sz w:val="21"/>
                      <w:szCs w:val="21"/>
                      <w:highlight w:val="none"/>
                      <w:vertAlign w:val="subscript"/>
                      <w:lang w:eastAsia="zh-CN"/>
                    </w:rPr>
                    <w:t>2</w:t>
                  </w:r>
                  <w:r>
                    <w:rPr>
                      <w:rFonts w:ascii="Times New Roman" w:eastAsia="宋体" w:hAnsi="Times New Roman" w:cs="Times New Roman" w:hint="eastAsia"/>
                      <w:color w:val="auto"/>
                      <w:sz w:val="21"/>
                      <w:szCs w:val="21"/>
                      <w:highlight w:val="none"/>
                      <w:lang w:eastAsia="zh-CN"/>
                    </w:rPr>
                    <w:t>，在酸性液体（如</w:t>
                  </w:r>
                  <w:r>
                    <w:rPr>
                      <w:rFonts w:cs="Times New Roman" w:hint="eastAsia"/>
                      <w:color w:val="auto"/>
                      <w:sz w:val="21"/>
                      <w:szCs w:val="21"/>
                      <w:highlight w:val="none"/>
                      <w:lang w:eastAsia="zh-CN"/>
                    </w:rPr>
                    <w:t>：</w:t>
                  </w:r>
                  <w:r>
                    <w:rPr>
                      <w:rFonts w:ascii="Times New Roman" w:eastAsia="宋体" w:hAnsi="Times New Roman" w:cs="Times New Roman" w:hint="eastAsia"/>
                      <w:color w:val="auto"/>
                      <w:sz w:val="21"/>
                      <w:szCs w:val="21"/>
                      <w:highlight w:val="none"/>
                      <w:lang w:eastAsia="zh-CN"/>
                    </w:rPr>
                    <w:t>果汁）中反应更快，而随着环境温度升高，释出气体的作用愈快。碳酸氢钠在作用后会残留碳酸钠，使用过多会使成品有碱味。碳酸氢钠水溶液呈弱碱性，俗称小苏打及焙用碱。</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氯化钾</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eastAsia"/>
                      <w:color w:val="auto"/>
                      <w:szCs w:val="21"/>
                      <w:highlight w:val="none"/>
                    </w:rPr>
                  </w:pPr>
                  <w:r>
                    <w:rPr>
                      <w:rFonts w:ascii="Times New Roman" w:eastAsia="宋体" w:hAnsi="Times New Roman" w:cs="Times New Roman" w:hint="default"/>
                      <w:color w:val="auto"/>
                      <w:sz w:val="21"/>
                      <w:szCs w:val="21"/>
                      <w:highlight w:val="none"/>
                    </w:rPr>
                    <w:t>无色细长菱形或成一立方晶体，或白色结晶小颗粒粉末，外观如同食盐，无臭、味咸。常用于低钠盐、矿物质水的添加剂</w:t>
                  </w:r>
                  <w:r>
                    <w:rPr>
                      <w:rFonts w:cs="Times New Roman" w:hint="eastAsia"/>
                      <w:color w:val="auto"/>
                      <w:sz w:val="21"/>
                      <w:szCs w:val="21"/>
                      <w:highlight w:val="none"/>
                      <w:lang w:eastAsia="zh-CN"/>
                    </w:rPr>
                    <w:t>。</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甲基橙</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0" w:afterAutospacing="0" w:line="240" w:lineRule="auto"/>
                    <w:ind w:left="0" w:right="0" w:leftChars="0" w:rightChars="0"/>
                    <w:jc w:val="center"/>
                    <w:rPr>
                      <w:rFonts w:hint="eastAsia"/>
                      <w:color w:val="auto"/>
                      <w:szCs w:val="21"/>
                      <w:highlight w:val="none"/>
                    </w:rPr>
                  </w:pPr>
                  <w:r>
                    <w:rPr>
                      <w:rFonts w:ascii="Times New Roman" w:eastAsia="宋体" w:hAnsi="Times New Roman" w:cs="Times New Roman" w:hint="default"/>
                      <w:color w:val="auto"/>
                      <w:sz w:val="21"/>
                      <w:szCs w:val="21"/>
                      <w:highlight w:val="none"/>
                    </w:rPr>
                    <w:t>酸碱指示剂，pH值变色范围3.1(红</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-4.4(黄</w:t>
                  </w:r>
                  <w:r>
                    <w:rPr>
                      <w:rFonts w:cs="Times New Roman" w:hint="eastAsia"/>
                      <w:color w:val="auto"/>
                      <w:sz w:val="21"/>
                      <w:szCs w:val="21"/>
                      <w:highlight w:val="none"/>
                      <w:lang w:eastAsia="zh-CN"/>
                    </w:rPr>
                    <w:t>）</w:t>
                  </w:r>
                </w:p>
              </w:tc>
            </w:tr>
          </w:tbl>
          <w:p/>
        </w:tc>
      </w:tr>
    </w:tbl>
    <w:p>
      <w:pPr>
        <w:sectPr>
          <w:footerReference w:type="default" r:id="rId26"/>
          <w:type w:val="nextPage"/>
          <w:pgSz w:w="11906" w:h="16838"/>
          <w:pgMar w:top="1134" w:right="1134" w:bottom="1134" w:left="1417" w:header="851" w:footer="850" w:gutter="0"/>
          <w:pgBorders>
            <w:top w:val="none" w:sz="0" w:space="0" w:color="auto"/>
            <w:left w:val="none" w:sz="0" w:space="0" w:color="auto"/>
            <w:bottom w:val="none" w:sz="0" w:space="0" w:color="auto"/>
            <w:right w:val="none" w:sz="0" w:space="0" w:color="auto"/>
          </w:pgBorders>
          <w:pgNumType w:start="19"/>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87"/>
        <w:gridCol w:w="9184"/>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883"/>
          <w:jc w:val="center"/>
        </w:trPr>
        <w:tc>
          <w:tcPr>
            <w:tcW w:w="318" w:type="pct"/>
            <w:noWrap w:val="0"/>
            <w:vAlign w:val="center"/>
          </w:tcPr>
          <w:p/>
        </w:tc>
        <w:tc>
          <w:tcPr>
            <w:tcW w:w="4681" w:type="pct"/>
            <w:noWrap w:val="0"/>
            <w:vAlign w:val="center"/>
          </w:tcPr>
          <w:tbl>
            <w:tblPr>
              <w:tblStyle w:val="TableNormal"/>
              <w:tblW w:w="4997" w:type="pct"/>
              <w:tblInd w:w="0"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CellMar>
                <w:top w:w="0" w:type="dxa"/>
                <w:left w:w="108" w:type="dxa"/>
                <w:bottom w:w="0" w:type="dxa"/>
                <w:right w:w="108" w:type="dxa"/>
              </w:tblCellMar>
            </w:tblPr>
            <w:tblGrid>
              <w:gridCol w:w="1180"/>
              <w:gridCol w:w="7783"/>
            </w:tblGrid>
            <w:tr>
              <w:tblPrEx>
                <w:tblW w:w="4997" w:type="pct"/>
                <w:tblInd w:w="0" w:type="dxa"/>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CellMar>
                  <w:top w:w="0" w:type="dxa"/>
                  <w:left w:w="108" w:type="dxa"/>
                  <w:bottom w:w="0" w:type="dxa"/>
                  <w:right w:w="108" w:type="dxa"/>
                </w:tblCellMar>
              </w:tblPrEx>
              <w:trPr>
                <w:trHeight w:val="340"/>
              </w:trPr>
              <w:tc>
                <w:tcPr>
                  <w:tcW w:w="504" w:type="pct"/>
                  <w:tcBorders>
                    <w:tl2br w:val="nil"/>
                    <w:tr2bl w:val="nil"/>
                  </w:tcBorders>
                  <w:noWrap w:val="0"/>
                  <w:vAlign w:val="center"/>
                </w:tcP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0" w:beforeAutospacing="0" w:afterAutospacing="0" w:line="240" w:lineRule="auto"/>
                    <w:ind w:left="0" w:right="0" w:leftChars="0" w:rightChars="0"/>
                    <w:jc w:val="center"/>
                    <w:rPr>
                      <w:rFonts w:hint="eastAsia"/>
                      <w:color w:val="auto"/>
                      <w:szCs w:val="21"/>
                      <w:highlight w:val="none"/>
                    </w:rPr>
                  </w:pPr>
                  <w:r>
                    <w:rPr>
                      <w:rFonts w:ascii="Times New Roman" w:eastAsia="宋体" w:hAnsi="Times New Roman" w:cs="Times New Roman" w:hint="default"/>
                      <w:color w:val="auto"/>
                      <w:sz w:val="21"/>
                      <w:szCs w:val="21"/>
                      <w:highlight w:val="none"/>
                    </w:rPr>
                    <w:t>，测定多数矿酸、强碱和水的碱度。容量测定锡(热时Sn</w:t>
                  </w:r>
                  <w:r>
                    <w:rPr>
                      <w:rFonts w:ascii="Times New Roman" w:eastAsia="宋体" w:hAnsi="Times New Roman" w:cs="Times New Roman" w:hint="default"/>
                      <w:color w:val="auto"/>
                      <w:sz w:val="21"/>
                      <w:szCs w:val="21"/>
                      <w:highlight w:val="none"/>
                      <w:vertAlign w:val="superscript"/>
                    </w:rPr>
                    <w:t>2+</w:t>
                  </w:r>
                  <w:r>
                    <w:rPr>
                      <w:rFonts w:ascii="Times New Roman" w:eastAsia="宋体" w:hAnsi="Times New Roman" w:cs="Times New Roman" w:hint="default"/>
                      <w:color w:val="auto"/>
                      <w:sz w:val="21"/>
                      <w:szCs w:val="21"/>
                      <w:highlight w:val="none"/>
                    </w:rPr>
                    <w:t>使甲基橙褪色</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。强还原剂(Ti</w:t>
                  </w:r>
                  <w:r>
                    <w:rPr>
                      <w:rFonts w:ascii="Times New Roman" w:eastAsia="宋体" w:hAnsi="Times New Roman" w:cs="Times New Roman" w:hint="default"/>
                      <w:color w:val="auto"/>
                      <w:sz w:val="21"/>
                      <w:szCs w:val="21"/>
                      <w:highlight w:val="none"/>
                      <w:vertAlign w:val="superscript"/>
                    </w:rPr>
                    <w:t>3+</w:t>
                  </w:r>
                  <w:r>
                    <w:rPr>
                      <w:rFonts w:ascii="Times New Roman" w:eastAsia="宋体" w:hAnsi="Times New Roman" w:cs="Times New Roman" w:hint="default"/>
                      <w:color w:val="auto"/>
                      <w:sz w:val="21"/>
                      <w:szCs w:val="21"/>
                      <w:highlight w:val="none"/>
                    </w:rPr>
                    <w:t>)、Cr</w:t>
                  </w:r>
                  <w:r>
                    <w:rPr>
                      <w:rFonts w:ascii="Times New Roman" w:eastAsia="宋体" w:hAnsi="Times New Roman" w:cs="Times New Roman" w:hint="default"/>
                      <w:color w:val="auto"/>
                      <w:sz w:val="21"/>
                      <w:szCs w:val="21"/>
                      <w:highlight w:val="none"/>
                      <w:vertAlign w:val="superscript"/>
                    </w:rPr>
                    <w:t>2+</w:t>
                  </w:r>
                  <w:r>
                    <w:rPr>
                      <w:rFonts w:ascii="Times New Roman" w:eastAsia="宋体" w:hAnsi="Times New Roman" w:cs="Times New Roman" w:hint="default"/>
                      <w:color w:val="auto"/>
                      <w:sz w:val="21"/>
                      <w:szCs w:val="21"/>
                      <w:highlight w:val="none"/>
                    </w:rPr>
                    <w:t>和强氧化剂(氯、溴</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的消色指示剂。分光光度测定氯、溴和溴离子。可与靛蓝二磺酸钠或溴甲酚绿组成混合指示剂，以缩短变色域和提高变色的锐灵性。氧化还原指示剂，如用于溴酸钾滴定三价砷或锑。贮存：密封阴凉干燥保存</w:t>
                  </w:r>
                  <w:r>
                    <w:rPr>
                      <w:rFonts w:cs="Times New Roman" w:hint="eastAsia"/>
                      <w:color w:val="auto"/>
                      <w:sz w:val="21"/>
                      <w:szCs w:val="21"/>
                      <w:highlight w:val="none"/>
                      <w:lang w:eastAsia="zh-CN"/>
                    </w:rPr>
                    <w:t>。</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酚酞</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一种化学成品，属于晶体粉末状，几乎不溶于水。其特性是在酸性和中性溶液中为无色，在碱性溶液中为紫红色。常被人们用来检测酸碱</w:t>
                  </w:r>
                  <w:r>
                    <w:rPr>
                      <w:rFonts w:cs="Times New Roman" w:hint="eastAsia"/>
                      <w:color w:val="auto"/>
                      <w:sz w:val="21"/>
                      <w:szCs w:val="21"/>
                      <w:highlight w:val="none"/>
                      <w:lang w:eastAsia="zh-CN"/>
                    </w:rPr>
                    <w:t>，</w:t>
                  </w:r>
                  <w:r>
                    <w:rPr>
                      <w:rFonts w:cs="Times New Roman" w:hint="eastAsia"/>
                      <w:color w:val="auto"/>
                      <w:sz w:val="21"/>
                      <w:szCs w:val="21"/>
                      <w:highlight w:val="none"/>
                      <w:lang w:val="en-US" w:eastAsia="zh-CN"/>
                    </w:rPr>
                    <w:t>密度1.323g/cm³。</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kern w:val="0"/>
                      <w:szCs w:val="21"/>
                      <w:highlight w:val="none"/>
                    </w:rPr>
                  </w:pPr>
                  <w:r>
                    <w:rPr>
                      <w:rFonts w:ascii="Times New Roman" w:eastAsia="宋体" w:hAnsi="Times New Roman" w:cs="Times New Roman" w:hint="default"/>
                      <w:color w:val="auto"/>
                      <w:sz w:val="21"/>
                      <w:szCs w:val="21"/>
                      <w:highlight w:val="none"/>
                    </w:rPr>
                    <w:t>乙醇</w:t>
                  </w:r>
                </w:p>
              </w:tc>
              <w:tc>
                <w:tcPr>
                  <w:tcW w:w="4495" w:type="pct"/>
                  <w:tcBorders>
                    <w:tl2br w:val="nil"/>
                    <w:tr2bl w:val="nil"/>
                  </w:tcBorders>
                  <w:noWrap w:val="0"/>
                  <w:vAlign w:val="center"/>
                </w:tcPr>
                <w:p>
                  <w:pPr>
                    <w:pStyle w:val="Default"/>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俗称酒精，是一种有机物，结构简式CH</w:t>
                  </w:r>
                  <w:r>
                    <w:rPr>
                      <w:rFonts w:ascii="Times New Roman" w:eastAsia="宋体" w:hAnsi="Times New Roman" w:cs="Times New Roman" w:hint="default"/>
                      <w:color w:val="auto"/>
                      <w:sz w:val="21"/>
                      <w:szCs w:val="21"/>
                      <w:highlight w:val="none"/>
                      <w:vertAlign w:val="subscript"/>
                    </w:rPr>
                    <w:t>3</w:t>
                  </w:r>
                  <w:r>
                    <w:rPr>
                      <w:rFonts w:ascii="Times New Roman" w:eastAsia="宋体" w:hAnsi="Times New Roman" w:cs="Times New Roman" w:hint="default"/>
                      <w:color w:val="auto"/>
                      <w:sz w:val="21"/>
                      <w:szCs w:val="21"/>
                      <w:highlight w:val="none"/>
                    </w:rPr>
                    <w:t>CH</w:t>
                  </w:r>
                  <w:r>
                    <w:rPr>
                      <w:rFonts w:ascii="Times New Roman" w:eastAsia="宋体" w:hAnsi="Times New Roman" w:cs="Times New Roman" w:hint="default"/>
                      <w:color w:val="auto"/>
                      <w:sz w:val="21"/>
                      <w:szCs w:val="21"/>
                      <w:highlight w:val="none"/>
                      <w:vertAlign w:val="subscript"/>
                    </w:rPr>
                    <w:t>2</w:t>
                  </w:r>
                  <w:r>
                    <w:rPr>
                      <w:rFonts w:ascii="Times New Roman" w:eastAsia="宋体" w:hAnsi="Times New Roman" w:cs="Times New Roman" w:hint="default"/>
                      <w:color w:val="auto"/>
                      <w:sz w:val="21"/>
                      <w:szCs w:val="21"/>
                      <w:highlight w:val="none"/>
                    </w:rPr>
                    <w:t>OH或C</w:t>
                  </w:r>
                  <w:r>
                    <w:rPr>
                      <w:rFonts w:ascii="Times New Roman" w:eastAsia="宋体" w:hAnsi="Times New Roman" w:cs="Times New Roman" w:hint="default"/>
                      <w:color w:val="auto"/>
                      <w:sz w:val="21"/>
                      <w:szCs w:val="21"/>
                      <w:highlight w:val="none"/>
                      <w:vertAlign w:val="subscript"/>
                    </w:rPr>
                    <w:t>2</w:t>
                  </w:r>
                  <w:r>
                    <w:rPr>
                      <w:rFonts w:ascii="Times New Roman" w:eastAsia="宋体" w:hAnsi="Times New Roman" w:cs="Times New Roman" w:hint="default"/>
                      <w:color w:val="auto"/>
                      <w:sz w:val="21"/>
                      <w:szCs w:val="21"/>
                      <w:highlight w:val="none"/>
                    </w:rPr>
                    <w:t>H</w:t>
                  </w:r>
                  <w:r>
                    <w:rPr>
                      <w:rFonts w:ascii="Times New Roman" w:eastAsia="宋体" w:hAnsi="Times New Roman" w:cs="Times New Roman" w:hint="default"/>
                      <w:color w:val="auto"/>
                      <w:sz w:val="21"/>
                      <w:szCs w:val="21"/>
                      <w:highlight w:val="none"/>
                      <w:vertAlign w:val="subscript"/>
                    </w:rPr>
                    <w:t>5</w:t>
                  </w:r>
                  <w:r>
                    <w:rPr>
                      <w:rFonts w:ascii="Times New Roman" w:eastAsia="宋体" w:hAnsi="Times New Roman" w:cs="Times New Roman" w:hint="default"/>
                      <w:color w:val="auto"/>
                      <w:sz w:val="21"/>
                      <w:szCs w:val="21"/>
                      <w:highlight w:val="none"/>
                    </w:rPr>
                    <w:t>OH，分子式C</w:t>
                  </w:r>
                  <w:r>
                    <w:rPr>
                      <w:rFonts w:ascii="Times New Roman" w:eastAsia="宋体" w:hAnsi="Times New Roman" w:cs="Times New Roman" w:hint="default"/>
                      <w:color w:val="auto"/>
                      <w:sz w:val="21"/>
                      <w:szCs w:val="21"/>
                      <w:highlight w:val="none"/>
                      <w:vertAlign w:val="subscript"/>
                    </w:rPr>
                    <w:t>2</w:t>
                  </w:r>
                  <w:r>
                    <w:rPr>
                      <w:rFonts w:ascii="Times New Roman" w:eastAsia="宋体" w:hAnsi="Times New Roman" w:cs="Times New Roman" w:hint="default"/>
                      <w:color w:val="auto"/>
                      <w:sz w:val="21"/>
                      <w:szCs w:val="21"/>
                      <w:highlight w:val="none"/>
                    </w:rPr>
                    <w:t>H</w:t>
                  </w:r>
                  <w:r>
                    <w:rPr>
                      <w:rFonts w:ascii="Times New Roman" w:eastAsia="宋体" w:hAnsi="Times New Roman" w:cs="Times New Roman" w:hint="default"/>
                      <w:color w:val="auto"/>
                      <w:sz w:val="21"/>
                      <w:szCs w:val="21"/>
                      <w:highlight w:val="none"/>
                      <w:vertAlign w:val="subscript"/>
                    </w:rPr>
                    <w:t>6</w:t>
                  </w:r>
                  <w:r>
                    <w:rPr>
                      <w:rFonts w:ascii="Times New Roman" w:eastAsia="宋体" w:hAnsi="Times New Roman" w:cs="Times New Roman" w:hint="default"/>
                      <w:color w:val="auto"/>
                      <w:sz w:val="21"/>
                      <w:szCs w:val="21"/>
                      <w:highlight w:val="none"/>
                    </w:rPr>
                    <w:t>O，是最常见的一元醇。乙醇在常温常压下是一种易燃、易挥发的无色透明液体，低毒性，纯液体不可直接饮用；具有特殊香味，并略带刺激；微甘，并伴有刺激的辛辣滋味。易燃，其蒸气能与空气形成爆炸性混合物，能与水以任意比互溶。能与氯仿、乙醚、甲醇、丙酮和其他多数有机溶剂混溶，相对密度（d15.56）0.816。</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kern w:val="0"/>
                      <w:szCs w:val="21"/>
                      <w:highlight w:val="none"/>
                    </w:rPr>
                  </w:pPr>
                  <w:r>
                    <w:rPr>
                      <w:rFonts w:ascii="Times New Roman" w:eastAsia="宋体" w:hAnsi="Times New Roman" w:cs="Times New Roman" w:hint="default"/>
                      <w:color w:val="auto"/>
                      <w:kern w:val="0"/>
                      <w:sz w:val="21"/>
                      <w:szCs w:val="21"/>
                      <w:highlight w:val="none"/>
                    </w:rPr>
                    <w:t>氯化铵</w:t>
                  </w:r>
                </w:p>
              </w:tc>
              <w:tc>
                <w:tcPr>
                  <w:tcW w:w="4495"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无色晶体或白色结晶性粉末</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无臭，味咸、凉</w:t>
                  </w:r>
                  <w:r>
                    <w:rPr>
                      <w:rFonts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有引湿性。本品在水中易溶，在乙醇中微溶</w:t>
                  </w:r>
                  <w:r>
                    <w:rPr>
                      <w:rFonts w:cs="Times New Roman" w:hint="eastAsia"/>
                      <w:color w:val="auto"/>
                      <w:sz w:val="21"/>
                      <w:szCs w:val="21"/>
                      <w:highlight w:val="none"/>
                      <w:lang w:eastAsia="zh-CN"/>
                    </w:rPr>
                    <w:t>。</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草酸</w:t>
                  </w:r>
                </w:p>
              </w:tc>
              <w:tc>
                <w:tcPr>
                  <w:tcW w:w="4495" w:type="pct"/>
                  <w:tcBorders>
                    <w:tl2br w:val="nil"/>
                    <w:tr2bl w:val="nil"/>
                  </w:tcBorders>
                  <w:noWrap w:val="0"/>
                  <w:vAlign w:val="center"/>
                </w:tcPr>
                <w:p>
                  <w:pPr>
                    <w:pStyle w:val="Default"/>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ascii="Times New Roman" w:hAnsi="Times New Roman" w:cs="Times New Roman" w:hint="eastAsia"/>
                      <w:color w:val="auto"/>
                      <w:sz w:val="21"/>
                      <w:szCs w:val="21"/>
                      <w:highlight w:val="none"/>
                    </w:rPr>
                  </w:pPr>
                  <w:r>
                    <w:rPr>
                      <w:rFonts w:ascii="Times New Roman" w:eastAsia="宋体" w:hAnsi="Times New Roman" w:cs="Times New Roman" w:hint="default"/>
                      <w:color w:val="auto"/>
                      <w:sz w:val="21"/>
                      <w:szCs w:val="21"/>
                      <w:highlight w:val="none"/>
                    </w:rPr>
                    <w:t>草酸是一种有机物，化学式为H₂C₂O₄，是生物体的一种代谢产物，二元弱酸，无色单斜片状或棱柱体结晶或白色粉末，氧化法草酸无气味，合成法草酸有味。150～160℃升华。在高热干燥空气中能风化。1g溶于7mL水、2mL沸水、2.5mL乙醇、1.8mL沸乙醇、100mL乙醚、5.5mL甘油，不溶于苯、氯仿和石油醚。0.1mol/L溶液的pH为1.3。相对密度（水=1）1.653。熔点189.5℃。[3]低毒，半数致死量（兔，经皮）2000mg/kg</w:t>
                  </w:r>
                  <w:r>
                    <w:rPr>
                      <w:rFonts w:ascii="Times New Roman" w:eastAsia="宋体" w:hAnsi="Times New Roman" w:cs="Times New Roman" w:hint="eastAsia"/>
                      <w:color w:val="auto"/>
                      <w:sz w:val="21"/>
                      <w:szCs w:val="21"/>
                      <w:highlight w:val="none"/>
                      <w:lang w:eastAsia="zh-CN"/>
                    </w:rPr>
                    <w:t>。</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eastAsia"/>
                      <w:color w:val="auto"/>
                      <w:sz w:val="21"/>
                      <w:szCs w:val="21"/>
                      <w:highlight w:val="none"/>
                      <w:lang w:val="en-US" w:eastAsia="zh-CN"/>
                    </w:rPr>
                    <w:t>无水氯化钙</w:t>
                  </w:r>
                </w:p>
              </w:tc>
              <w:tc>
                <w:tcPr>
                  <w:tcW w:w="4495" w:type="pct"/>
                  <w:tcBorders>
                    <w:tl2br w:val="nil"/>
                    <w:tr2bl w:val="nil"/>
                  </w:tcBorders>
                  <w:noWrap w:val="0"/>
                  <w:vAlign w:val="center"/>
                </w:tcPr>
                <w:p>
                  <w:pPr>
                    <w:pStyle w:val="Default"/>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ascii="Times New Roman" w:hAnsi="Times New Roman" w:cs="Times New Roman" w:hint="eastAsia"/>
                      <w:color w:val="auto"/>
                      <w:sz w:val="21"/>
                      <w:szCs w:val="21"/>
                      <w:highlight w:val="none"/>
                    </w:rPr>
                  </w:pPr>
                  <w:r>
                    <w:rPr>
                      <w:rFonts w:ascii="Times New Roman" w:eastAsia="宋体" w:hAnsi="Times New Roman" w:cs="Times New Roman" w:hint="default"/>
                      <w:color w:val="auto"/>
                      <w:sz w:val="21"/>
                      <w:szCs w:val="21"/>
                      <w:highlight w:val="none"/>
                    </w:rPr>
                    <w:t>化学式为CaCl</w:t>
                  </w:r>
                  <w:r>
                    <w:rPr>
                      <w:rFonts w:ascii="Times New Roman" w:eastAsia="宋体" w:hAnsi="Times New Roman" w:cs="Times New Roman" w:hint="default"/>
                      <w:color w:val="auto"/>
                      <w:sz w:val="21"/>
                      <w:szCs w:val="21"/>
                      <w:highlight w:val="none"/>
                      <w:vertAlign w:val="subscript"/>
                    </w:rPr>
                    <w:t>2</w:t>
                  </w:r>
                  <w:r>
                    <w:rPr>
                      <w:rFonts w:ascii="Times New Roman" w:eastAsia="宋体" w:hAnsi="Times New Roman" w:cs="Times New Roman" w:hint="default"/>
                      <w:color w:val="auto"/>
                      <w:sz w:val="21"/>
                      <w:szCs w:val="21"/>
                      <w:highlight w:val="none"/>
                    </w:rPr>
                    <w:t>，微苦。无色立方结晶体，白色或灰白色，有粒状、蜂窝块状、圆球状、不规则颗粒状、粉末状。微毒、无臭、味微苦。吸湿性极强，暴露于空气中极易潮解。易溶于水，20℃时溶解度为74.5g/100g水，同时放出大量的热（氯化钙的溶解焓为-176.2cal/g），其水溶液呈中性。易溶于多种极性、质子性溶剂</w:t>
                  </w:r>
                  <w:r>
                    <w:rPr>
                      <w:rFonts w:ascii="Times New Roman" w:eastAsia="宋体" w:hAnsi="Times New Roman" w:cs="Times New Roman" w:hint="eastAsia"/>
                      <w:color w:val="auto"/>
                      <w:sz w:val="21"/>
                      <w:szCs w:val="21"/>
                      <w:highlight w:val="none"/>
                      <w:lang w:eastAsia="zh-CN"/>
                    </w:rPr>
                    <w:t>。</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sz w:val="21"/>
                      <w:szCs w:val="21"/>
                      <w:highlight w:val="none"/>
                    </w:rPr>
                    <w:t>乙二胺四乙酸二钠（EDTA）</w:t>
                  </w:r>
                </w:p>
              </w:tc>
              <w:tc>
                <w:tcPr>
                  <w:tcW w:w="4495" w:type="pct"/>
                  <w:tcBorders>
                    <w:tl2br w:val="nil"/>
                    <w:tr2bl w:val="nil"/>
                  </w:tcBorders>
                  <w:noWrap w:val="0"/>
                  <w:vAlign w:val="center"/>
                </w:tcPr>
                <w:p>
                  <w:pPr>
                    <w:pStyle w:val="Default"/>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ascii="Times New Roman" w:hAnsi="Times New Roman" w:cs="Times New Roman" w:hint="eastAsia"/>
                      <w:color w:val="auto"/>
                      <w:sz w:val="21"/>
                      <w:szCs w:val="21"/>
                      <w:highlight w:val="none"/>
                    </w:rPr>
                  </w:pPr>
                  <w:r>
                    <w:rPr>
                      <w:rFonts w:ascii="Times New Roman" w:eastAsia="宋体" w:hAnsi="Times New Roman" w:cs="Times New Roman" w:hint="default"/>
                      <w:color w:val="auto"/>
                      <w:sz w:val="21"/>
                      <w:szCs w:val="21"/>
                      <w:highlight w:val="none"/>
                    </w:rPr>
                    <w:t>作重金属解毒药、络合剂、抗氧增效剂、稳定剂及软化剂等；钙、镁及其他金属试剂，金属掩蔽剂。乙二胺四乙酸二钠是一种重要络合剂，用于络合金属离子和分离金属</w:t>
                  </w:r>
                  <w:r>
                    <w:rPr>
                      <w:rFonts w:ascii="Times New Roman" w:eastAsia="宋体" w:hAnsi="Times New Roman" w:cs="Times New Roman" w:hint="eastAsia"/>
                      <w:color w:val="auto"/>
                      <w:sz w:val="21"/>
                      <w:szCs w:val="21"/>
                      <w:highlight w:val="none"/>
                      <w:lang w:eastAsia="zh-CN"/>
                    </w:rPr>
                    <w:t>；危险特性：受高热分解产生有毒的腐蚀性烟气。</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草酸钠</w:t>
                  </w:r>
                </w:p>
              </w:tc>
              <w:tc>
                <w:tcPr>
                  <w:tcW w:w="4495" w:type="pct"/>
                  <w:tcBorders>
                    <w:tl2br w:val="nil"/>
                    <w:tr2bl w:val="nil"/>
                  </w:tcBorders>
                  <w:noWrap w:val="0"/>
                  <w:vAlign w:val="center"/>
                </w:tcPr>
                <w:p>
                  <w:pPr>
                    <w:pStyle w:val="Default"/>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ascii="Times New Roman" w:hAnsi="Times New Roman" w:cs="Times New Roman" w:hint="eastAsia"/>
                      <w:color w:val="auto"/>
                      <w:sz w:val="21"/>
                      <w:szCs w:val="21"/>
                      <w:highlight w:val="none"/>
                    </w:rPr>
                  </w:pPr>
                  <w:r>
                    <w:rPr>
                      <w:rFonts w:ascii="Times New Roman" w:eastAsia="宋体" w:hAnsi="Times New Roman" w:cs="Times New Roman" w:hint="default"/>
                      <w:color w:val="auto"/>
                      <w:sz w:val="21"/>
                      <w:szCs w:val="21"/>
                      <w:highlight w:val="none"/>
                    </w:rPr>
                    <w:t>化学式为Na</w:t>
                  </w:r>
                  <w:r>
                    <w:rPr>
                      <w:rFonts w:ascii="Times New Roman" w:eastAsia="宋体" w:hAnsi="Times New Roman" w:cs="Times New Roman" w:hint="default"/>
                      <w:color w:val="auto"/>
                      <w:sz w:val="21"/>
                      <w:szCs w:val="21"/>
                      <w:highlight w:val="none"/>
                      <w:vertAlign w:val="subscript"/>
                    </w:rPr>
                    <w:t>2</w:t>
                  </w:r>
                  <w:r>
                    <w:rPr>
                      <w:rFonts w:ascii="Times New Roman" w:eastAsia="宋体" w:hAnsi="Times New Roman" w:cs="Times New Roman" w:hint="default"/>
                      <w:color w:val="auto"/>
                      <w:sz w:val="21"/>
                      <w:szCs w:val="21"/>
                      <w:highlight w:val="none"/>
                    </w:rPr>
                    <w:t>C</w:t>
                  </w:r>
                  <w:r>
                    <w:rPr>
                      <w:rFonts w:ascii="Times New Roman" w:eastAsia="宋体" w:hAnsi="Times New Roman" w:cs="Times New Roman" w:hint="default"/>
                      <w:color w:val="auto"/>
                      <w:sz w:val="21"/>
                      <w:szCs w:val="21"/>
                      <w:highlight w:val="none"/>
                      <w:vertAlign w:val="subscript"/>
                    </w:rPr>
                    <w:t>2</w:t>
                  </w:r>
                  <w:r>
                    <w:rPr>
                      <w:rFonts w:ascii="Times New Roman" w:eastAsia="宋体" w:hAnsi="Times New Roman" w:cs="Times New Roman" w:hint="default"/>
                      <w:color w:val="auto"/>
                      <w:sz w:val="21"/>
                      <w:szCs w:val="21"/>
                      <w:highlight w:val="none"/>
                    </w:rPr>
                    <w:t>O</w:t>
                  </w:r>
                  <w:r>
                    <w:rPr>
                      <w:rFonts w:ascii="Times New Roman" w:eastAsia="宋体" w:hAnsi="Times New Roman" w:cs="Times New Roman" w:hint="default"/>
                      <w:color w:val="auto"/>
                      <w:sz w:val="21"/>
                      <w:szCs w:val="21"/>
                      <w:highlight w:val="none"/>
                      <w:vertAlign w:val="subscript"/>
                    </w:rPr>
                    <w:t>4</w:t>
                  </w:r>
                  <w:r>
                    <w:rPr>
                      <w:rFonts w:ascii="Times New Roman" w:eastAsia="宋体" w:hAnsi="Times New Roman" w:cs="Times New Roman" w:hint="default"/>
                      <w:color w:val="auto"/>
                      <w:sz w:val="21"/>
                      <w:szCs w:val="21"/>
                      <w:highlight w:val="none"/>
                    </w:rPr>
                    <w:t>，为草酸的钠盐，是一种还原剂，也常作为双齿配体。溶解性：溶于27份水、16份沸水，不溶于乙醇和乙醚，其水溶液显弱碱性相对密度：2．34熔点：250～257℃(分解</w:t>
                  </w:r>
                  <w:r>
                    <w:rPr>
                      <w:rFonts w:ascii="Times New Roman" w:hAnsi="Times New Roman"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刺激性：有刺激性性状：白色结晶性粉末。无气味。有吸湿性密度：（g/mL，25/4℃）：2.34</w:t>
                  </w:r>
                  <w:r>
                    <w:rPr>
                      <w:rFonts w:ascii="Times New Roman" w:eastAsia="宋体" w:hAnsi="Times New Roman" w:cs="Times New Roman" w:hint="eastAsia"/>
                      <w:color w:val="auto"/>
                      <w:sz w:val="21"/>
                      <w:szCs w:val="21"/>
                      <w:highlight w:val="none"/>
                      <w:lang w:eastAsia="zh-CN"/>
                    </w:rPr>
                    <w:t>；有较强的还原性。灼烧则分解为碳酸钠和一氧化碳。加热至400℃以上时分解为碳酸钠，在100g水中的溶解度为3.7g(20℃)，6.33g(100℃)，不溶于乙醇、乙醚；</w:t>
                  </w:r>
                </w:p>
              </w:tc>
            </w:tr>
            <w:tr>
              <w:tblPrEx>
                <w:tblW w:w="4997" w:type="pct"/>
                <w:tblInd w:w="0" w:type="dxa"/>
                <w:tblCellMar>
                  <w:top w:w="0" w:type="dxa"/>
                  <w:left w:w="108" w:type="dxa"/>
                  <w:bottom w:w="0" w:type="dxa"/>
                  <w:right w:w="108" w:type="dxa"/>
                </w:tblCellMar>
              </w:tblPrEx>
              <w:trPr>
                <w:trHeight w:val="340"/>
              </w:trPr>
              <w:tc>
                <w:tcPr>
                  <w:tcW w:w="504" w:type="pct"/>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氩气</w:t>
                  </w:r>
                </w:p>
              </w:tc>
              <w:tc>
                <w:tcPr>
                  <w:tcW w:w="4495" w:type="pct"/>
                  <w:tcBorders>
                    <w:tl2br w:val="nil"/>
                    <w:tr2bl w:val="nil"/>
                  </w:tcBorders>
                  <w:noWrap w:val="0"/>
                  <w:vAlign w:val="center"/>
                </w:tcPr>
                <w:p>
                  <w:pPr>
                    <w:pStyle w:val="Default"/>
                    <w:keepNext w:val="0"/>
                    <w:keepLines w:val="0"/>
                    <w:pageBreakBefore w:val="0"/>
                    <w:widowControl w:val="0"/>
                    <w:kinsoku/>
                    <w:wordWrap/>
                    <w:overflowPunct/>
                    <w:topLinePunct w:val="0"/>
                    <w:bidi w:val="0"/>
                    <w:adjustRightInd/>
                    <w:snapToGrid/>
                    <w:spacing w:beforeAutospacing="0" w:afterAutospacing="0" w:line="240" w:lineRule="auto"/>
                    <w:ind w:left="0" w:right="0" w:leftChars="0" w:rightChars="0"/>
                    <w:jc w:val="center"/>
                    <w:rPr>
                      <w:rFonts w:ascii="Times New Roman" w:hAnsi="Times New Roman" w:cs="Times New Roman" w:hint="eastAsia"/>
                      <w:color w:val="auto"/>
                      <w:sz w:val="21"/>
                      <w:szCs w:val="21"/>
                      <w:highlight w:val="none"/>
                    </w:rPr>
                  </w:pPr>
                  <w:r>
                    <w:rPr>
                      <w:rFonts w:ascii="Times New Roman" w:eastAsia="宋体" w:hAnsi="Times New Roman" w:cs="Times New Roman" w:hint="default"/>
                      <w:color w:val="auto"/>
                      <w:sz w:val="21"/>
                      <w:szCs w:val="21"/>
                      <w:highlight w:val="none"/>
                    </w:rPr>
                    <w:t>无色、无味的单原子气体，氩气的密度是空气的1.4倍，是氦气的10倍。氩气是一种惰性气体，在常温下与其他物质均不起化学反应</w:t>
                  </w:r>
                  <w:r>
                    <w:rPr>
                      <w:rFonts w:ascii="Times New Roman" w:eastAsia="宋体" w:hAnsi="Times New Roman" w:cs="Times New Roman" w:hint="eastAsia"/>
                      <w:color w:val="auto"/>
                      <w:sz w:val="21"/>
                      <w:szCs w:val="21"/>
                      <w:highlight w:val="none"/>
                      <w:lang w:eastAsia="zh-CN"/>
                    </w:rPr>
                    <w:t>；熔点：-189.2℃沸点：-185.9℃密度：1.784kg/m</w:t>
                  </w:r>
                  <w:r>
                    <w:rPr>
                      <w:rFonts w:ascii="Times New Roman" w:eastAsia="宋体" w:hAnsi="Times New Roman" w:cs="Times New Roman" w:hint="eastAsia"/>
                      <w:color w:val="auto"/>
                      <w:sz w:val="21"/>
                      <w:szCs w:val="21"/>
                      <w:highlight w:val="none"/>
                      <w:vertAlign w:val="superscript"/>
                      <w:lang w:eastAsia="zh-CN"/>
                    </w:rPr>
                    <w:t>3</w:t>
                  </w:r>
                  <w:r>
                    <w:rPr>
                      <w:rFonts w:ascii="Times New Roman" w:eastAsia="宋体" w:hAnsi="Times New Roman" w:cs="Times New Roman" w:hint="eastAsia"/>
                      <w:color w:val="auto"/>
                      <w:sz w:val="21"/>
                      <w:szCs w:val="21"/>
                      <w:highlight w:val="none"/>
                      <w:lang w:eastAsia="zh-CN"/>
                    </w:rPr>
                    <w:t>；1394kg/m³（饱和液氩，1atm）外观：无色无臭气体溶解性：微溶于水</w:t>
                  </w:r>
                </w:p>
              </w:tc>
            </w:tr>
          </w:tbl>
          <w:p>
            <w:pPr>
              <w:pStyle w:val="yt"/>
              <w:keepNext w:val="0"/>
              <w:keepLines w:val="0"/>
              <w:pageBreakBefore w:val="0"/>
              <w:widowControl w:val="0"/>
              <w:kinsoku/>
              <w:wordWrap/>
              <w:overflowPunct/>
              <w:topLinePunct w:val="0"/>
              <w:autoSpaceDE/>
              <w:autoSpaceDN/>
              <w:bidi w:val="0"/>
              <w:adjustRightInd/>
              <w:snapToGrid/>
              <w:spacing w:before="120" w:beforeLines="50"/>
              <w:ind w:firstLine="0"/>
              <w:textAlignment w:val="auto"/>
              <w:rPr>
                <w:b/>
                <w:bCs/>
                <w:i w:val="0"/>
                <w:iCs w:val="0"/>
              </w:rPr>
            </w:pPr>
            <w:r>
              <w:rPr>
                <w:rFonts w:hint="eastAsia"/>
                <w:b/>
                <w:bCs/>
                <w:i w:val="0"/>
                <w:iCs w:val="0"/>
                <w:lang w:val="en-US" w:eastAsia="zh-CN"/>
              </w:rPr>
              <w:t>6</w:t>
            </w:r>
            <w:r>
              <w:rPr>
                <w:b/>
                <w:bCs/>
                <w:i w:val="0"/>
                <w:iCs w:val="0"/>
              </w:rPr>
              <w:t>、劳动定员及工作制度</w:t>
            </w:r>
          </w:p>
          <w:p>
            <w:pPr>
              <w:pStyle w:val="yt"/>
              <w:ind w:firstLine="0"/>
            </w:pPr>
            <w:r>
              <w:rPr>
                <w:rFonts w:hint="eastAsia"/>
                <w:lang w:val="en-US" w:eastAsia="zh-CN"/>
              </w:rPr>
              <w:t>现有</w:t>
            </w:r>
            <w:r>
              <w:rPr>
                <w:rFonts w:ascii="Times New Roman" w:hAnsi="Times New Roman" w:cs="Times New Roman"/>
                <w:color w:val="auto"/>
                <w:kern w:val="21"/>
                <w:sz w:val="24"/>
              </w:rPr>
              <w:t>项目</w:t>
            </w:r>
            <w:r>
              <w:rPr>
                <w:rFonts w:ascii="Times New Roman" w:hAnsi="Times New Roman" w:cs="Times New Roman" w:hint="eastAsia"/>
                <w:color w:val="auto"/>
                <w:kern w:val="21"/>
                <w:sz w:val="24"/>
                <w:lang w:val="en-US" w:eastAsia="zh-CN"/>
              </w:rPr>
              <w:t>年</w:t>
            </w:r>
            <w:r>
              <w:rPr>
                <w:rFonts w:ascii="Times New Roman" w:hAnsi="Times New Roman" w:cs="Times New Roman"/>
                <w:color w:val="auto"/>
                <w:kern w:val="21"/>
                <w:sz w:val="24"/>
              </w:rPr>
              <w:t>工作300天，每天1班，每班8小时，劳动人员共计35人</w:t>
            </w:r>
            <w:r>
              <w:t>。</w:t>
            </w:r>
            <w:r>
              <w:rPr>
                <w:rFonts w:hint="eastAsia"/>
              </w:rPr>
              <w:t>本项目不新增人员</w:t>
            </w:r>
            <w:r>
              <w:rPr>
                <w:rFonts w:hint="eastAsia"/>
                <w:lang w:eastAsia="zh-CN"/>
              </w:rPr>
              <w:t>。</w:t>
            </w:r>
          </w:p>
          <w:p>
            <w:pPr>
              <w:pStyle w:val="yt"/>
              <w:ind w:firstLine="0"/>
              <w:rPr>
                <w:b/>
                <w:bCs/>
              </w:rPr>
            </w:pPr>
            <w:r>
              <w:rPr>
                <w:rFonts w:hint="eastAsia"/>
                <w:b/>
                <w:bCs/>
                <w:lang w:val="en-US" w:eastAsia="zh-CN"/>
              </w:rPr>
              <w:t>7</w:t>
            </w:r>
            <w:r>
              <w:rPr>
                <w:b/>
                <w:bCs/>
              </w:rPr>
              <w:t>、公用工程</w:t>
            </w:r>
          </w:p>
          <w:p>
            <w:pPr>
              <w:pStyle w:val="yt"/>
              <w:ind w:firstLine="0"/>
            </w:pPr>
            <w:r>
              <w:t>（1）给水</w:t>
            </w:r>
          </w:p>
          <w:p>
            <w:pPr>
              <w:pStyle w:val="yt"/>
              <w:ind w:firstLine="0"/>
              <w:rPr>
                <w:rFonts w:hint="eastAsia"/>
                <w:lang w:val="en-US" w:eastAsia="zh-CN"/>
              </w:rPr>
            </w:pPr>
            <w:r>
              <w:rPr>
                <w:rFonts w:hint="eastAsia"/>
              </w:rPr>
              <w:t>本项目不新增员工，</w:t>
            </w:r>
            <w:r>
              <w:rPr>
                <w:rFonts w:hint="eastAsia"/>
                <w:lang w:val="en-US" w:eastAsia="zh-CN"/>
              </w:rPr>
              <w:t>即不新增</w:t>
            </w:r>
            <w:r>
              <w:rPr>
                <w:rFonts w:hint="eastAsia"/>
              </w:rPr>
              <w:t>生活用水</w:t>
            </w:r>
            <w:r>
              <w:rPr>
                <w:rFonts w:hint="eastAsia"/>
                <w:lang w:eastAsia="zh-CN"/>
              </w:rPr>
              <w:t>；本项目用水主要为实验室用水，包括纯水</w:t>
            </w:r>
            <w:r>
              <w:rPr>
                <w:rFonts w:hint="eastAsia"/>
                <w:lang w:val="en-US" w:eastAsia="zh-CN"/>
              </w:rPr>
              <w:t>制备</w:t>
            </w:r>
            <w:r>
              <w:rPr>
                <w:rFonts w:hint="eastAsia"/>
                <w:lang w:eastAsia="zh-CN"/>
              </w:rPr>
              <w:t>用水、实验</w:t>
            </w:r>
            <w:r>
              <w:rPr>
                <w:rFonts w:hint="eastAsia"/>
                <w:lang w:val="en-US" w:eastAsia="zh-CN"/>
              </w:rPr>
              <w:t>检测</w:t>
            </w:r>
            <w:r>
              <w:rPr>
                <w:rFonts w:hint="eastAsia"/>
                <w:lang w:eastAsia="zh-CN"/>
              </w:rPr>
              <w:t>用水（</w:t>
            </w:r>
            <w:r>
              <w:rPr>
                <w:rFonts w:hint="eastAsia"/>
                <w:lang w:val="en-US" w:eastAsia="zh-CN"/>
              </w:rPr>
              <w:t>依托现有超纯水仪制备</w:t>
            </w:r>
            <w:r>
              <w:rPr>
                <w:rFonts w:hint="eastAsia"/>
                <w:lang w:eastAsia="zh-CN"/>
              </w:rPr>
              <w:t>）</w:t>
            </w:r>
            <w:r>
              <w:rPr>
                <w:rFonts w:hint="eastAsia"/>
                <w:lang w:val="en-US" w:eastAsia="zh-CN"/>
              </w:rPr>
              <w:t>、</w:t>
            </w:r>
            <w:r>
              <w:rPr>
                <w:rFonts w:hint="eastAsia"/>
                <w:lang w:eastAsia="zh-CN"/>
              </w:rPr>
              <w:t>仪器清洗用水</w:t>
            </w:r>
            <w:r>
              <w:rPr>
                <w:rFonts w:hint="eastAsia"/>
                <w:lang w:val="en-US" w:eastAsia="zh-CN"/>
              </w:rPr>
              <w:t>及碱液喷淋用水。</w:t>
            </w:r>
          </w:p>
          <w:p>
            <w:pPr>
              <w:pStyle w:val="CH1"/>
              <w:bidi w:val="0"/>
              <w:rPr>
                <w:rFonts w:hint="eastAsia"/>
                <w:lang w:val="en-US" w:eastAsia="zh-CN"/>
              </w:rPr>
            </w:pPr>
            <w:r>
              <w:rPr>
                <w:rFonts w:hint="eastAsia"/>
                <w:lang w:val="en-US" w:eastAsia="zh-CN"/>
              </w:rPr>
              <w:t>①实验检测用水</w:t>
            </w:r>
          </w:p>
        </w:tc>
      </w:tr>
    </w:tbl>
    <w:p>
      <w:pPr>
        <w:sectPr>
          <w:footerReference w:type="default" r:id="rId27"/>
          <w:type w:val="nextPage"/>
          <w:pgSz w:w="11906" w:h="16838"/>
          <w:pgMar w:top="1134" w:right="1134" w:bottom="1134" w:left="1417" w:header="851" w:footer="850" w:gutter="0"/>
          <w:pgBorders>
            <w:top w:val="none" w:sz="0" w:space="0" w:color="auto"/>
            <w:left w:val="none" w:sz="0" w:space="0" w:color="auto"/>
            <w:bottom w:val="none" w:sz="0" w:space="0" w:color="auto"/>
            <w:right w:val="none" w:sz="0" w:space="0" w:color="auto"/>
          </w:pgBorders>
          <w:pgNumType w:start="20"/>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87"/>
        <w:gridCol w:w="9184"/>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883"/>
          <w:jc w:val="center"/>
        </w:trPr>
        <w:tc>
          <w:tcPr>
            <w:tcW w:w="318" w:type="pct"/>
            <w:noWrap w:val="0"/>
            <w:vAlign w:val="center"/>
          </w:tcPr>
          <w:p/>
        </w:tc>
        <w:tc>
          <w:tcPr>
            <w:tcW w:w="4681" w:type="pct"/>
            <w:noWrap w:val="0"/>
            <w:vAlign w:val="center"/>
          </w:tcPr>
          <w:p>
            <w:pPr>
              <w:pStyle w:val="CH1"/>
              <w:bidi w:val="0"/>
              <w:rPr>
                <w:rFonts w:hint="eastAsia"/>
                <w:lang w:val="en-US" w:eastAsia="zh-CN"/>
              </w:rPr>
            </w:pPr>
            <w:r>
              <w:rPr>
                <w:rFonts w:hint="eastAsia"/>
                <w:lang w:val="en-US" w:eastAsia="zh-CN"/>
              </w:rPr>
              <w:t>根据建设单位提供资料，项目扩建实验室设计年检测3000个土壤、固废样品，单个样品检测药剂用量约100ml，药剂配置纯水用量约0.24t/a，由现有工程超纯水仪制备；</w:t>
            </w:r>
          </w:p>
          <w:p>
            <w:pPr>
              <w:pStyle w:val="CH1"/>
              <w:bidi w:val="0"/>
              <w:rPr>
                <w:rFonts w:hint="eastAsia"/>
                <w:lang w:val="en-US" w:eastAsia="zh-CN"/>
              </w:rPr>
            </w:pPr>
            <w:r>
              <w:rPr>
                <w:rFonts w:ascii="宋体" w:eastAsia="宋体" w:hAnsi="宋体" w:cs="宋体" w:hint="eastAsia"/>
                <w:lang w:val="en-US" w:eastAsia="zh-CN"/>
              </w:rPr>
              <w:t>②</w:t>
            </w:r>
            <w:r>
              <w:rPr>
                <w:rFonts w:hint="eastAsia"/>
                <w:lang w:val="en-US" w:eastAsia="zh-CN"/>
              </w:rPr>
              <w:t>仪器清洗用水</w:t>
            </w:r>
          </w:p>
          <w:p>
            <w:pPr>
              <w:pStyle w:val="CH1"/>
              <w:bidi w:val="0"/>
              <w:rPr>
                <w:rFonts w:hint="eastAsia"/>
                <w:lang w:val="en-US" w:eastAsia="zh-CN"/>
              </w:rPr>
            </w:pPr>
            <w:r>
              <w:rPr>
                <w:rFonts w:hint="eastAsia"/>
                <w:lang w:val="en-US" w:eastAsia="zh-CN"/>
              </w:rPr>
              <w:t>根据建设单位现有项目运行经验，样品检测后仪器第一次清洗使用自来水，用量约10ml/个样（0.03t/a，作为危废处置），后续仪器清洗自来水用水量约100ml/个样（0.3t/a，进入下水道），纯水冲洗20ml/个样（0.06t/a，进入下水道）；即项目仪器清洗用水中自来水用量为0.33t/a，纯水用量为0.06t/a；</w:t>
            </w:r>
          </w:p>
          <w:p>
            <w:pPr>
              <w:pStyle w:val="CH1"/>
              <w:bidi w:val="0"/>
              <w:rPr>
                <w:rFonts w:ascii="宋体" w:hAnsi="宋体" w:cs="宋体" w:hint="eastAsia"/>
                <w:lang w:val="en-US" w:eastAsia="zh-CN"/>
              </w:rPr>
            </w:pPr>
            <w:r>
              <w:rPr>
                <w:rFonts w:ascii="宋体" w:eastAsia="宋体" w:hAnsi="宋体" w:cs="宋体" w:hint="eastAsia"/>
                <w:lang w:val="en-US" w:eastAsia="zh-CN"/>
              </w:rPr>
              <w:t>③纯水制备用水</w:t>
            </w:r>
          </w:p>
          <w:p>
            <w:pPr>
              <w:pStyle w:val="CH1"/>
              <w:bidi w:val="0"/>
              <w:rPr>
                <w:rFonts w:hint="eastAsia"/>
                <w:lang w:val="en-US" w:eastAsia="zh-CN"/>
              </w:rPr>
            </w:pPr>
            <w:r>
              <w:rPr>
                <w:rFonts w:ascii="宋体" w:eastAsia="宋体" w:hAnsi="宋体" w:cs="宋体" w:hint="eastAsia"/>
                <w:lang w:val="en-US" w:eastAsia="zh-CN"/>
              </w:rPr>
              <w:t>根据上述分析，项目新增纯水用量</w:t>
            </w:r>
            <w:r>
              <w:rPr>
                <w:rFonts w:ascii="Times New Roman" w:eastAsia="宋体" w:hAnsi="Times New Roman" w:cs="Times New Roman" w:hint="eastAsia"/>
                <w:lang w:val="en-US" w:eastAsia="zh-CN"/>
              </w:rPr>
              <w:t>约0.3t/a，现有</w:t>
            </w:r>
            <w:r>
              <w:rPr>
                <w:rFonts w:hint="eastAsia"/>
                <w:lang w:val="en-US" w:eastAsia="zh-CN"/>
              </w:rPr>
              <w:t>超纯水仪纯水制备效率70%，即纯水制备新增用水约0.429t/a。</w:t>
            </w:r>
          </w:p>
          <w:p>
            <w:pPr>
              <w:pStyle w:val="CH1"/>
              <w:bidi w:val="0"/>
              <w:rPr>
                <w:rFonts w:hint="eastAsia"/>
                <w:lang w:val="en-US" w:eastAsia="zh-CN"/>
              </w:rPr>
            </w:pPr>
            <w:r>
              <w:rPr>
                <w:rFonts w:ascii="宋体" w:eastAsia="宋体" w:hAnsi="宋体" w:cs="宋体" w:hint="eastAsia"/>
                <w:lang w:val="en-US" w:eastAsia="zh-CN"/>
              </w:rPr>
              <w:t>④</w:t>
            </w:r>
            <w:r>
              <w:rPr>
                <w:rFonts w:hint="eastAsia"/>
                <w:lang w:val="en-US" w:eastAsia="zh-CN"/>
              </w:rPr>
              <w:t>碱液喷淋用水</w:t>
            </w:r>
          </w:p>
          <w:p>
            <w:pPr>
              <w:pStyle w:val="CH1"/>
              <w:bidi w:val="0"/>
              <w:rPr>
                <w:rFonts w:hint="default"/>
                <w:lang w:val="en-US" w:eastAsia="zh-CN"/>
              </w:rPr>
            </w:pPr>
            <w:r>
              <w:rPr>
                <w:rFonts w:hint="eastAsia"/>
                <w:lang w:val="en-US" w:eastAsia="zh-CN"/>
              </w:rPr>
              <w:t>项目酸性废气采用碱液喷淋装置处理，碱喷淋装置设有循环药箱（储存碱液，</w:t>
            </w:r>
            <w:r>
              <w:rPr>
                <w:lang w:val="en-US" w:eastAsia="zh-CN"/>
              </w:rPr>
              <w:t>pH范围为</w:t>
            </w:r>
            <w:r>
              <w:rPr>
                <w:rFonts w:hint="eastAsia"/>
                <w:lang w:val="en-US" w:eastAsia="zh-CN"/>
              </w:rPr>
              <w:t>9.5～10.0），碱液在喷淋装置及循环药箱中循环过程中吸收酸洗废气进入碱液。本项目循环药箱体积为1m³，碱液需要定期更换，每月更换一次，则该部分用水量约为12m³/a。</w:t>
            </w:r>
          </w:p>
          <w:p>
            <w:pPr>
              <w:pStyle w:val="yt"/>
              <w:ind w:firstLine="480"/>
              <w:rPr>
                <w:rFonts w:hint="eastAsia"/>
                <w:lang w:val="en-US" w:eastAsia="zh-CN"/>
              </w:rPr>
            </w:pPr>
            <w:r>
              <w:t>（2）排水</w:t>
            </w:r>
          </w:p>
          <w:p>
            <w:pPr>
              <w:pStyle w:val="yt"/>
              <w:ind w:firstLine="480"/>
              <w:rPr>
                <w:rFonts w:hint="eastAsia"/>
              </w:rPr>
            </w:pPr>
            <w:r>
              <w:rPr>
                <w:rFonts w:hint="eastAsia"/>
              </w:rPr>
              <w:t>本项目无新增人员，不新增生活污水</w:t>
            </w:r>
            <w:r>
              <w:rPr>
                <w:rFonts w:hint="eastAsia"/>
                <w:lang w:eastAsia="zh-CN"/>
              </w:rPr>
              <w:t>；</w:t>
            </w:r>
            <w:r>
              <w:rPr>
                <w:rFonts w:hint="eastAsia"/>
                <w:lang w:val="en-US" w:eastAsia="zh-CN"/>
              </w:rPr>
              <w:t>项目排水为实验室废水，包括有实验检测废液（作为危废处置，不外排）、仪器清洗废水、碱喷淋装置废水及纯水制备产生的浓水，碱喷淋废水经中和处理后与实验室废水</w:t>
            </w:r>
            <w:r>
              <w:rPr>
                <w:rFonts w:hint="eastAsia"/>
                <w:lang w:eastAsia="zh-CN"/>
              </w:rPr>
              <w:t>经化粪池预处理后排入城市污水管网，</w:t>
            </w:r>
            <w:r>
              <w:rPr>
                <w:rFonts w:hint="eastAsia"/>
                <w:lang w:val="en-US" w:eastAsia="zh-CN"/>
              </w:rPr>
              <w:t>再由</w:t>
            </w:r>
            <w:r>
              <w:rPr>
                <w:rFonts w:hint="eastAsia"/>
                <w:lang w:eastAsia="zh-CN"/>
              </w:rPr>
              <w:t>青山湖污水处理厂处理</w:t>
            </w:r>
            <w:r>
              <w:rPr>
                <w:rFonts w:hint="eastAsia"/>
                <w:lang w:val="en-US" w:eastAsia="zh-CN"/>
              </w:rPr>
              <w:t>达标后排入赣江南支</w:t>
            </w:r>
            <w:r>
              <w:rPr>
                <w:rFonts w:hint="eastAsia"/>
              </w:rPr>
              <w:t>。</w:t>
            </w:r>
          </w:p>
          <w:p>
            <w:pPr>
              <w:pStyle w:val="CH1"/>
              <w:bidi w:val="0"/>
              <w:rPr>
                <w:rFonts w:hint="eastAsia"/>
                <w:lang w:val="en-US" w:eastAsia="zh-CN"/>
              </w:rPr>
            </w:pPr>
            <w:r>
              <w:rPr>
                <w:rFonts w:hint="eastAsia"/>
              </w:rPr>
              <w:t>①</w:t>
            </w:r>
            <w:r>
              <w:rPr>
                <w:rFonts w:hint="eastAsia"/>
                <w:lang w:val="en-US" w:eastAsia="zh-CN"/>
              </w:rPr>
              <w:t>实验检测废液：项目土壤及固废样品检测过程试剂配制用水最后全部进入检测样品，作危废处置（0.24t/a）；</w:t>
            </w:r>
          </w:p>
          <w:p>
            <w:pPr>
              <w:pStyle w:val="CH1"/>
              <w:bidi w:val="0"/>
              <w:rPr>
                <w:rFonts w:hint="eastAsia"/>
                <w:lang w:val="en-US" w:eastAsia="zh-CN"/>
              </w:rPr>
            </w:pPr>
            <w:r>
              <w:rPr>
                <w:rFonts w:ascii="宋体" w:eastAsia="宋体" w:hAnsi="宋体" w:cs="宋体" w:hint="eastAsia"/>
                <w:lang w:val="en-US" w:eastAsia="zh-CN"/>
              </w:rPr>
              <w:t>②</w:t>
            </w:r>
            <w:r>
              <w:rPr>
                <w:rFonts w:hint="eastAsia"/>
                <w:lang w:val="en-US" w:eastAsia="zh-CN"/>
              </w:rPr>
              <w:t>仪器清洗废水：仪器第一次清洗使用自来水，用量约10ml/个样（0.03t/a，作为危废处置），后续仪器清洗自来水用水量约100ml/个样（0.3t/a，进入下水道），纯水冲洗20ml/个样（0.06t/a，进入下水道）；</w:t>
            </w:r>
          </w:p>
          <w:p>
            <w:pPr>
              <w:pStyle w:val="CH1"/>
              <w:bidi w:val="0"/>
              <w:rPr>
                <w:rFonts w:hint="eastAsia"/>
                <w:lang w:val="en-US" w:eastAsia="zh-CN"/>
              </w:rPr>
            </w:pPr>
            <w:r>
              <w:rPr>
                <w:rFonts w:ascii="宋体" w:eastAsia="宋体" w:hAnsi="宋体" w:cs="宋体" w:hint="eastAsia"/>
                <w:lang w:val="en-US" w:eastAsia="zh-CN"/>
              </w:rPr>
              <w:t>③</w:t>
            </w:r>
            <w:r>
              <w:rPr>
                <w:rFonts w:hint="eastAsia"/>
                <w:lang w:val="en-US" w:eastAsia="zh-CN"/>
              </w:rPr>
              <w:t>纯水制备浓水：纯水制备新增用水约0.429t/a，超纯水仪纯水制备效率70%，即浓水产生量约0.129t/a；</w:t>
            </w:r>
          </w:p>
          <w:p>
            <w:pPr>
              <w:pStyle w:val="CH1"/>
              <w:bidi w:val="0"/>
              <w:rPr>
                <w:rFonts w:hint="default"/>
                <w:lang w:val="en-US" w:eastAsia="zh-CN"/>
              </w:rPr>
            </w:pPr>
            <w:r>
              <w:rPr>
                <w:rFonts w:ascii="宋体" w:eastAsia="宋体" w:hAnsi="宋体" w:cs="宋体" w:hint="eastAsia"/>
                <w:lang w:val="en-US" w:eastAsia="zh-CN"/>
              </w:rPr>
              <w:t>④碱液喷淋装置废水：</w:t>
            </w:r>
            <w:r>
              <w:rPr>
                <w:rFonts w:hint="eastAsia"/>
                <w:lang w:val="en-US" w:eastAsia="zh-CN"/>
              </w:rPr>
              <w:t>项目酸性废气采用碱液喷淋装置（碱液</w:t>
            </w:r>
            <w:r>
              <w:rPr>
                <w:lang w:val="en-US" w:eastAsia="zh-CN"/>
              </w:rPr>
              <w:t>pH范围为</w:t>
            </w:r>
            <w:r>
              <w:rPr>
                <w:rFonts w:hint="eastAsia"/>
                <w:lang w:val="en-US" w:eastAsia="zh-CN"/>
              </w:rPr>
              <w:t>9.5～10.0）处理，碱喷淋装置循环药箱体积为1m</w:t>
            </w:r>
            <w:r>
              <w:rPr>
                <w:rFonts w:hint="eastAsia"/>
                <w:vertAlign w:val="superscript"/>
                <w:lang w:val="en-US" w:eastAsia="zh-CN"/>
              </w:rPr>
              <w:t>3</w:t>
            </w:r>
            <w:r>
              <w:rPr>
                <w:rFonts w:hint="eastAsia"/>
                <w:lang w:val="en-US" w:eastAsia="zh-CN"/>
              </w:rPr>
              <w:t>，碱液需要定期更换，每月更换一次，更换时进行中和处理，经中和处理后可排入下水道，产生废水量约为12m</w:t>
            </w:r>
            <w:r>
              <w:rPr>
                <w:rFonts w:hint="eastAsia"/>
                <w:vertAlign w:val="superscript"/>
                <w:lang w:val="en-US" w:eastAsia="zh-CN"/>
              </w:rPr>
              <w:t>3</w:t>
            </w:r>
            <w:r>
              <w:rPr>
                <w:rFonts w:hint="eastAsia"/>
                <w:lang w:val="en-US" w:eastAsia="zh-CN"/>
              </w:rPr>
              <w:t>/a。</w:t>
            </w:r>
          </w:p>
          <w:p>
            <w:pPr>
              <w:numPr>
                <w:ilvl w:val="3"/>
                <w:numId w:val="10"/>
              </w:numPr>
              <w:tabs>
                <w:tab w:val="left" w:pos="283"/>
              </w:tabs>
              <w:jc w:val="center"/>
              <w:rPr>
                <w:b/>
                <w:szCs w:val="21"/>
              </w:rPr>
            </w:pPr>
            <w:bookmarkStart w:id="24" w:name="_Ref6414"/>
            <w:r>
              <w:rPr>
                <w:rFonts w:hint="eastAsia"/>
                <w:b/>
                <w:szCs w:val="21"/>
                <w:lang w:val="en-US" w:eastAsia="zh-CN"/>
              </w:rPr>
              <w:t>本</w:t>
            </w:r>
            <w:r>
              <w:rPr>
                <w:b/>
                <w:szCs w:val="21"/>
              </w:rPr>
              <w:t>项目</w:t>
            </w:r>
            <w:bookmarkEnd w:id="24"/>
            <w:r>
              <w:rPr>
                <w:rFonts w:hint="eastAsia"/>
                <w:b/>
                <w:szCs w:val="21"/>
                <w:lang w:val="en-US" w:eastAsia="zh-CN"/>
              </w:rPr>
              <w:t>水平衡一览表</w:t>
            </w:r>
          </w:p>
        </w:tc>
      </w:tr>
    </w:tbl>
    <w:p>
      <w:pPr>
        <w:sectPr>
          <w:footerReference w:type="default" r:id="rId28"/>
          <w:type w:val="nextPage"/>
          <w:pgSz w:w="11906" w:h="16838"/>
          <w:pgMar w:top="1134" w:right="1134" w:bottom="1134" w:left="1417" w:header="851" w:footer="850" w:gutter="0"/>
          <w:pgBorders>
            <w:top w:val="none" w:sz="0" w:space="0" w:color="auto"/>
            <w:left w:val="none" w:sz="0" w:space="0" w:color="auto"/>
            <w:bottom w:val="none" w:sz="0" w:space="0" w:color="auto"/>
            <w:right w:val="none" w:sz="0" w:space="0" w:color="auto"/>
          </w:pgBorders>
          <w:pgNumType w:start="21"/>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87"/>
        <w:gridCol w:w="9184"/>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883"/>
          <w:jc w:val="center"/>
        </w:trPr>
        <w:tc>
          <w:tcPr>
            <w:tcW w:w="318" w:type="pct"/>
            <w:noWrap w:val="0"/>
            <w:vAlign w:val="center"/>
          </w:tcPr>
          <w:p/>
        </w:tc>
        <w:tc>
          <w:tcPr>
            <w:tcW w:w="4681" w:type="pct"/>
            <w:noWrap w:val="0"/>
            <w:vAlign w:val="center"/>
          </w:tcPr>
          <w:tbl>
            <w:tblPr>
              <w:tblStyle w:val="TableNormal"/>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784"/>
              <w:gridCol w:w="1304"/>
              <w:gridCol w:w="1306"/>
              <w:gridCol w:w="1047"/>
              <w:gridCol w:w="787"/>
              <w:gridCol w:w="787"/>
              <w:gridCol w:w="787"/>
              <w:gridCol w:w="848"/>
              <w:gridCol w:w="1313"/>
            </w:tblGrid>
            <w:tr>
              <w:tblPrEx>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437" w:type="pct"/>
                  <w:vMerge w:val="restart"/>
                  <w:noWrap w:val="0"/>
                  <w:vAlign w:val="center"/>
                </w:tcPr>
                <w:p>
                  <w:pPr>
                    <w:spacing w:line="240" w:lineRule="atLeast"/>
                    <w:jc w:val="center"/>
                    <w:rPr>
                      <w:b/>
                      <w:bCs/>
                      <w:szCs w:val="21"/>
                    </w:rPr>
                  </w:pPr>
                  <w:r>
                    <w:rPr>
                      <w:b/>
                      <w:bCs/>
                      <w:szCs w:val="21"/>
                    </w:rPr>
                    <w:t>序号</w:t>
                  </w:r>
                </w:p>
              </w:tc>
              <w:tc>
                <w:tcPr>
                  <w:tcW w:w="1455" w:type="pct"/>
                  <w:gridSpan w:val="2"/>
                  <w:noWrap w:val="0"/>
                  <w:vAlign w:val="center"/>
                </w:tcPr>
                <w:p>
                  <w:pPr>
                    <w:spacing w:line="240" w:lineRule="atLeast"/>
                    <w:jc w:val="center"/>
                    <w:rPr>
                      <w:b/>
                      <w:bCs/>
                      <w:szCs w:val="21"/>
                    </w:rPr>
                  </w:pPr>
                  <w:r>
                    <w:rPr>
                      <w:b/>
                      <w:bCs/>
                      <w:szCs w:val="21"/>
                    </w:rPr>
                    <w:t>节点</w:t>
                  </w:r>
                </w:p>
              </w:tc>
              <w:tc>
                <w:tcPr>
                  <w:tcW w:w="1023" w:type="pct"/>
                  <w:gridSpan w:val="2"/>
                  <w:noWrap w:val="0"/>
                  <w:vAlign w:val="center"/>
                </w:tcPr>
                <w:p>
                  <w:pPr>
                    <w:spacing w:line="240" w:lineRule="atLeast"/>
                    <w:jc w:val="center"/>
                    <w:rPr>
                      <w:b/>
                      <w:bCs/>
                      <w:szCs w:val="21"/>
                    </w:rPr>
                  </w:pPr>
                  <w:r>
                    <w:rPr>
                      <w:b/>
                      <w:bCs/>
                      <w:szCs w:val="21"/>
                    </w:rPr>
                    <w:t>投入m</w:t>
                  </w:r>
                  <w:r>
                    <w:rPr>
                      <w:b/>
                      <w:bCs/>
                      <w:szCs w:val="21"/>
                      <w:vertAlign w:val="superscript"/>
                    </w:rPr>
                    <w:t>3</w:t>
                  </w:r>
                  <w:r>
                    <w:rPr>
                      <w:b/>
                      <w:bCs/>
                      <w:szCs w:val="21"/>
                    </w:rPr>
                    <w:t>/a</w:t>
                  </w:r>
                </w:p>
              </w:tc>
              <w:tc>
                <w:tcPr>
                  <w:tcW w:w="2083" w:type="pct"/>
                  <w:gridSpan w:val="4"/>
                  <w:noWrap w:val="0"/>
                  <w:vAlign w:val="center"/>
                </w:tcPr>
                <w:p>
                  <w:pPr>
                    <w:spacing w:line="240" w:lineRule="atLeast"/>
                    <w:jc w:val="center"/>
                    <w:rPr>
                      <w:b/>
                      <w:bCs/>
                      <w:szCs w:val="21"/>
                    </w:rPr>
                  </w:pPr>
                  <w:r>
                    <w:rPr>
                      <w:b/>
                      <w:bCs/>
                      <w:szCs w:val="21"/>
                    </w:rPr>
                    <w:t>产出m</w:t>
                  </w:r>
                  <w:r>
                    <w:rPr>
                      <w:b/>
                      <w:bCs/>
                      <w:szCs w:val="21"/>
                      <w:vertAlign w:val="superscript"/>
                    </w:rPr>
                    <w:t>3</w:t>
                  </w:r>
                  <w:r>
                    <w:rPr>
                      <w:b/>
                      <w:bCs/>
                      <w:szCs w:val="21"/>
                    </w:rPr>
                    <w:t>/a</w:t>
                  </w:r>
                </w:p>
              </w:tc>
            </w:tr>
            <w:tr>
              <w:tblPrEx>
                <w:tblW w:w="4997" w:type="pct"/>
                <w:jc w:val="center"/>
                <w:tblCellMar>
                  <w:top w:w="0" w:type="dxa"/>
                  <w:left w:w="108" w:type="dxa"/>
                  <w:bottom w:w="0" w:type="dxa"/>
                  <w:right w:w="108" w:type="dxa"/>
                </w:tblCellMar>
              </w:tblPrEx>
              <w:trPr>
                <w:trHeight w:val="340"/>
                <w:jc w:val="center"/>
              </w:trPr>
              <w:tc>
                <w:tcPr>
                  <w:tcW w:w="437" w:type="pct"/>
                  <w:vMerge/>
                  <w:noWrap w:val="0"/>
                  <w:vAlign w:val="center"/>
                </w:tcPr>
                <w:p>
                  <w:pPr>
                    <w:spacing w:line="240" w:lineRule="atLeast"/>
                    <w:jc w:val="center"/>
                    <w:rPr>
                      <w:b/>
                      <w:bCs/>
                      <w:szCs w:val="21"/>
                    </w:rPr>
                  </w:pPr>
                </w:p>
              </w:tc>
              <w:tc>
                <w:tcPr>
                  <w:tcW w:w="1455" w:type="pct"/>
                  <w:gridSpan w:val="2"/>
                  <w:noWrap w:val="0"/>
                  <w:vAlign w:val="center"/>
                </w:tcPr>
                <w:p>
                  <w:pPr>
                    <w:spacing w:line="240" w:lineRule="atLeast"/>
                    <w:jc w:val="center"/>
                    <w:rPr>
                      <w:b/>
                      <w:bCs/>
                      <w:szCs w:val="21"/>
                    </w:rPr>
                  </w:pPr>
                  <w:r>
                    <w:rPr>
                      <w:b/>
                      <w:bCs/>
                      <w:szCs w:val="21"/>
                    </w:rPr>
                    <w:t>类别</w:t>
                  </w:r>
                </w:p>
              </w:tc>
              <w:tc>
                <w:tcPr>
                  <w:tcW w:w="584" w:type="pct"/>
                  <w:noWrap w:val="0"/>
                  <w:vAlign w:val="center"/>
                </w:tcPr>
                <w:p>
                  <w:pPr>
                    <w:spacing w:line="240" w:lineRule="atLeast"/>
                    <w:jc w:val="center"/>
                    <w:rPr>
                      <w:b/>
                      <w:bCs/>
                      <w:szCs w:val="21"/>
                    </w:rPr>
                  </w:pPr>
                  <w:r>
                    <w:rPr>
                      <w:b/>
                      <w:bCs/>
                      <w:szCs w:val="21"/>
                    </w:rPr>
                    <w:t>新鲜水</w:t>
                  </w:r>
                </w:p>
              </w:tc>
              <w:tc>
                <w:tcPr>
                  <w:tcW w:w="439" w:type="pct"/>
                  <w:noWrap w:val="0"/>
                  <w:vAlign w:val="center"/>
                </w:tcPr>
                <w:p>
                  <w:pPr>
                    <w:spacing w:line="240" w:lineRule="atLeast"/>
                    <w:jc w:val="center"/>
                    <w:rPr>
                      <w:rFonts w:hint="default"/>
                      <w:b/>
                      <w:bCs/>
                      <w:szCs w:val="21"/>
                    </w:rPr>
                  </w:pPr>
                  <w:r>
                    <w:rPr>
                      <w:rFonts w:hint="eastAsia"/>
                      <w:b/>
                      <w:bCs/>
                      <w:szCs w:val="21"/>
                      <w:lang w:val="en-US" w:eastAsia="zh-CN"/>
                    </w:rPr>
                    <w:t>纯水</w:t>
                  </w:r>
                </w:p>
              </w:tc>
              <w:tc>
                <w:tcPr>
                  <w:tcW w:w="439" w:type="pct"/>
                  <w:noWrap w:val="0"/>
                  <w:vAlign w:val="center"/>
                </w:tcPr>
                <w:p>
                  <w:pPr>
                    <w:spacing w:line="240" w:lineRule="atLeast"/>
                    <w:jc w:val="center"/>
                    <w:rPr>
                      <w:b/>
                      <w:bCs/>
                      <w:szCs w:val="21"/>
                    </w:rPr>
                  </w:pPr>
                  <w:r>
                    <w:rPr>
                      <w:b/>
                      <w:bCs/>
                      <w:szCs w:val="21"/>
                    </w:rPr>
                    <w:t>损耗</w:t>
                  </w:r>
                </w:p>
              </w:tc>
              <w:tc>
                <w:tcPr>
                  <w:tcW w:w="439" w:type="pct"/>
                  <w:noWrap w:val="0"/>
                  <w:vAlign w:val="center"/>
                </w:tcPr>
                <w:p>
                  <w:pPr>
                    <w:spacing w:line="240" w:lineRule="atLeast"/>
                    <w:jc w:val="center"/>
                    <w:rPr>
                      <w:rFonts w:hint="eastAsia"/>
                      <w:b/>
                      <w:bCs/>
                      <w:szCs w:val="21"/>
                    </w:rPr>
                  </w:pPr>
                  <w:r>
                    <w:rPr>
                      <w:rFonts w:hint="eastAsia"/>
                      <w:b/>
                      <w:bCs/>
                      <w:szCs w:val="21"/>
                      <w:lang w:val="en-US" w:eastAsia="zh-CN"/>
                    </w:rPr>
                    <w:t>纯水</w:t>
                  </w:r>
                </w:p>
              </w:tc>
              <w:tc>
                <w:tcPr>
                  <w:tcW w:w="473" w:type="pct"/>
                  <w:noWrap w:val="0"/>
                  <w:vAlign w:val="center"/>
                </w:tcPr>
                <w:p>
                  <w:pPr>
                    <w:spacing w:line="240" w:lineRule="atLeast"/>
                    <w:jc w:val="center"/>
                    <w:rPr>
                      <w:b/>
                      <w:bCs/>
                      <w:szCs w:val="21"/>
                    </w:rPr>
                  </w:pPr>
                  <w:r>
                    <w:rPr>
                      <w:b/>
                      <w:bCs/>
                      <w:szCs w:val="21"/>
                    </w:rPr>
                    <w:t>废水</w:t>
                  </w:r>
                </w:p>
              </w:tc>
              <w:tc>
                <w:tcPr>
                  <w:tcW w:w="731" w:type="pct"/>
                  <w:noWrap w:val="0"/>
                  <w:vAlign w:val="center"/>
                </w:tcPr>
                <w:p>
                  <w:pPr>
                    <w:spacing w:line="240" w:lineRule="atLeast"/>
                    <w:jc w:val="center"/>
                    <w:rPr>
                      <w:rFonts w:hint="default"/>
                      <w:b/>
                      <w:bCs/>
                      <w:szCs w:val="21"/>
                    </w:rPr>
                  </w:pPr>
                  <w:r>
                    <w:rPr>
                      <w:rFonts w:hint="eastAsia"/>
                      <w:b/>
                      <w:bCs/>
                      <w:szCs w:val="21"/>
                      <w:lang w:val="en-US" w:eastAsia="zh-CN"/>
                    </w:rPr>
                    <w:t>作为危废</w:t>
                  </w:r>
                </w:p>
              </w:tc>
            </w:tr>
            <w:tr>
              <w:tblPrEx>
                <w:tblW w:w="4997" w:type="pct"/>
                <w:jc w:val="center"/>
                <w:tblCellMar>
                  <w:top w:w="0" w:type="dxa"/>
                  <w:left w:w="108" w:type="dxa"/>
                  <w:bottom w:w="0" w:type="dxa"/>
                  <w:right w:w="108" w:type="dxa"/>
                </w:tblCellMar>
              </w:tblPrEx>
              <w:trPr>
                <w:trHeight w:val="340"/>
                <w:jc w:val="center"/>
              </w:trPr>
              <w:tc>
                <w:tcPr>
                  <w:tcW w:w="437" w:type="pct"/>
                  <w:noWrap w:val="0"/>
                  <w:vAlign w:val="center"/>
                </w:tcPr>
                <w:p>
                  <w:pPr>
                    <w:jc w:val="center"/>
                    <w:rPr>
                      <w:rFonts w:hint="eastAsia"/>
                      <w:szCs w:val="21"/>
                    </w:rPr>
                  </w:pPr>
                  <w:r>
                    <w:rPr>
                      <w:rFonts w:hint="eastAsia"/>
                      <w:szCs w:val="21"/>
                      <w:lang w:val="en-US" w:eastAsia="zh-CN"/>
                    </w:rPr>
                    <w:t>1</w:t>
                  </w:r>
                </w:p>
              </w:tc>
              <w:tc>
                <w:tcPr>
                  <w:tcW w:w="727" w:type="pct"/>
                  <w:vMerge w:val="restart"/>
                  <w:noWrap w:val="0"/>
                  <w:vAlign w:val="center"/>
                </w:tcPr>
                <w:p>
                  <w:pPr>
                    <w:pStyle w:val="yt3"/>
                    <w:ind w:firstLine="0" w:firstLineChars="0"/>
                    <w:rPr>
                      <w:rFonts w:ascii="Times New Roman" w:eastAsia="宋体" w:hAnsi="Times New Roman"/>
                      <w:kern w:val="2"/>
                      <w:lang w:val="en-US" w:eastAsia="zh-CN" w:bidi="ar-SA"/>
                    </w:rPr>
                  </w:pPr>
                  <w:r>
                    <w:t>生产用水</w:t>
                  </w:r>
                </w:p>
              </w:tc>
              <w:tc>
                <w:tcPr>
                  <w:tcW w:w="728" w:type="pct"/>
                  <w:noWrap w:val="0"/>
                  <w:vAlign w:val="center"/>
                </w:tcPr>
                <w:p>
                  <w:pPr>
                    <w:pStyle w:val="yt3"/>
                    <w:ind w:firstLine="0" w:firstLineChars="0"/>
                    <w:rPr>
                      <w:rFonts w:eastAsia="宋体" w:hint="default"/>
                      <w:lang w:val="en-US" w:eastAsia="zh-CN"/>
                    </w:rPr>
                  </w:pPr>
                  <w:r>
                    <w:rPr>
                      <w:rFonts w:hint="eastAsia"/>
                      <w:lang w:val="en-US" w:eastAsia="zh-CN"/>
                    </w:rPr>
                    <w:t>实验检测</w:t>
                  </w:r>
                </w:p>
              </w:tc>
              <w:tc>
                <w:tcPr>
                  <w:tcW w:w="584" w:type="pct"/>
                  <w:noWrap w:val="0"/>
                  <w:vAlign w:val="center"/>
                </w:tcPr>
                <w:p>
                  <w:pPr>
                    <w:pStyle w:val="yt3"/>
                    <w:ind w:firstLine="0" w:firstLineChars="0"/>
                    <w:rPr>
                      <w:rFonts w:ascii="Times New Roman" w:hAnsi="Times New Roman" w:hint="default"/>
                      <w:kern w:val="2"/>
                      <w:lang w:val="en-US" w:eastAsia="zh-CN" w:bidi="ar-SA"/>
                    </w:rPr>
                  </w:pPr>
                  <w:r>
                    <w:rPr>
                      <w:rFonts w:ascii="Times New Roman" w:hAnsi="Times New Roman" w:hint="eastAsia"/>
                      <w:kern w:val="2"/>
                      <w:sz w:val="21"/>
                      <w:szCs w:val="21"/>
                      <w:lang w:val="en-US" w:eastAsia="zh-CN" w:bidi="ar-SA"/>
                    </w:rPr>
                    <w:t>0</w:t>
                  </w:r>
                </w:p>
              </w:tc>
              <w:tc>
                <w:tcPr>
                  <w:tcW w:w="439" w:type="pct"/>
                  <w:noWrap w:val="0"/>
                  <w:vAlign w:val="center"/>
                </w:tcPr>
                <w:p>
                  <w:pPr>
                    <w:pStyle w:val="yt3"/>
                    <w:ind w:firstLine="0" w:firstLineChars="0"/>
                    <w:rPr>
                      <w:rFonts w:hint="default"/>
                      <w:lang w:val="en-US" w:eastAsia="zh-CN"/>
                    </w:rPr>
                  </w:pPr>
                  <w:r>
                    <w:rPr>
                      <w:rFonts w:hint="eastAsia"/>
                      <w:lang w:val="en-US" w:eastAsia="zh-CN"/>
                    </w:rPr>
                    <w:t>0.24</w:t>
                  </w:r>
                </w:p>
              </w:tc>
              <w:tc>
                <w:tcPr>
                  <w:tcW w:w="439" w:type="pct"/>
                  <w:noWrap w:val="0"/>
                  <w:vAlign w:val="center"/>
                </w:tcPr>
                <w:p>
                  <w:pPr>
                    <w:pStyle w:val="yt3"/>
                    <w:ind w:firstLine="0" w:firstLineChars="0"/>
                    <w:rPr>
                      <w:rFonts w:ascii="Times New Roman" w:hAnsi="Times New Roman" w:hint="default"/>
                      <w:kern w:val="2"/>
                      <w:lang w:val="en-US" w:eastAsia="zh-CN" w:bidi="ar-SA"/>
                    </w:rPr>
                  </w:pPr>
                  <w:r>
                    <w:rPr>
                      <w:rFonts w:ascii="Times New Roman" w:hAnsi="Times New Roman" w:hint="eastAsia"/>
                      <w:kern w:val="2"/>
                      <w:sz w:val="21"/>
                      <w:szCs w:val="21"/>
                      <w:lang w:val="en-US" w:eastAsia="zh-CN" w:bidi="ar-SA"/>
                    </w:rPr>
                    <w:t>0</w:t>
                  </w:r>
                </w:p>
              </w:tc>
              <w:tc>
                <w:tcPr>
                  <w:tcW w:w="439" w:type="pct"/>
                  <w:noWrap w:val="0"/>
                  <w:vAlign w:val="center"/>
                </w:tcPr>
                <w:p>
                  <w:pPr>
                    <w:pStyle w:val="yt3"/>
                    <w:ind w:firstLine="0" w:firstLineChars="0"/>
                    <w:rPr>
                      <w:rFonts w:hint="default"/>
                      <w:lang w:val="en-US" w:eastAsia="zh-CN"/>
                    </w:rPr>
                  </w:pPr>
                  <w:r>
                    <w:rPr>
                      <w:rFonts w:hint="eastAsia"/>
                      <w:lang w:val="en-US" w:eastAsia="zh-CN"/>
                    </w:rPr>
                    <w:t>0</w:t>
                  </w:r>
                </w:p>
              </w:tc>
              <w:tc>
                <w:tcPr>
                  <w:tcW w:w="473" w:type="pct"/>
                  <w:noWrap w:val="0"/>
                  <w:vAlign w:val="center"/>
                </w:tcPr>
                <w:p>
                  <w:pPr>
                    <w:pStyle w:val="yt3"/>
                    <w:ind w:firstLine="0" w:firstLineChars="0"/>
                    <w:rPr>
                      <w:rFonts w:ascii="Times New Roman" w:hAnsi="Times New Roman" w:hint="default"/>
                      <w:kern w:val="2"/>
                      <w:lang w:val="en-US" w:eastAsia="zh-CN" w:bidi="ar-SA"/>
                    </w:rPr>
                  </w:pPr>
                  <w:r>
                    <w:rPr>
                      <w:rFonts w:ascii="Times New Roman" w:hAnsi="Times New Roman" w:hint="eastAsia"/>
                      <w:kern w:val="2"/>
                      <w:sz w:val="21"/>
                      <w:szCs w:val="21"/>
                      <w:lang w:val="en-US" w:eastAsia="zh-CN" w:bidi="ar-SA"/>
                    </w:rPr>
                    <w:t>0</w:t>
                  </w:r>
                </w:p>
              </w:tc>
              <w:tc>
                <w:tcPr>
                  <w:tcW w:w="731" w:type="pct"/>
                  <w:noWrap w:val="0"/>
                  <w:vAlign w:val="center"/>
                </w:tcPr>
                <w:p>
                  <w:pPr>
                    <w:pStyle w:val="yt3"/>
                    <w:ind w:firstLine="0" w:firstLineChars="0"/>
                    <w:rPr>
                      <w:rFonts w:ascii="Times New Roman" w:hAnsi="Times New Roman" w:hint="default"/>
                      <w:kern w:val="2"/>
                      <w:lang w:val="en-US" w:eastAsia="zh-CN" w:bidi="ar-SA"/>
                    </w:rPr>
                  </w:pPr>
                  <w:r>
                    <w:rPr>
                      <w:rFonts w:ascii="Times New Roman" w:hAnsi="Times New Roman" w:hint="eastAsia"/>
                      <w:kern w:val="2"/>
                      <w:sz w:val="21"/>
                      <w:szCs w:val="21"/>
                      <w:lang w:val="en-US" w:eastAsia="zh-CN" w:bidi="ar-SA"/>
                    </w:rPr>
                    <w:t>0.24</w:t>
                  </w:r>
                </w:p>
              </w:tc>
            </w:tr>
            <w:tr>
              <w:tblPrEx>
                <w:tblW w:w="4997" w:type="pct"/>
                <w:jc w:val="center"/>
                <w:tblCellMar>
                  <w:top w:w="0" w:type="dxa"/>
                  <w:left w:w="108" w:type="dxa"/>
                  <w:bottom w:w="0" w:type="dxa"/>
                  <w:right w:w="108" w:type="dxa"/>
                </w:tblCellMar>
              </w:tblPrEx>
              <w:trPr>
                <w:trHeight w:val="340"/>
                <w:jc w:val="center"/>
              </w:trPr>
              <w:tc>
                <w:tcPr>
                  <w:tcW w:w="437" w:type="pct"/>
                  <w:noWrap w:val="0"/>
                  <w:vAlign w:val="center"/>
                </w:tcPr>
                <w:p>
                  <w:pPr>
                    <w:jc w:val="center"/>
                    <w:rPr>
                      <w:rFonts w:hint="eastAsia"/>
                      <w:szCs w:val="21"/>
                    </w:rPr>
                  </w:pPr>
                  <w:r>
                    <w:rPr>
                      <w:rFonts w:hint="eastAsia"/>
                      <w:szCs w:val="21"/>
                      <w:lang w:val="en-US" w:eastAsia="zh-CN"/>
                    </w:rPr>
                    <w:t>2</w:t>
                  </w:r>
                </w:p>
              </w:tc>
              <w:tc>
                <w:tcPr>
                  <w:tcW w:w="727" w:type="pct"/>
                  <w:vMerge/>
                  <w:noWrap w:val="0"/>
                  <w:vAlign w:val="center"/>
                </w:tcPr>
                <w:p>
                  <w:pPr>
                    <w:pStyle w:val="yt3"/>
                    <w:ind w:firstLine="0" w:firstLineChars="0"/>
                    <w:rPr>
                      <w:rFonts w:ascii="Times New Roman" w:eastAsia="宋体" w:hAnsi="Times New Roman"/>
                      <w:kern w:val="2"/>
                      <w:lang w:val="en-US" w:eastAsia="zh-CN" w:bidi="ar-SA"/>
                    </w:rPr>
                  </w:pPr>
                </w:p>
              </w:tc>
              <w:tc>
                <w:tcPr>
                  <w:tcW w:w="728" w:type="pct"/>
                  <w:noWrap w:val="0"/>
                  <w:vAlign w:val="center"/>
                </w:tcPr>
                <w:p>
                  <w:pPr>
                    <w:pStyle w:val="yt3"/>
                    <w:ind w:firstLine="0" w:firstLineChars="0"/>
                    <w:rPr>
                      <w:rFonts w:ascii="Times New Roman" w:eastAsia="宋体" w:hAnsi="Times New Roman" w:hint="eastAsia"/>
                      <w:kern w:val="2"/>
                      <w:lang w:val="en-US" w:eastAsia="zh-CN" w:bidi="ar-SA"/>
                    </w:rPr>
                  </w:pPr>
                  <w:r>
                    <w:rPr>
                      <w:rFonts w:hint="eastAsia"/>
                    </w:rPr>
                    <w:t>纯水制备</w:t>
                  </w:r>
                </w:p>
              </w:tc>
              <w:tc>
                <w:tcPr>
                  <w:tcW w:w="584" w:type="pct"/>
                  <w:noWrap w:val="0"/>
                  <w:vAlign w:val="center"/>
                </w:tcPr>
                <w:p>
                  <w:pPr>
                    <w:pStyle w:val="yt3"/>
                    <w:ind w:firstLine="0" w:firstLineChars="0"/>
                    <w:rPr>
                      <w:rFonts w:ascii="Times New Roman" w:eastAsia="宋体" w:hAnsi="Times New Roman" w:hint="default"/>
                      <w:kern w:val="2"/>
                      <w:lang w:val="en-US" w:eastAsia="zh-CN" w:bidi="ar-SA"/>
                    </w:rPr>
                  </w:pPr>
                  <w:r>
                    <w:rPr>
                      <w:rFonts w:ascii="Times New Roman" w:hAnsi="Times New Roman" w:hint="eastAsia"/>
                      <w:kern w:val="2"/>
                      <w:sz w:val="21"/>
                      <w:szCs w:val="21"/>
                      <w:lang w:val="en-US" w:eastAsia="zh-CN" w:bidi="ar-SA"/>
                    </w:rPr>
                    <w:t>0.429</w:t>
                  </w:r>
                </w:p>
              </w:tc>
              <w:tc>
                <w:tcPr>
                  <w:tcW w:w="439" w:type="pct"/>
                  <w:noWrap w:val="0"/>
                  <w:vAlign w:val="center"/>
                </w:tcPr>
                <w:p>
                  <w:pPr>
                    <w:pStyle w:val="yt3"/>
                    <w:ind w:firstLine="0" w:firstLineChars="0"/>
                    <w:rPr>
                      <w:rFonts w:eastAsia="宋体" w:hint="eastAsia"/>
                      <w:lang w:val="en-US" w:eastAsia="zh-CN"/>
                    </w:rPr>
                  </w:pPr>
                  <w:r>
                    <w:rPr>
                      <w:rFonts w:hint="eastAsia"/>
                      <w:lang w:val="en-US" w:eastAsia="zh-CN"/>
                    </w:rPr>
                    <w:t>0</w:t>
                  </w:r>
                </w:p>
              </w:tc>
              <w:tc>
                <w:tcPr>
                  <w:tcW w:w="439" w:type="pct"/>
                  <w:noWrap w:val="0"/>
                  <w:vAlign w:val="center"/>
                </w:tcPr>
                <w:p>
                  <w:pPr>
                    <w:pStyle w:val="yt3"/>
                    <w:ind w:firstLine="0" w:firstLineChars="0"/>
                    <w:rPr>
                      <w:rFonts w:ascii="Times New Roman" w:eastAsia="宋体" w:hAnsi="Times New Roman" w:hint="default"/>
                      <w:kern w:val="2"/>
                      <w:lang w:val="en-US" w:eastAsia="zh-CN" w:bidi="ar-SA"/>
                    </w:rPr>
                  </w:pPr>
                  <w:r>
                    <w:rPr>
                      <w:rFonts w:ascii="Times New Roman" w:hAnsi="Times New Roman" w:hint="eastAsia"/>
                      <w:kern w:val="2"/>
                      <w:sz w:val="21"/>
                      <w:szCs w:val="21"/>
                      <w:lang w:val="en-US" w:eastAsia="zh-CN" w:bidi="ar-SA"/>
                    </w:rPr>
                    <w:t>0</w:t>
                  </w:r>
                </w:p>
              </w:tc>
              <w:tc>
                <w:tcPr>
                  <w:tcW w:w="439" w:type="pct"/>
                  <w:noWrap w:val="0"/>
                  <w:vAlign w:val="center"/>
                </w:tcPr>
                <w:p>
                  <w:pPr>
                    <w:pStyle w:val="yt3"/>
                    <w:ind w:firstLine="0" w:firstLineChars="0"/>
                    <w:rPr>
                      <w:rFonts w:eastAsia="宋体" w:hint="default"/>
                      <w:lang w:val="en-US" w:eastAsia="zh-CN"/>
                    </w:rPr>
                  </w:pPr>
                  <w:r>
                    <w:rPr>
                      <w:rFonts w:hint="eastAsia"/>
                      <w:lang w:val="en-US" w:eastAsia="zh-CN"/>
                    </w:rPr>
                    <w:t>0.3</w:t>
                  </w:r>
                </w:p>
              </w:tc>
              <w:tc>
                <w:tcPr>
                  <w:tcW w:w="473" w:type="pct"/>
                  <w:noWrap w:val="0"/>
                  <w:vAlign w:val="center"/>
                </w:tcPr>
                <w:p>
                  <w:pPr>
                    <w:pStyle w:val="yt3"/>
                    <w:ind w:firstLine="0" w:firstLineChars="0"/>
                    <w:rPr>
                      <w:rFonts w:ascii="Times New Roman" w:eastAsia="宋体" w:hAnsi="Times New Roman" w:hint="default"/>
                      <w:kern w:val="2"/>
                      <w:lang w:val="en-US" w:eastAsia="zh-CN" w:bidi="ar-SA"/>
                    </w:rPr>
                  </w:pPr>
                  <w:r>
                    <w:rPr>
                      <w:rFonts w:ascii="Times New Roman" w:hAnsi="Times New Roman" w:hint="eastAsia"/>
                      <w:kern w:val="2"/>
                      <w:sz w:val="21"/>
                      <w:szCs w:val="21"/>
                      <w:lang w:val="en-US" w:eastAsia="zh-CN" w:bidi="ar-SA"/>
                    </w:rPr>
                    <w:t>0.129</w:t>
                  </w:r>
                </w:p>
              </w:tc>
              <w:tc>
                <w:tcPr>
                  <w:tcW w:w="731" w:type="pct"/>
                  <w:noWrap w:val="0"/>
                  <w:vAlign w:val="center"/>
                </w:tcPr>
                <w:p>
                  <w:pPr>
                    <w:pStyle w:val="yt3"/>
                    <w:ind w:firstLine="0" w:firstLineChars="0"/>
                    <w:rPr>
                      <w:rFonts w:ascii="Times New Roman" w:eastAsia="宋体" w:hAnsi="Times New Roman" w:hint="default"/>
                      <w:kern w:val="2"/>
                      <w:lang w:val="en-US" w:eastAsia="zh-CN" w:bidi="ar-SA"/>
                    </w:rPr>
                  </w:pPr>
                  <w:r>
                    <w:rPr>
                      <w:rFonts w:ascii="Times New Roman" w:hAnsi="Times New Roman" w:hint="eastAsia"/>
                      <w:kern w:val="2"/>
                      <w:sz w:val="21"/>
                      <w:szCs w:val="21"/>
                      <w:lang w:val="en-US" w:eastAsia="zh-CN" w:bidi="ar-SA"/>
                    </w:rPr>
                    <w:t>0</w:t>
                  </w:r>
                </w:p>
              </w:tc>
            </w:tr>
            <w:tr>
              <w:tblPrEx>
                <w:tblW w:w="4997" w:type="pct"/>
                <w:jc w:val="center"/>
                <w:tblCellMar>
                  <w:top w:w="0" w:type="dxa"/>
                  <w:left w:w="108" w:type="dxa"/>
                  <w:bottom w:w="0" w:type="dxa"/>
                  <w:right w:w="108" w:type="dxa"/>
                </w:tblCellMar>
              </w:tblPrEx>
              <w:trPr>
                <w:trHeight w:val="340"/>
                <w:jc w:val="center"/>
              </w:trPr>
              <w:tc>
                <w:tcPr>
                  <w:tcW w:w="437" w:type="pct"/>
                  <w:noWrap w:val="0"/>
                  <w:vAlign w:val="center"/>
                </w:tcPr>
                <w:p>
                  <w:pPr>
                    <w:jc w:val="center"/>
                    <w:rPr>
                      <w:rFonts w:hint="default"/>
                      <w:szCs w:val="21"/>
                    </w:rPr>
                  </w:pPr>
                  <w:r>
                    <w:rPr>
                      <w:rFonts w:hint="eastAsia"/>
                      <w:szCs w:val="21"/>
                      <w:lang w:val="en-US" w:eastAsia="zh-CN"/>
                    </w:rPr>
                    <w:t>3</w:t>
                  </w:r>
                </w:p>
              </w:tc>
              <w:tc>
                <w:tcPr>
                  <w:tcW w:w="727" w:type="pct"/>
                  <w:vMerge/>
                  <w:noWrap w:val="0"/>
                  <w:vAlign w:val="center"/>
                </w:tcPr>
                <w:p>
                  <w:pPr>
                    <w:pStyle w:val="yt3"/>
                  </w:pPr>
                </w:p>
              </w:tc>
              <w:tc>
                <w:tcPr>
                  <w:tcW w:w="728" w:type="pct"/>
                  <w:noWrap w:val="0"/>
                  <w:vAlign w:val="center"/>
                </w:tcPr>
                <w:p>
                  <w:pPr>
                    <w:pStyle w:val="yt3"/>
                    <w:rPr>
                      <w:rFonts w:eastAsia="宋体" w:hint="default"/>
                      <w:lang w:val="en-US" w:eastAsia="zh-CN"/>
                    </w:rPr>
                  </w:pPr>
                  <w:r>
                    <w:rPr>
                      <w:rFonts w:hint="eastAsia"/>
                      <w:lang w:val="en-US" w:eastAsia="zh-CN"/>
                    </w:rPr>
                    <w:t>仪器清洗</w:t>
                  </w:r>
                </w:p>
              </w:tc>
              <w:tc>
                <w:tcPr>
                  <w:tcW w:w="584" w:type="pct"/>
                  <w:noWrap w:val="0"/>
                  <w:vAlign w:val="center"/>
                </w:tcPr>
                <w:p>
                  <w:pPr>
                    <w:pStyle w:val="yt3"/>
                    <w:rPr>
                      <w:rFonts w:eastAsia="宋体" w:hint="default"/>
                      <w:lang w:val="en-US" w:eastAsia="zh-CN"/>
                    </w:rPr>
                  </w:pPr>
                  <w:r>
                    <w:rPr>
                      <w:rFonts w:hint="eastAsia"/>
                      <w:lang w:val="en-US" w:eastAsia="zh-CN"/>
                    </w:rPr>
                    <w:t>0.33</w:t>
                  </w:r>
                </w:p>
              </w:tc>
              <w:tc>
                <w:tcPr>
                  <w:tcW w:w="439" w:type="pct"/>
                  <w:noWrap w:val="0"/>
                  <w:vAlign w:val="center"/>
                </w:tcPr>
                <w:p>
                  <w:pPr>
                    <w:pStyle w:val="yt3"/>
                    <w:rPr>
                      <w:rFonts w:hint="default"/>
                      <w:lang w:val="en-US" w:eastAsia="zh-CN"/>
                    </w:rPr>
                  </w:pPr>
                  <w:r>
                    <w:rPr>
                      <w:rFonts w:hint="eastAsia"/>
                      <w:lang w:val="en-US" w:eastAsia="zh-CN"/>
                    </w:rPr>
                    <w:t>0.06</w:t>
                  </w:r>
                </w:p>
              </w:tc>
              <w:tc>
                <w:tcPr>
                  <w:tcW w:w="439" w:type="pct"/>
                  <w:noWrap w:val="0"/>
                  <w:vAlign w:val="center"/>
                </w:tcPr>
                <w:p>
                  <w:pPr>
                    <w:pStyle w:val="yt3"/>
                    <w:rPr>
                      <w:rFonts w:eastAsia="宋体" w:hint="default"/>
                      <w:lang w:val="en-US" w:eastAsia="zh-CN"/>
                    </w:rPr>
                  </w:pPr>
                  <w:r>
                    <w:rPr>
                      <w:rFonts w:hint="eastAsia"/>
                      <w:lang w:val="en-US" w:eastAsia="zh-CN"/>
                    </w:rPr>
                    <w:t>0</w:t>
                  </w:r>
                </w:p>
              </w:tc>
              <w:tc>
                <w:tcPr>
                  <w:tcW w:w="439" w:type="pct"/>
                  <w:noWrap w:val="0"/>
                  <w:vAlign w:val="center"/>
                </w:tcPr>
                <w:p>
                  <w:pPr>
                    <w:pStyle w:val="yt3"/>
                    <w:rPr>
                      <w:rFonts w:hint="default"/>
                      <w:lang w:val="en-US" w:eastAsia="zh-CN"/>
                    </w:rPr>
                  </w:pPr>
                  <w:r>
                    <w:rPr>
                      <w:rFonts w:hint="eastAsia"/>
                      <w:lang w:val="en-US" w:eastAsia="zh-CN"/>
                    </w:rPr>
                    <w:t>0</w:t>
                  </w:r>
                </w:p>
              </w:tc>
              <w:tc>
                <w:tcPr>
                  <w:tcW w:w="473" w:type="pct"/>
                  <w:noWrap w:val="0"/>
                  <w:vAlign w:val="center"/>
                </w:tcPr>
                <w:p>
                  <w:pPr>
                    <w:pStyle w:val="yt3"/>
                    <w:rPr>
                      <w:rFonts w:hint="default"/>
                      <w:lang w:val="en-US" w:eastAsia="zh-CN"/>
                    </w:rPr>
                  </w:pPr>
                  <w:r>
                    <w:rPr>
                      <w:rFonts w:hint="eastAsia"/>
                      <w:lang w:val="en-US" w:eastAsia="zh-CN"/>
                    </w:rPr>
                    <w:t>0.36</w:t>
                  </w:r>
                </w:p>
              </w:tc>
              <w:tc>
                <w:tcPr>
                  <w:tcW w:w="731" w:type="pct"/>
                  <w:noWrap w:val="0"/>
                  <w:vAlign w:val="center"/>
                </w:tcPr>
                <w:p>
                  <w:pPr>
                    <w:pStyle w:val="yt3"/>
                    <w:rPr>
                      <w:rFonts w:hint="default"/>
                      <w:lang w:val="en-US" w:eastAsia="zh-CN"/>
                    </w:rPr>
                  </w:pPr>
                  <w:r>
                    <w:rPr>
                      <w:rFonts w:hint="eastAsia"/>
                      <w:lang w:val="en-US" w:eastAsia="zh-CN"/>
                    </w:rPr>
                    <w:t>0.03</w:t>
                  </w:r>
                </w:p>
              </w:tc>
            </w:tr>
            <w:tr>
              <w:tblPrEx>
                <w:tblW w:w="4997" w:type="pct"/>
                <w:jc w:val="center"/>
                <w:tblCellMar>
                  <w:top w:w="0" w:type="dxa"/>
                  <w:left w:w="108" w:type="dxa"/>
                  <w:bottom w:w="0" w:type="dxa"/>
                  <w:right w:w="108" w:type="dxa"/>
                </w:tblCellMar>
              </w:tblPrEx>
              <w:trPr>
                <w:trHeight w:val="340"/>
                <w:jc w:val="center"/>
              </w:trPr>
              <w:tc>
                <w:tcPr>
                  <w:tcW w:w="437" w:type="pct"/>
                  <w:noWrap w:val="0"/>
                  <w:vAlign w:val="center"/>
                </w:tcPr>
                <w:p>
                  <w:pPr>
                    <w:jc w:val="center"/>
                    <w:rPr>
                      <w:rFonts w:hint="default"/>
                      <w:szCs w:val="21"/>
                    </w:rPr>
                  </w:pPr>
                  <w:r>
                    <w:rPr>
                      <w:rFonts w:hint="eastAsia"/>
                      <w:szCs w:val="21"/>
                      <w:lang w:val="en-US" w:eastAsia="zh-CN"/>
                    </w:rPr>
                    <w:t>4</w:t>
                  </w:r>
                </w:p>
              </w:tc>
              <w:tc>
                <w:tcPr>
                  <w:tcW w:w="727" w:type="pct"/>
                  <w:vMerge/>
                  <w:noWrap w:val="0"/>
                  <w:vAlign w:val="center"/>
                </w:tcPr>
                <w:p>
                  <w:pPr>
                    <w:pStyle w:val="yt3"/>
                  </w:pPr>
                </w:p>
              </w:tc>
              <w:tc>
                <w:tcPr>
                  <w:tcW w:w="728" w:type="pct"/>
                  <w:noWrap w:val="0"/>
                  <w:vAlign w:val="center"/>
                </w:tcPr>
                <w:p>
                  <w:pPr>
                    <w:pStyle w:val="yt3"/>
                    <w:rPr>
                      <w:rFonts w:hint="default"/>
                      <w:lang w:val="en-US" w:eastAsia="zh-CN"/>
                    </w:rPr>
                  </w:pPr>
                  <w:r>
                    <w:rPr>
                      <w:rFonts w:hint="eastAsia"/>
                      <w:lang w:val="en-US" w:eastAsia="zh-CN"/>
                    </w:rPr>
                    <w:t>碱喷淋用水</w:t>
                  </w:r>
                </w:p>
              </w:tc>
              <w:tc>
                <w:tcPr>
                  <w:tcW w:w="584" w:type="pct"/>
                  <w:noWrap w:val="0"/>
                  <w:vAlign w:val="center"/>
                </w:tcPr>
                <w:p>
                  <w:pPr>
                    <w:pStyle w:val="yt3"/>
                    <w:rPr>
                      <w:rFonts w:hint="default"/>
                      <w:lang w:val="en-US" w:eastAsia="zh-CN"/>
                    </w:rPr>
                  </w:pPr>
                  <w:r>
                    <w:rPr>
                      <w:rFonts w:hint="eastAsia"/>
                      <w:lang w:val="en-US" w:eastAsia="zh-CN"/>
                    </w:rPr>
                    <w:t>12</w:t>
                  </w:r>
                </w:p>
              </w:tc>
              <w:tc>
                <w:tcPr>
                  <w:tcW w:w="439" w:type="pct"/>
                  <w:noWrap w:val="0"/>
                  <w:vAlign w:val="center"/>
                </w:tcPr>
                <w:p>
                  <w:pPr>
                    <w:pStyle w:val="yt3"/>
                    <w:rPr>
                      <w:rFonts w:hint="default"/>
                      <w:lang w:val="en-US" w:eastAsia="zh-CN"/>
                    </w:rPr>
                  </w:pPr>
                  <w:r>
                    <w:rPr>
                      <w:rFonts w:hint="eastAsia"/>
                      <w:lang w:val="en-US" w:eastAsia="zh-CN"/>
                    </w:rPr>
                    <w:t>0</w:t>
                  </w:r>
                </w:p>
              </w:tc>
              <w:tc>
                <w:tcPr>
                  <w:tcW w:w="439" w:type="pct"/>
                  <w:noWrap w:val="0"/>
                  <w:vAlign w:val="center"/>
                </w:tcPr>
                <w:p>
                  <w:pPr>
                    <w:pStyle w:val="yt3"/>
                    <w:rPr>
                      <w:rFonts w:hint="default"/>
                      <w:lang w:val="en-US" w:eastAsia="zh-CN"/>
                    </w:rPr>
                  </w:pPr>
                  <w:r>
                    <w:rPr>
                      <w:rFonts w:hint="eastAsia"/>
                      <w:lang w:val="en-US" w:eastAsia="zh-CN"/>
                    </w:rPr>
                    <w:t>0</w:t>
                  </w:r>
                </w:p>
              </w:tc>
              <w:tc>
                <w:tcPr>
                  <w:tcW w:w="439" w:type="pct"/>
                  <w:noWrap w:val="0"/>
                  <w:vAlign w:val="center"/>
                </w:tcPr>
                <w:p>
                  <w:pPr>
                    <w:pStyle w:val="yt3"/>
                    <w:rPr>
                      <w:rFonts w:hint="default"/>
                      <w:lang w:val="en-US" w:eastAsia="zh-CN"/>
                    </w:rPr>
                  </w:pPr>
                  <w:r>
                    <w:rPr>
                      <w:rFonts w:hint="eastAsia"/>
                      <w:lang w:val="en-US" w:eastAsia="zh-CN"/>
                    </w:rPr>
                    <w:t>0</w:t>
                  </w:r>
                </w:p>
              </w:tc>
              <w:tc>
                <w:tcPr>
                  <w:tcW w:w="473" w:type="pct"/>
                  <w:noWrap w:val="0"/>
                  <w:vAlign w:val="center"/>
                </w:tcPr>
                <w:p>
                  <w:pPr>
                    <w:pStyle w:val="yt3"/>
                    <w:rPr>
                      <w:rFonts w:hint="default"/>
                      <w:lang w:val="en-US" w:eastAsia="zh-CN"/>
                    </w:rPr>
                  </w:pPr>
                  <w:r>
                    <w:rPr>
                      <w:rFonts w:hint="eastAsia"/>
                      <w:lang w:val="en-US" w:eastAsia="zh-CN"/>
                    </w:rPr>
                    <w:t>12</w:t>
                  </w:r>
                </w:p>
              </w:tc>
              <w:tc>
                <w:tcPr>
                  <w:tcW w:w="731" w:type="pct"/>
                  <w:noWrap w:val="0"/>
                  <w:vAlign w:val="center"/>
                </w:tcPr>
                <w:p>
                  <w:pPr>
                    <w:pStyle w:val="yt3"/>
                    <w:rPr>
                      <w:rFonts w:hint="default"/>
                      <w:lang w:val="en-US" w:eastAsia="zh-CN"/>
                    </w:rPr>
                  </w:pPr>
                  <w:r>
                    <w:rPr>
                      <w:rFonts w:hint="eastAsia"/>
                      <w:lang w:val="en-US" w:eastAsia="zh-CN"/>
                    </w:rPr>
                    <w:t>0</w:t>
                  </w:r>
                </w:p>
              </w:tc>
            </w:tr>
            <w:tr>
              <w:tblPrEx>
                <w:tblW w:w="4997" w:type="pct"/>
                <w:jc w:val="center"/>
                <w:tblCellMar>
                  <w:top w:w="0" w:type="dxa"/>
                  <w:left w:w="108" w:type="dxa"/>
                  <w:bottom w:w="0" w:type="dxa"/>
                  <w:right w:w="108" w:type="dxa"/>
                </w:tblCellMar>
              </w:tblPrEx>
              <w:trPr>
                <w:trHeight w:val="340"/>
                <w:jc w:val="center"/>
              </w:trPr>
              <w:tc>
                <w:tcPr>
                  <w:tcW w:w="1892" w:type="pct"/>
                  <w:gridSpan w:val="3"/>
                  <w:noWrap w:val="0"/>
                  <w:vAlign w:val="center"/>
                </w:tcPr>
                <w:p>
                  <w:pPr>
                    <w:pStyle w:val="yt3"/>
                  </w:pPr>
                  <w:r>
                    <w:t>合计</w:t>
                  </w:r>
                </w:p>
              </w:tc>
              <w:tc>
                <w:tcPr>
                  <w:tcW w:w="1043" w:type="dxa"/>
                  <w:noWrap w:val="0"/>
                  <w:vAlign w:val="center"/>
                </w:tcPr>
                <w:p>
                  <w:pPr>
                    <w:keepNext w:val="0"/>
                    <w:keepLines w:val="0"/>
                    <w:widowControl/>
                    <w:suppressLineNumbers w:val="0"/>
                    <w:jc w:val="center"/>
                    <w:textAlignment w:val="center"/>
                    <w:rPr>
                      <w:rFonts w:hint="eastAsia"/>
                    </w:rPr>
                  </w:pPr>
                  <w:r>
                    <w:rPr>
                      <w:rFonts w:ascii="Times New Roman" w:eastAsia="等线" w:hAnsi="Times New Roman" w:cs="Times New Roman" w:hint="default"/>
                      <w:i w:val="0"/>
                      <w:iCs w:val="0"/>
                      <w:color w:val="000000"/>
                      <w:kern w:val="0"/>
                      <w:sz w:val="21"/>
                      <w:szCs w:val="21"/>
                      <w:u w:val="none"/>
                      <w:lang w:val="en-US" w:eastAsia="zh-CN" w:bidi="ar"/>
                    </w:rPr>
                    <w:t>12.759</w:t>
                  </w:r>
                </w:p>
              </w:tc>
              <w:tc>
                <w:tcPr>
                  <w:tcW w:w="784" w:type="dxa"/>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0.300</w:t>
                  </w:r>
                </w:p>
              </w:tc>
              <w:tc>
                <w:tcPr>
                  <w:tcW w:w="784" w:type="dxa"/>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 xml:space="preserve">0.000 </w:t>
                  </w:r>
                </w:p>
              </w:tc>
              <w:tc>
                <w:tcPr>
                  <w:tcW w:w="784" w:type="dxa"/>
                  <w:noWrap w:val="0"/>
                  <w:vAlign w:val="center"/>
                </w:tcPr>
                <w:p>
                  <w:pPr>
                    <w:keepNext w:val="0"/>
                    <w:keepLines w:val="0"/>
                    <w:widowControl/>
                    <w:suppressLineNumbers w:val="0"/>
                    <w:jc w:val="center"/>
                    <w:textAlignment w:val="center"/>
                    <w:rPr>
                      <w:rFonts w:hint="default"/>
                      <w:kern w:val="0"/>
                      <w:szCs w:val="20"/>
                    </w:rPr>
                  </w:pPr>
                  <w:r>
                    <w:rPr>
                      <w:rFonts w:ascii="Times New Roman" w:eastAsia="等线" w:hAnsi="Times New Roman" w:cs="Times New Roman" w:hint="default"/>
                      <w:i w:val="0"/>
                      <w:iCs w:val="0"/>
                      <w:color w:val="000000"/>
                      <w:kern w:val="0"/>
                      <w:sz w:val="21"/>
                      <w:szCs w:val="21"/>
                      <w:u w:val="none"/>
                      <w:lang w:val="en-US" w:eastAsia="zh-CN" w:bidi="ar"/>
                    </w:rPr>
                    <w:t xml:space="preserve">0.300 </w:t>
                  </w:r>
                </w:p>
              </w:tc>
              <w:tc>
                <w:tcPr>
                  <w:tcW w:w="845" w:type="dxa"/>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 xml:space="preserve">12.489 </w:t>
                  </w:r>
                </w:p>
              </w:tc>
              <w:tc>
                <w:tcPr>
                  <w:tcW w:w="1307" w:type="dxa"/>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0.270</w:t>
                  </w:r>
                </w:p>
              </w:tc>
            </w:tr>
          </w:tbl>
          <w:p>
            <w:pPr>
              <w:ind w:left="283" w:hanging="283"/>
              <w:jc w:val="left"/>
              <w:rPr>
                <w:b/>
                <w:szCs w:val="21"/>
              </w:rPr>
            </w:pPr>
          </w:p>
          <w:p>
            <w:pPr>
              <w:ind w:left="283" w:hanging="283"/>
              <w:jc w:val="left"/>
              <w:rPr>
                <w:b/>
                <w:szCs w:val="21"/>
              </w:rPr>
            </w:pPr>
            <w:r>
              <w:rPr>
                <w:b/>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55.2pt;height:170.7pt" o:ole="" coordsize="21600,21600" o:preferrelative="t" filled="f" stroked="f">
                  <v:imagedata r:id="rId29" o:title=""/>
                  <o:lock v:ext="edit" aspectratio="f"/>
                  <w10:anchorlock/>
                </v:shape>
                <o:OLEObject Type="Embed" ProgID="Visio.Drawing.15" ShapeID="_x0000_i1029" DrawAspect="Content" ObjectID="_1468075725" r:id="rId30"/>
              </w:object>
            </w:r>
          </w:p>
          <w:p>
            <w:pPr>
              <w:pStyle w:val="yt2"/>
              <w:bidi w:val="0"/>
              <w:rPr>
                <w:bCs/>
                <w:sz w:val="21"/>
              </w:rPr>
            </w:pPr>
            <w:r>
              <w:rPr>
                <w:b/>
                <w:bCs/>
                <w:sz w:val="21"/>
                <w:szCs w:val="21"/>
              </w:rPr>
              <w:t>项目水平衡图m</w:t>
            </w:r>
            <w:r>
              <w:rPr>
                <w:b/>
                <w:bCs/>
                <w:sz w:val="21"/>
                <w:szCs w:val="21"/>
                <w:vertAlign w:val="superscript"/>
              </w:rPr>
              <w:t>3</w:t>
            </w:r>
            <w:r>
              <w:rPr>
                <w:b/>
                <w:bCs/>
                <w:sz w:val="21"/>
                <w:szCs w:val="21"/>
              </w:rPr>
              <w:t>/a</w:t>
            </w:r>
          </w:p>
          <w:p>
            <w:pPr>
              <w:pStyle w:val="yt"/>
              <w:bidi w:val="0"/>
              <w:rPr>
                <w:rFonts w:hint="default"/>
                <w:lang w:val="en-US" w:eastAsia="zh-CN"/>
              </w:rPr>
            </w:pPr>
            <w:r>
              <w:rPr>
                <w:rFonts w:hint="eastAsia"/>
                <w:lang w:val="en-US" w:eastAsia="zh-CN"/>
              </w:rPr>
              <w:t>根据现有项目验收报告，现有项目用水、排水情况如下：</w:t>
            </w:r>
          </w:p>
          <w:p>
            <w:pPr>
              <w:pStyle w:val="yt"/>
              <w:ind w:firstLine="480"/>
              <w:rPr>
                <w:rFonts w:cs="Times New Roman" w:hint="default"/>
                <w:highlight w:val="none"/>
                <w:lang w:val="en-US" w:eastAsia="zh-CN"/>
              </w:rPr>
            </w:pPr>
            <w:r>
              <w:rPr>
                <w:rFonts w:ascii="Times New Roman" w:hAnsi="Times New Roman" w:cs="Times New Roman" w:hint="default"/>
                <w:highlight w:val="none"/>
                <w:lang w:val="en-US" w:eastAsia="zh-CN"/>
              </w:rPr>
              <w:object>
                <v:shape id="_x0000_i1030" type="#_x0000_t75" style="width:389.4pt;height:219.4pt" o:ole="" coordsize="21600,21600" o:preferrelative="t" filled="f" stroked="f">
                  <v:imagedata r:id="rId31" o:title=""/>
                  <o:lock v:ext="edit" aspectratio="f"/>
                  <w10:anchorlock/>
                </v:shape>
                <o:OLEObject Type="Embed" ProgID="Visio.Drawing.15" ShapeID="_x0000_i1030" DrawAspect="Content" ObjectID="_1468075726" r:id="rId32"/>
              </w:object>
            </w:r>
          </w:p>
          <w:p>
            <w:pPr>
              <w:pStyle w:val="yt2"/>
              <w:bidi w:val="0"/>
              <w:rPr>
                <w:rFonts w:hint="default"/>
                <w:lang w:val="en-US"/>
              </w:rPr>
            </w:pPr>
            <w:r>
              <w:rPr>
                <w:rFonts w:hint="eastAsia"/>
                <w:lang w:val="en-US" w:eastAsia="zh-CN"/>
              </w:rPr>
              <w:t xml:space="preserve">现有工程水平衡图 </w:t>
            </w:r>
            <w:r>
              <w:rPr>
                <w:b/>
                <w:bCs/>
                <w:sz w:val="21"/>
                <w:szCs w:val="21"/>
              </w:rPr>
              <w:t>m</w:t>
            </w:r>
            <w:r>
              <w:rPr>
                <w:b/>
                <w:bCs/>
                <w:sz w:val="21"/>
                <w:szCs w:val="21"/>
                <w:vertAlign w:val="superscript"/>
              </w:rPr>
              <w:t>3</w:t>
            </w:r>
            <w:r>
              <w:rPr>
                <w:b/>
                <w:bCs/>
                <w:sz w:val="21"/>
                <w:szCs w:val="21"/>
              </w:rPr>
              <w:t>/a</w:t>
            </w:r>
          </w:p>
          <w:p>
            <w:pPr>
              <w:pStyle w:val="yt"/>
              <w:bidi w:val="0"/>
              <w:rPr>
                <w:rFonts w:hint="default"/>
                <w:lang w:val="en-US" w:eastAsia="zh-CN"/>
              </w:rPr>
            </w:pPr>
            <w:r>
              <w:rPr>
                <w:rFonts w:hint="eastAsia"/>
                <w:lang w:val="en-US" w:eastAsia="zh-CN"/>
              </w:rPr>
              <w:t>综上，本项目建成后全实验室用水、排水情况如下：</w:t>
            </w:r>
          </w:p>
          <w:p>
            <w:pPr>
              <w:numPr>
                <w:ilvl w:val="3"/>
                <w:numId w:val="10"/>
              </w:numPr>
              <w:tabs>
                <w:tab w:val="left" w:pos="283"/>
              </w:tabs>
              <w:jc w:val="center"/>
              <w:rPr>
                <w:b/>
                <w:szCs w:val="21"/>
              </w:rPr>
            </w:pPr>
            <w:r>
              <w:rPr>
                <w:rFonts w:hint="eastAsia"/>
                <w:b/>
                <w:szCs w:val="21"/>
                <w:lang w:val="en-US" w:eastAsia="zh-CN"/>
              </w:rPr>
              <w:t>项目建成后全实验室水平衡一览表</w:t>
            </w:r>
          </w:p>
          <w:tbl>
            <w:tblPr>
              <w:tblStyle w:val="TableNormal"/>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763"/>
              <w:gridCol w:w="1283"/>
              <w:gridCol w:w="1285"/>
              <w:gridCol w:w="1026"/>
              <w:gridCol w:w="794"/>
              <w:gridCol w:w="899"/>
              <w:gridCol w:w="794"/>
              <w:gridCol w:w="931"/>
              <w:gridCol w:w="1188"/>
            </w:tblGrid>
            <w:tr>
              <w:tblPrEx>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437" w:type="pct"/>
                  <w:vMerge w:val="restart"/>
                  <w:noWrap w:val="0"/>
                  <w:vAlign w:val="center"/>
                </w:tcPr>
                <w:p>
                  <w:pPr>
                    <w:spacing w:line="240" w:lineRule="atLeast"/>
                    <w:jc w:val="center"/>
                    <w:rPr>
                      <w:b/>
                      <w:bCs/>
                      <w:szCs w:val="21"/>
                    </w:rPr>
                  </w:pPr>
                  <w:r>
                    <w:rPr>
                      <w:b/>
                      <w:bCs/>
                      <w:szCs w:val="21"/>
                    </w:rPr>
                    <w:t>序号</w:t>
                  </w:r>
                </w:p>
              </w:tc>
              <w:tc>
                <w:tcPr>
                  <w:tcW w:w="1455" w:type="pct"/>
                  <w:gridSpan w:val="2"/>
                  <w:noWrap w:val="0"/>
                  <w:vAlign w:val="center"/>
                </w:tcPr>
                <w:p>
                  <w:pPr>
                    <w:spacing w:line="240" w:lineRule="atLeast"/>
                    <w:jc w:val="center"/>
                    <w:rPr>
                      <w:b/>
                      <w:bCs/>
                      <w:szCs w:val="21"/>
                    </w:rPr>
                  </w:pPr>
                  <w:r>
                    <w:rPr>
                      <w:b/>
                      <w:bCs/>
                      <w:szCs w:val="21"/>
                    </w:rPr>
                    <w:t>节点</w:t>
                  </w:r>
                </w:p>
              </w:tc>
              <w:tc>
                <w:tcPr>
                  <w:tcW w:w="1023" w:type="pct"/>
                  <w:gridSpan w:val="2"/>
                  <w:noWrap w:val="0"/>
                  <w:vAlign w:val="center"/>
                </w:tcPr>
                <w:p>
                  <w:pPr>
                    <w:spacing w:line="240" w:lineRule="atLeast"/>
                    <w:jc w:val="center"/>
                    <w:rPr>
                      <w:b/>
                      <w:bCs/>
                      <w:szCs w:val="21"/>
                    </w:rPr>
                  </w:pPr>
                  <w:r>
                    <w:rPr>
                      <w:b/>
                      <w:bCs/>
                      <w:szCs w:val="21"/>
                    </w:rPr>
                    <w:t>投入m</w:t>
                  </w:r>
                  <w:r>
                    <w:rPr>
                      <w:b/>
                      <w:bCs/>
                      <w:szCs w:val="21"/>
                      <w:vertAlign w:val="superscript"/>
                    </w:rPr>
                    <w:t>3</w:t>
                  </w:r>
                  <w:r>
                    <w:rPr>
                      <w:b/>
                      <w:bCs/>
                      <w:szCs w:val="21"/>
                    </w:rPr>
                    <w:t>/a</w:t>
                  </w:r>
                </w:p>
              </w:tc>
              <w:tc>
                <w:tcPr>
                  <w:tcW w:w="2083" w:type="pct"/>
                  <w:gridSpan w:val="4"/>
                  <w:noWrap w:val="0"/>
                  <w:vAlign w:val="center"/>
                </w:tcPr>
                <w:p>
                  <w:pPr>
                    <w:spacing w:line="240" w:lineRule="atLeast"/>
                    <w:jc w:val="center"/>
                    <w:rPr>
                      <w:b/>
                      <w:bCs/>
                      <w:szCs w:val="21"/>
                    </w:rPr>
                  </w:pPr>
                  <w:r>
                    <w:rPr>
                      <w:b/>
                      <w:bCs/>
                      <w:szCs w:val="21"/>
                    </w:rPr>
                    <w:t>产出m</w:t>
                  </w:r>
                  <w:r>
                    <w:rPr>
                      <w:b/>
                      <w:bCs/>
                      <w:szCs w:val="21"/>
                      <w:vertAlign w:val="superscript"/>
                    </w:rPr>
                    <w:t>3</w:t>
                  </w:r>
                  <w:r>
                    <w:rPr>
                      <w:b/>
                      <w:bCs/>
                      <w:szCs w:val="21"/>
                    </w:rPr>
                    <w:t>/a</w:t>
                  </w:r>
                </w:p>
              </w:tc>
            </w:tr>
            <w:tr>
              <w:tblPrEx>
                <w:tblW w:w="4997" w:type="pct"/>
                <w:jc w:val="center"/>
                <w:tblCellMar>
                  <w:top w:w="0" w:type="dxa"/>
                  <w:left w:w="108" w:type="dxa"/>
                  <w:bottom w:w="0" w:type="dxa"/>
                  <w:right w:w="108" w:type="dxa"/>
                </w:tblCellMar>
              </w:tblPrEx>
              <w:trPr>
                <w:trHeight w:val="340"/>
                <w:jc w:val="center"/>
              </w:trPr>
              <w:tc>
                <w:tcPr>
                  <w:tcW w:w="437" w:type="pct"/>
                  <w:vMerge/>
                  <w:noWrap w:val="0"/>
                  <w:vAlign w:val="center"/>
                </w:tcPr>
                <w:p>
                  <w:pPr>
                    <w:spacing w:line="240" w:lineRule="atLeast"/>
                    <w:jc w:val="center"/>
                    <w:rPr>
                      <w:b/>
                      <w:bCs/>
                      <w:szCs w:val="21"/>
                    </w:rPr>
                  </w:pPr>
                </w:p>
              </w:tc>
              <w:tc>
                <w:tcPr>
                  <w:tcW w:w="1455" w:type="pct"/>
                  <w:gridSpan w:val="2"/>
                  <w:noWrap w:val="0"/>
                  <w:vAlign w:val="center"/>
                </w:tcPr>
                <w:p>
                  <w:pPr>
                    <w:spacing w:line="240" w:lineRule="atLeast"/>
                    <w:jc w:val="center"/>
                    <w:rPr>
                      <w:b/>
                      <w:bCs/>
                      <w:szCs w:val="21"/>
                    </w:rPr>
                  </w:pPr>
                  <w:r>
                    <w:rPr>
                      <w:b/>
                      <w:bCs/>
                      <w:szCs w:val="21"/>
                    </w:rPr>
                    <w:t>类别</w:t>
                  </w:r>
                </w:p>
              </w:tc>
              <w:tc>
                <w:tcPr>
                  <w:tcW w:w="584" w:type="pct"/>
                  <w:noWrap w:val="0"/>
                  <w:vAlign w:val="center"/>
                </w:tcPr>
                <w:p>
                  <w:pPr>
                    <w:spacing w:line="240" w:lineRule="atLeast"/>
                    <w:jc w:val="center"/>
                    <w:rPr>
                      <w:b/>
                      <w:bCs/>
                      <w:szCs w:val="21"/>
                    </w:rPr>
                  </w:pPr>
                  <w:r>
                    <w:rPr>
                      <w:b/>
                      <w:bCs/>
                      <w:szCs w:val="21"/>
                    </w:rPr>
                    <w:t>新鲜水</w:t>
                  </w:r>
                </w:p>
              </w:tc>
              <w:tc>
                <w:tcPr>
                  <w:tcW w:w="439" w:type="pct"/>
                  <w:noWrap w:val="0"/>
                  <w:vAlign w:val="center"/>
                </w:tcPr>
                <w:p>
                  <w:pPr>
                    <w:spacing w:line="240" w:lineRule="atLeast"/>
                    <w:jc w:val="center"/>
                    <w:rPr>
                      <w:rFonts w:hint="default"/>
                      <w:b/>
                      <w:bCs/>
                      <w:szCs w:val="21"/>
                    </w:rPr>
                  </w:pPr>
                  <w:r>
                    <w:rPr>
                      <w:rFonts w:hint="eastAsia"/>
                      <w:b/>
                      <w:bCs/>
                      <w:szCs w:val="21"/>
                      <w:lang w:val="en-US" w:eastAsia="zh-CN"/>
                    </w:rPr>
                    <w:t>纯水</w:t>
                  </w:r>
                </w:p>
              </w:tc>
              <w:tc>
                <w:tcPr>
                  <w:tcW w:w="439" w:type="pct"/>
                  <w:noWrap w:val="0"/>
                  <w:vAlign w:val="center"/>
                </w:tcPr>
                <w:p>
                  <w:pPr>
                    <w:spacing w:line="240" w:lineRule="atLeast"/>
                    <w:jc w:val="center"/>
                    <w:rPr>
                      <w:b/>
                      <w:bCs/>
                      <w:szCs w:val="21"/>
                    </w:rPr>
                  </w:pPr>
                  <w:r>
                    <w:rPr>
                      <w:b/>
                      <w:bCs/>
                      <w:szCs w:val="21"/>
                    </w:rPr>
                    <w:t>损耗</w:t>
                  </w:r>
                </w:p>
              </w:tc>
              <w:tc>
                <w:tcPr>
                  <w:tcW w:w="439" w:type="pct"/>
                  <w:noWrap w:val="0"/>
                  <w:vAlign w:val="center"/>
                </w:tcPr>
                <w:p>
                  <w:pPr>
                    <w:spacing w:line="240" w:lineRule="atLeast"/>
                    <w:jc w:val="center"/>
                    <w:rPr>
                      <w:rFonts w:hint="eastAsia"/>
                      <w:b/>
                      <w:bCs/>
                      <w:szCs w:val="21"/>
                    </w:rPr>
                  </w:pPr>
                  <w:r>
                    <w:rPr>
                      <w:rFonts w:hint="eastAsia"/>
                      <w:b/>
                      <w:bCs/>
                      <w:szCs w:val="21"/>
                      <w:lang w:val="en-US" w:eastAsia="zh-CN"/>
                    </w:rPr>
                    <w:t>纯水</w:t>
                  </w:r>
                </w:p>
              </w:tc>
              <w:tc>
                <w:tcPr>
                  <w:tcW w:w="531" w:type="pct"/>
                  <w:noWrap w:val="0"/>
                  <w:vAlign w:val="center"/>
                </w:tcPr>
                <w:p>
                  <w:pPr>
                    <w:spacing w:line="240" w:lineRule="atLeast"/>
                    <w:jc w:val="center"/>
                    <w:rPr>
                      <w:b/>
                      <w:bCs/>
                      <w:szCs w:val="21"/>
                    </w:rPr>
                  </w:pPr>
                  <w:r>
                    <w:rPr>
                      <w:b/>
                      <w:bCs/>
                      <w:szCs w:val="21"/>
                    </w:rPr>
                    <w:t>废水</w:t>
                  </w:r>
                </w:p>
              </w:tc>
              <w:tc>
                <w:tcPr>
                  <w:tcW w:w="673" w:type="pct"/>
                  <w:noWrap w:val="0"/>
                  <w:vAlign w:val="center"/>
                </w:tcPr>
                <w:p>
                  <w:pPr>
                    <w:spacing w:line="240" w:lineRule="atLeast"/>
                    <w:jc w:val="center"/>
                    <w:rPr>
                      <w:rFonts w:hint="default"/>
                      <w:b/>
                      <w:bCs/>
                      <w:szCs w:val="21"/>
                    </w:rPr>
                  </w:pPr>
                  <w:r>
                    <w:rPr>
                      <w:rFonts w:hint="eastAsia"/>
                      <w:b/>
                      <w:bCs/>
                      <w:szCs w:val="21"/>
                      <w:lang w:val="en-US" w:eastAsia="zh-CN"/>
                    </w:rPr>
                    <w:t>作为危废</w:t>
                  </w:r>
                </w:p>
              </w:tc>
            </w:tr>
            <w:tr>
              <w:tblPrEx>
                <w:tblW w:w="4997" w:type="pct"/>
                <w:jc w:val="center"/>
                <w:tblCellMar>
                  <w:top w:w="0" w:type="dxa"/>
                  <w:left w:w="108" w:type="dxa"/>
                  <w:bottom w:w="0" w:type="dxa"/>
                  <w:right w:w="108" w:type="dxa"/>
                </w:tblCellMar>
              </w:tblPrEx>
              <w:trPr>
                <w:trHeight w:val="340"/>
                <w:jc w:val="center"/>
              </w:trPr>
              <w:tc>
                <w:tcPr>
                  <w:tcW w:w="437" w:type="pct"/>
                  <w:noWrap w:val="0"/>
                  <w:vAlign w:val="center"/>
                </w:tcPr>
                <w:p>
                  <w:pPr>
                    <w:jc w:val="center"/>
                    <w:rPr>
                      <w:rFonts w:hint="eastAsia"/>
                      <w:szCs w:val="21"/>
                    </w:rPr>
                  </w:pPr>
                  <w:r>
                    <w:rPr>
                      <w:rFonts w:hint="eastAsia"/>
                      <w:szCs w:val="21"/>
                      <w:lang w:val="en-US" w:eastAsia="zh-CN"/>
                    </w:rPr>
                    <w:t>1</w:t>
                  </w:r>
                </w:p>
              </w:tc>
              <w:tc>
                <w:tcPr>
                  <w:tcW w:w="1455" w:type="pct"/>
                  <w:gridSpan w:val="2"/>
                  <w:noWrap w:val="0"/>
                  <w:vAlign w:val="center"/>
                </w:tcPr>
                <w:p>
                  <w:pPr>
                    <w:pStyle w:val="yt3"/>
                    <w:ind w:firstLine="0" w:firstLineChars="0"/>
                    <w:rPr>
                      <w:rFonts w:hint="eastAsia"/>
                      <w:lang w:val="en-US" w:eastAsia="zh-CN"/>
                    </w:rPr>
                  </w:pPr>
                  <w:r>
                    <w:rPr>
                      <w:rFonts w:hint="eastAsia"/>
                      <w:lang w:val="en-US" w:eastAsia="zh-CN"/>
                    </w:rPr>
                    <w:t>生活用水</w:t>
                  </w:r>
                </w:p>
              </w:tc>
              <w:tc>
                <w:tcPr>
                  <w:tcW w:w="584"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502</w:t>
                  </w:r>
                </w:p>
              </w:tc>
              <w:tc>
                <w:tcPr>
                  <w:tcW w:w="439"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0</w:t>
                  </w:r>
                </w:p>
              </w:tc>
              <w:tc>
                <w:tcPr>
                  <w:tcW w:w="439"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100.4</w:t>
                  </w:r>
                </w:p>
              </w:tc>
              <w:tc>
                <w:tcPr>
                  <w:tcW w:w="439"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0</w:t>
                  </w:r>
                </w:p>
              </w:tc>
              <w:tc>
                <w:tcPr>
                  <w:tcW w:w="531"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401.6</w:t>
                  </w:r>
                </w:p>
              </w:tc>
              <w:tc>
                <w:tcPr>
                  <w:tcW w:w="673"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0</w:t>
                  </w:r>
                </w:p>
              </w:tc>
            </w:tr>
            <w:tr>
              <w:tblPrEx>
                <w:tblW w:w="4997" w:type="pct"/>
                <w:jc w:val="center"/>
                <w:tblCellMar>
                  <w:top w:w="0" w:type="dxa"/>
                  <w:left w:w="108" w:type="dxa"/>
                  <w:bottom w:w="0" w:type="dxa"/>
                  <w:right w:w="108" w:type="dxa"/>
                </w:tblCellMar>
              </w:tblPrEx>
              <w:trPr>
                <w:trHeight w:val="340"/>
                <w:jc w:val="center"/>
              </w:trPr>
              <w:tc>
                <w:tcPr>
                  <w:tcW w:w="437" w:type="pct"/>
                  <w:noWrap w:val="0"/>
                  <w:vAlign w:val="center"/>
                </w:tcPr>
                <w:p>
                  <w:pPr>
                    <w:jc w:val="center"/>
                    <w:rPr>
                      <w:rFonts w:hint="eastAsia"/>
                      <w:szCs w:val="21"/>
                    </w:rPr>
                  </w:pPr>
                  <w:r>
                    <w:rPr>
                      <w:rFonts w:hint="eastAsia"/>
                      <w:szCs w:val="21"/>
                      <w:lang w:val="en-US" w:eastAsia="zh-CN"/>
                    </w:rPr>
                    <w:t>2</w:t>
                  </w:r>
                </w:p>
              </w:tc>
              <w:tc>
                <w:tcPr>
                  <w:tcW w:w="727" w:type="pct"/>
                  <w:vMerge w:val="restart"/>
                  <w:noWrap w:val="0"/>
                  <w:vAlign w:val="center"/>
                </w:tcPr>
                <w:p>
                  <w:pPr>
                    <w:pStyle w:val="yt3"/>
                    <w:ind w:firstLine="0" w:firstLineChars="0"/>
                    <w:rPr>
                      <w:rFonts w:ascii="Times New Roman" w:eastAsia="宋体" w:hAnsi="Times New Roman"/>
                      <w:kern w:val="2"/>
                      <w:lang w:val="en-US" w:eastAsia="zh-CN" w:bidi="ar-SA"/>
                    </w:rPr>
                  </w:pPr>
                  <w:r>
                    <w:t>生产用水</w:t>
                  </w:r>
                </w:p>
              </w:tc>
              <w:tc>
                <w:tcPr>
                  <w:tcW w:w="728" w:type="pct"/>
                  <w:noWrap w:val="0"/>
                  <w:vAlign w:val="center"/>
                </w:tcPr>
                <w:p>
                  <w:pPr>
                    <w:pStyle w:val="yt3"/>
                    <w:ind w:firstLine="0" w:firstLineChars="0"/>
                    <w:rPr>
                      <w:rFonts w:eastAsia="宋体" w:hint="default"/>
                      <w:lang w:val="en-US" w:eastAsia="zh-CN"/>
                    </w:rPr>
                  </w:pPr>
                  <w:r>
                    <w:rPr>
                      <w:rFonts w:hint="eastAsia"/>
                      <w:lang w:val="en-US" w:eastAsia="zh-CN"/>
                    </w:rPr>
                    <w:t>实验检测</w:t>
                  </w:r>
                </w:p>
              </w:tc>
              <w:tc>
                <w:tcPr>
                  <w:tcW w:w="584"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0</w:t>
                  </w:r>
                </w:p>
              </w:tc>
              <w:tc>
                <w:tcPr>
                  <w:tcW w:w="439"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0.84</w:t>
                  </w:r>
                </w:p>
              </w:tc>
              <w:tc>
                <w:tcPr>
                  <w:tcW w:w="439"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0</w:t>
                  </w:r>
                </w:p>
              </w:tc>
              <w:tc>
                <w:tcPr>
                  <w:tcW w:w="439"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0</w:t>
                  </w:r>
                </w:p>
              </w:tc>
              <w:tc>
                <w:tcPr>
                  <w:tcW w:w="531"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0</w:t>
                  </w:r>
                </w:p>
              </w:tc>
              <w:tc>
                <w:tcPr>
                  <w:tcW w:w="673"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0.84</w:t>
                  </w:r>
                </w:p>
              </w:tc>
            </w:tr>
            <w:tr>
              <w:tblPrEx>
                <w:tblW w:w="4997" w:type="pct"/>
                <w:jc w:val="center"/>
                <w:tblCellMar>
                  <w:top w:w="0" w:type="dxa"/>
                  <w:left w:w="108" w:type="dxa"/>
                  <w:bottom w:w="0" w:type="dxa"/>
                  <w:right w:w="108" w:type="dxa"/>
                </w:tblCellMar>
              </w:tblPrEx>
              <w:trPr>
                <w:trHeight w:val="340"/>
                <w:jc w:val="center"/>
              </w:trPr>
              <w:tc>
                <w:tcPr>
                  <w:tcW w:w="437" w:type="pct"/>
                  <w:noWrap w:val="0"/>
                  <w:vAlign w:val="center"/>
                </w:tcPr>
                <w:p>
                  <w:pPr>
                    <w:jc w:val="center"/>
                    <w:rPr>
                      <w:rFonts w:hint="default"/>
                      <w:szCs w:val="21"/>
                    </w:rPr>
                  </w:pPr>
                  <w:r>
                    <w:rPr>
                      <w:rFonts w:ascii="Times New Roman" w:eastAsia="宋体" w:hAnsi="Times New Roman" w:cs="Times New Roman" w:hint="eastAsia"/>
                      <w:kern w:val="2"/>
                      <w:sz w:val="21"/>
                      <w:szCs w:val="21"/>
                      <w:lang w:val="en-US" w:eastAsia="zh-CN" w:bidi="ar-SA"/>
                    </w:rPr>
                    <w:t>3</w:t>
                  </w:r>
                </w:p>
              </w:tc>
              <w:tc>
                <w:tcPr>
                  <w:tcW w:w="727" w:type="pct"/>
                  <w:vMerge/>
                  <w:noWrap w:val="0"/>
                  <w:vAlign w:val="center"/>
                </w:tcPr>
                <w:p>
                  <w:pPr>
                    <w:pStyle w:val="yt3"/>
                    <w:ind w:firstLine="0" w:firstLineChars="0"/>
                    <w:rPr>
                      <w:rFonts w:ascii="Times New Roman" w:eastAsia="宋体" w:hAnsi="Times New Roman"/>
                      <w:kern w:val="2"/>
                      <w:lang w:val="en-US" w:eastAsia="zh-CN" w:bidi="ar-SA"/>
                    </w:rPr>
                  </w:pPr>
                </w:p>
              </w:tc>
              <w:tc>
                <w:tcPr>
                  <w:tcW w:w="728" w:type="pct"/>
                  <w:noWrap w:val="0"/>
                  <w:vAlign w:val="center"/>
                </w:tcPr>
                <w:p>
                  <w:pPr>
                    <w:pStyle w:val="yt3"/>
                    <w:ind w:firstLine="0" w:firstLineChars="0"/>
                    <w:rPr>
                      <w:rFonts w:ascii="Times New Roman" w:eastAsia="宋体" w:hAnsi="Times New Roman" w:hint="eastAsia"/>
                      <w:kern w:val="2"/>
                      <w:lang w:val="en-US" w:eastAsia="zh-CN" w:bidi="ar-SA"/>
                    </w:rPr>
                  </w:pPr>
                  <w:r>
                    <w:rPr>
                      <w:rFonts w:hint="eastAsia"/>
                    </w:rPr>
                    <w:t>纯水制备</w:t>
                  </w:r>
                </w:p>
              </w:tc>
              <w:tc>
                <w:tcPr>
                  <w:tcW w:w="584"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72.215</w:t>
                  </w:r>
                </w:p>
              </w:tc>
              <w:tc>
                <w:tcPr>
                  <w:tcW w:w="439" w:type="pct"/>
                  <w:noWrap w:val="0"/>
                  <w:vAlign w:val="center"/>
                </w:tcPr>
                <w:p>
                  <w:pPr>
                    <w:keepNext w:val="0"/>
                    <w:keepLines w:val="0"/>
                    <w:widowControl/>
                    <w:suppressLineNumbers w:val="0"/>
                    <w:jc w:val="center"/>
                    <w:textAlignment w:val="center"/>
                    <w:rPr>
                      <w:rFonts w:hint="eastAsia"/>
                    </w:rPr>
                  </w:pPr>
                  <w:r>
                    <w:rPr>
                      <w:rFonts w:ascii="Times New Roman" w:eastAsia="等线" w:hAnsi="Times New Roman" w:cs="Times New Roman" w:hint="default"/>
                      <w:i w:val="0"/>
                      <w:iCs w:val="0"/>
                      <w:color w:val="000000"/>
                      <w:kern w:val="0"/>
                      <w:sz w:val="21"/>
                      <w:szCs w:val="21"/>
                      <w:u w:val="none"/>
                      <w:lang w:val="en-US" w:eastAsia="zh-CN" w:bidi="ar"/>
                    </w:rPr>
                    <w:t>0</w:t>
                  </w:r>
                </w:p>
              </w:tc>
              <w:tc>
                <w:tcPr>
                  <w:tcW w:w="439"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0</w:t>
                  </w:r>
                </w:p>
              </w:tc>
              <w:tc>
                <w:tcPr>
                  <w:tcW w:w="439"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50.5</w:t>
                  </w:r>
                </w:p>
              </w:tc>
              <w:tc>
                <w:tcPr>
                  <w:tcW w:w="531"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21.715</w:t>
                  </w:r>
                </w:p>
              </w:tc>
              <w:tc>
                <w:tcPr>
                  <w:tcW w:w="673" w:type="pct"/>
                  <w:noWrap w:val="0"/>
                  <w:vAlign w:val="center"/>
                </w:tcPr>
                <w:p>
                  <w:pPr>
                    <w:keepNext w:val="0"/>
                    <w:keepLines w:val="0"/>
                    <w:widowControl/>
                    <w:suppressLineNumbers w:val="0"/>
                    <w:jc w:val="center"/>
                    <w:textAlignment w:val="center"/>
                    <w:rPr>
                      <w:rFonts w:hint="default"/>
                      <w:szCs w:val="21"/>
                    </w:rPr>
                  </w:pPr>
                  <w:r>
                    <w:rPr>
                      <w:rFonts w:ascii="Times New Roman" w:eastAsia="等线" w:hAnsi="Times New Roman" w:cs="Times New Roman" w:hint="default"/>
                      <w:i w:val="0"/>
                      <w:iCs w:val="0"/>
                      <w:color w:val="000000"/>
                      <w:kern w:val="0"/>
                      <w:sz w:val="21"/>
                      <w:szCs w:val="21"/>
                      <w:u w:val="none"/>
                      <w:lang w:val="en-US" w:eastAsia="zh-CN" w:bidi="ar"/>
                    </w:rPr>
                    <w:t>0</w:t>
                  </w:r>
                </w:p>
              </w:tc>
            </w:tr>
          </w:tbl>
          <w:p/>
        </w:tc>
      </w:tr>
    </w:tbl>
    <w:p>
      <w:pPr>
        <w:sectPr>
          <w:footerReference w:type="default" r:id="rId33"/>
          <w:type w:val="nextPage"/>
          <w:pgSz w:w="11906" w:h="16838"/>
          <w:pgMar w:top="1134" w:right="1134" w:bottom="1134" w:left="1417" w:header="851" w:footer="850" w:gutter="0"/>
          <w:pgBorders>
            <w:top w:val="none" w:sz="0" w:space="0" w:color="auto"/>
            <w:left w:val="none" w:sz="0" w:space="0" w:color="auto"/>
            <w:bottom w:val="none" w:sz="0" w:space="0" w:color="auto"/>
            <w:right w:val="none" w:sz="0" w:space="0" w:color="auto"/>
          </w:pgBorders>
          <w:pgNumType w:start="22"/>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87"/>
        <w:gridCol w:w="9184"/>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883"/>
          <w:jc w:val="center"/>
        </w:trPr>
        <w:tc>
          <w:tcPr>
            <w:tcW w:w="318" w:type="pct"/>
            <w:noWrap w:val="0"/>
            <w:vAlign w:val="center"/>
          </w:tcPr>
          <w:p/>
        </w:tc>
        <w:tc>
          <w:tcPr>
            <w:tcW w:w="4681" w:type="pct"/>
            <w:noWrap w:val="0"/>
            <w:vAlign w:val="center"/>
          </w:tcPr>
          <w:tbl>
            <w:tblPr>
              <w:tblStyle w:val="TableNormal"/>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763"/>
              <w:gridCol w:w="1283"/>
              <w:gridCol w:w="1285"/>
              <w:gridCol w:w="1026"/>
              <w:gridCol w:w="794"/>
              <w:gridCol w:w="899"/>
              <w:gridCol w:w="794"/>
              <w:gridCol w:w="931"/>
              <w:gridCol w:w="1188"/>
            </w:tblGrid>
            <w:tr>
              <w:tblPrEx>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437" w:type="pct"/>
                  <w:noWrap w:val="0"/>
                  <w:vAlign w:val="center"/>
                </w:tcPr>
                <w:p>
                  <w:pPr>
                    <w:jc w:val="center"/>
                    <w:rPr>
                      <w:rFonts w:hint="default"/>
                      <w:szCs w:val="21"/>
                    </w:rPr>
                  </w:pPr>
                  <w:r>
                    <w:rPr>
                      <w:rFonts w:eastAsia="宋体" w:hint="eastAsia"/>
                      <w:szCs w:val="21"/>
                      <w:lang w:val="en-US" w:eastAsia="zh-CN"/>
                    </w:rPr>
                    <w:t>4</w:t>
                  </w:r>
                </w:p>
              </w:tc>
              <w:tc>
                <w:tcPr>
                  <w:tcW w:w="727" w:type="pct"/>
                  <w:vMerge w:val="restart"/>
                  <w:noWrap w:val="0"/>
                  <w:vAlign w:val="center"/>
                </w:tcPr>
                <w:p>
                  <w:pPr>
                    <w:pStyle w:val="yt3"/>
                  </w:pPr>
                </w:p>
              </w:tc>
              <w:tc>
                <w:tcPr>
                  <w:tcW w:w="728" w:type="pct"/>
                  <w:noWrap w:val="0"/>
                  <w:vAlign w:val="center"/>
                </w:tcPr>
                <w:p>
                  <w:pPr>
                    <w:pStyle w:val="yt3"/>
                    <w:rPr>
                      <w:rFonts w:eastAsia="宋体" w:hint="default"/>
                      <w:lang w:val="en-US" w:eastAsia="zh-CN"/>
                    </w:rPr>
                  </w:pPr>
                  <w:r>
                    <w:rPr>
                      <w:rFonts w:hint="eastAsia"/>
                      <w:lang w:val="en-US" w:eastAsia="zh-CN"/>
                    </w:rPr>
                    <w:t>仪器清洗</w:t>
                  </w:r>
                </w:p>
              </w:tc>
              <w:tc>
                <w:tcPr>
                  <w:tcW w:w="584"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0.33</w:t>
                  </w:r>
                </w:p>
              </w:tc>
              <w:tc>
                <w:tcPr>
                  <w:tcW w:w="439"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49.66</w:t>
                  </w:r>
                </w:p>
              </w:tc>
              <w:tc>
                <w:tcPr>
                  <w:tcW w:w="439"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0</w:t>
                  </w:r>
                </w:p>
              </w:tc>
              <w:tc>
                <w:tcPr>
                  <w:tcW w:w="439"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0</w:t>
                  </w:r>
                </w:p>
              </w:tc>
              <w:tc>
                <w:tcPr>
                  <w:tcW w:w="531"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49.96</w:t>
                  </w:r>
                </w:p>
              </w:tc>
              <w:tc>
                <w:tcPr>
                  <w:tcW w:w="673" w:type="pct"/>
                  <w:noWrap w:val="0"/>
                  <w:vAlign w:val="center"/>
                </w:tcPr>
                <w:p>
                  <w:pPr>
                    <w:keepNext w:val="0"/>
                    <w:keepLines w:val="0"/>
                    <w:widowControl/>
                    <w:suppressLineNumbers w:val="0"/>
                    <w:jc w:val="center"/>
                    <w:textAlignment w:val="center"/>
                    <w:rPr>
                      <w:rFonts w:hint="default"/>
                    </w:rPr>
                  </w:pPr>
                  <w:r>
                    <w:rPr>
                      <w:rFonts w:ascii="Times New Roman" w:eastAsia="等线" w:hAnsi="Times New Roman" w:cs="Times New Roman" w:hint="default"/>
                      <w:i w:val="0"/>
                      <w:iCs w:val="0"/>
                      <w:color w:val="000000"/>
                      <w:kern w:val="0"/>
                      <w:sz w:val="21"/>
                      <w:szCs w:val="21"/>
                      <w:u w:val="none"/>
                      <w:lang w:val="en-US" w:eastAsia="zh-CN" w:bidi="ar"/>
                    </w:rPr>
                    <w:t>0.03</w:t>
                  </w:r>
                </w:p>
              </w:tc>
            </w:tr>
            <w:tr>
              <w:tblPrEx>
                <w:tblW w:w="4997" w:type="pct"/>
                <w:jc w:val="center"/>
                <w:tblCellMar>
                  <w:top w:w="0" w:type="dxa"/>
                  <w:left w:w="108" w:type="dxa"/>
                  <w:bottom w:w="0" w:type="dxa"/>
                  <w:right w:w="108" w:type="dxa"/>
                </w:tblCellMar>
              </w:tblPrEx>
              <w:trPr>
                <w:trHeight w:val="340"/>
                <w:jc w:val="center"/>
              </w:trPr>
              <w:tc>
                <w:tcPr>
                  <w:tcW w:w="437" w:type="pct"/>
                  <w:noWrap w:val="0"/>
                  <w:vAlign w:val="center"/>
                </w:tcPr>
                <w:p>
                  <w:pPr>
                    <w:jc w:val="center"/>
                    <w:rPr>
                      <w:rFonts w:hint="default"/>
                      <w:szCs w:val="21"/>
                    </w:rPr>
                  </w:pPr>
                  <w:r>
                    <w:rPr>
                      <w:rFonts w:hint="eastAsia"/>
                      <w:szCs w:val="21"/>
                      <w:lang w:val="en-US" w:eastAsia="zh-CN"/>
                    </w:rPr>
                    <w:t>5</w:t>
                  </w:r>
                </w:p>
              </w:tc>
              <w:tc>
                <w:tcPr>
                  <w:tcW w:w="727" w:type="pct"/>
                  <w:vMerge/>
                  <w:noWrap w:val="0"/>
                  <w:vAlign w:val="center"/>
                </w:tcPr>
                <w:p>
                  <w:pPr>
                    <w:pStyle w:val="yt3"/>
                  </w:pPr>
                </w:p>
              </w:tc>
              <w:tc>
                <w:tcPr>
                  <w:tcW w:w="728" w:type="pct"/>
                  <w:noWrap w:val="0"/>
                  <w:vAlign w:val="center"/>
                </w:tcPr>
                <w:p>
                  <w:pPr>
                    <w:pStyle w:val="yt3"/>
                    <w:rPr>
                      <w:rFonts w:hint="default"/>
                      <w:lang w:val="en-US" w:eastAsia="zh-CN"/>
                    </w:rPr>
                  </w:pPr>
                  <w:r>
                    <w:rPr>
                      <w:rFonts w:hint="eastAsia"/>
                      <w:lang w:val="en-US" w:eastAsia="zh-CN"/>
                    </w:rPr>
                    <w:t>碱喷淋</w:t>
                  </w:r>
                </w:p>
              </w:tc>
              <w:tc>
                <w:tcPr>
                  <w:tcW w:w="584" w:type="pct"/>
                  <w:noWrap w:val="0"/>
                  <w:vAlign w:val="center"/>
                </w:tcPr>
                <w:p>
                  <w:pPr>
                    <w:keepNext w:val="0"/>
                    <w:keepLines w:val="0"/>
                    <w:widowControl/>
                    <w:suppressLineNumbers w:val="0"/>
                    <w:jc w:val="center"/>
                    <w:textAlignment w:val="center"/>
                    <w:rPr>
                      <w:rFonts w:eastAsia="等线" w:hint="default"/>
                      <w:i w:val="0"/>
                      <w:iCs w:val="0"/>
                      <w:color w:val="000000"/>
                      <w:kern w:val="0"/>
                      <w:szCs w:val="21"/>
                      <w:u w:val="none"/>
                      <w:lang w:bidi="ar"/>
                    </w:rPr>
                  </w:pPr>
                  <w:r>
                    <w:rPr>
                      <w:rFonts w:eastAsia="等线" w:cs="Times New Roman" w:hint="eastAsia"/>
                      <w:i w:val="0"/>
                      <w:iCs w:val="0"/>
                      <w:color w:val="000000"/>
                      <w:kern w:val="0"/>
                      <w:sz w:val="21"/>
                      <w:szCs w:val="21"/>
                      <w:u w:val="none"/>
                      <w:lang w:val="en-US" w:eastAsia="zh-CN" w:bidi="ar"/>
                    </w:rPr>
                    <w:t>12</w:t>
                  </w:r>
                </w:p>
              </w:tc>
              <w:tc>
                <w:tcPr>
                  <w:tcW w:w="439" w:type="pct"/>
                  <w:noWrap w:val="0"/>
                  <w:vAlign w:val="center"/>
                </w:tcPr>
                <w:p>
                  <w:pPr>
                    <w:keepNext w:val="0"/>
                    <w:keepLines w:val="0"/>
                    <w:widowControl/>
                    <w:suppressLineNumbers w:val="0"/>
                    <w:jc w:val="center"/>
                    <w:textAlignment w:val="center"/>
                    <w:rPr>
                      <w:rFonts w:eastAsia="等线" w:hint="default"/>
                      <w:i w:val="0"/>
                      <w:iCs w:val="0"/>
                      <w:color w:val="000000"/>
                      <w:kern w:val="0"/>
                      <w:szCs w:val="21"/>
                      <w:u w:val="none"/>
                      <w:lang w:bidi="ar"/>
                    </w:rPr>
                  </w:pPr>
                  <w:r>
                    <w:rPr>
                      <w:rFonts w:eastAsia="等线" w:cs="Times New Roman" w:hint="eastAsia"/>
                      <w:i w:val="0"/>
                      <w:iCs w:val="0"/>
                      <w:color w:val="000000"/>
                      <w:kern w:val="0"/>
                      <w:sz w:val="21"/>
                      <w:szCs w:val="21"/>
                      <w:u w:val="none"/>
                      <w:lang w:val="en-US" w:eastAsia="zh-CN" w:bidi="ar"/>
                    </w:rPr>
                    <w:t>0</w:t>
                  </w:r>
                </w:p>
              </w:tc>
              <w:tc>
                <w:tcPr>
                  <w:tcW w:w="439" w:type="pct"/>
                  <w:noWrap w:val="0"/>
                  <w:vAlign w:val="center"/>
                </w:tcPr>
                <w:p>
                  <w:pPr>
                    <w:keepNext w:val="0"/>
                    <w:keepLines w:val="0"/>
                    <w:widowControl/>
                    <w:suppressLineNumbers w:val="0"/>
                    <w:jc w:val="center"/>
                    <w:textAlignment w:val="center"/>
                    <w:rPr>
                      <w:rFonts w:eastAsia="等线" w:hint="default"/>
                      <w:i w:val="0"/>
                      <w:iCs w:val="0"/>
                      <w:color w:val="000000"/>
                      <w:kern w:val="0"/>
                      <w:szCs w:val="21"/>
                      <w:u w:val="none"/>
                      <w:lang w:bidi="ar"/>
                    </w:rPr>
                  </w:pPr>
                  <w:r>
                    <w:rPr>
                      <w:rFonts w:eastAsia="等线" w:cs="Times New Roman" w:hint="eastAsia"/>
                      <w:i w:val="0"/>
                      <w:iCs w:val="0"/>
                      <w:color w:val="000000"/>
                      <w:kern w:val="0"/>
                      <w:sz w:val="21"/>
                      <w:szCs w:val="21"/>
                      <w:u w:val="none"/>
                      <w:lang w:val="en-US" w:eastAsia="zh-CN" w:bidi="ar"/>
                    </w:rPr>
                    <w:t>0</w:t>
                  </w:r>
                </w:p>
              </w:tc>
              <w:tc>
                <w:tcPr>
                  <w:tcW w:w="439" w:type="pct"/>
                  <w:noWrap w:val="0"/>
                  <w:vAlign w:val="center"/>
                </w:tcPr>
                <w:p>
                  <w:pPr>
                    <w:keepNext w:val="0"/>
                    <w:keepLines w:val="0"/>
                    <w:widowControl/>
                    <w:suppressLineNumbers w:val="0"/>
                    <w:jc w:val="center"/>
                    <w:textAlignment w:val="center"/>
                    <w:rPr>
                      <w:rFonts w:eastAsia="等线" w:hint="default"/>
                      <w:i w:val="0"/>
                      <w:iCs w:val="0"/>
                      <w:color w:val="000000"/>
                      <w:kern w:val="0"/>
                      <w:szCs w:val="21"/>
                      <w:u w:val="none"/>
                      <w:lang w:bidi="ar"/>
                    </w:rPr>
                  </w:pPr>
                  <w:r>
                    <w:rPr>
                      <w:rFonts w:eastAsia="等线" w:cs="Times New Roman" w:hint="eastAsia"/>
                      <w:i w:val="0"/>
                      <w:iCs w:val="0"/>
                      <w:color w:val="000000"/>
                      <w:kern w:val="0"/>
                      <w:sz w:val="21"/>
                      <w:szCs w:val="21"/>
                      <w:u w:val="none"/>
                      <w:lang w:val="en-US" w:eastAsia="zh-CN" w:bidi="ar"/>
                    </w:rPr>
                    <w:t>0</w:t>
                  </w:r>
                </w:p>
              </w:tc>
              <w:tc>
                <w:tcPr>
                  <w:tcW w:w="531" w:type="pct"/>
                  <w:noWrap w:val="0"/>
                  <w:vAlign w:val="center"/>
                </w:tcPr>
                <w:p>
                  <w:pPr>
                    <w:keepNext w:val="0"/>
                    <w:keepLines w:val="0"/>
                    <w:widowControl/>
                    <w:suppressLineNumbers w:val="0"/>
                    <w:jc w:val="center"/>
                    <w:textAlignment w:val="center"/>
                    <w:rPr>
                      <w:rFonts w:eastAsia="等线" w:hint="default"/>
                      <w:i w:val="0"/>
                      <w:iCs w:val="0"/>
                      <w:color w:val="000000"/>
                      <w:kern w:val="0"/>
                      <w:szCs w:val="21"/>
                      <w:u w:val="none"/>
                      <w:lang w:bidi="ar"/>
                    </w:rPr>
                  </w:pPr>
                  <w:r>
                    <w:rPr>
                      <w:rFonts w:eastAsia="等线" w:cs="Times New Roman" w:hint="eastAsia"/>
                      <w:i w:val="0"/>
                      <w:iCs w:val="0"/>
                      <w:color w:val="000000"/>
                      <w:kern w:val="0"/>
                      <w:sz w:val="21"/>
                      <w:szCs w:val="21"/>
                      <w:u w:val="none"/>
                      <w:lang w:val="en-US" w:eastAsia="zh-CN" w:bidi="ar"/>
                    </w:rPr>
                    <w:t>12</w:t>
                  </w:r>
                </w:p>
              </w:tc>
              <w:tc>
                <w:tcPr>
                  <w:tcW w:w="673" w:type="pct"/>
                  <w:noWrap w:val="0"/>
                  <w:vAlign w:val="center"/>
                </w:tcPr>
                <w:p>
                  <w:pPr>
                    <w:keepNext w:val="0"/>
                    <w:keepLines w:val="0"/>
                    <w:widowControl/>
                    <w:suppressLineNumbers w:val="0"/>
                    <w:jc w:val="center"/>
                    <w:textAlignment w:val="center"/>
                    <w:rPr>
                      <w:rFonts w:eastAsia="等线" w:hint="default"/>
                      <w:i w:val="0"/>
                      <w:iCs w:val="0"/>
                      <w:color w:val="000000"/>
                      <w:kern w:val="0"/>
                      <w:szCs w:val="21"/>
                      <w:u w:val="none"/>
                      <w:lang w:bidi="ar"/>
                    </w:rPr>
                  </w:pPr>
                  <w:r>
                    <w:rPr>
                      <w:rFonts w:eastAsia="等线" w:cs="Times New Roman" w:hint="eastAsia"/>
                      <w:i w:val="0"/>
                      <w:iCs w:val="0"/>
                      <w:color w:val="000000"/>
                      <w:kern w:val="0"/>
                      <w:sz w:val="21"/>
                      <w:szCs w:val="21"/>
                      <w:u w:val="none"/>
                      <w:lang w:val="en-US" w:eastAsia="zh-CN" w:bidi="ar"/>
                    </w:rPr>
                    <w:t>0</w:t>
                  </w:r>
                </w:p>
              </w:tc>
            </w:tr>
            <w:tr>
              <w:tblPrEx>
                <w:tblW w:w="4997" w:type="pct"/>
                <w:jc w:val="center"/>
                <w:tblCellMar>
                  <w:top w:w="0" w:type="dxa"/>
                  <w:left w:w="108" w:type="dxa"/>
                  <w:bottom w:w="0" w:type="dxa"/>
                  <w:right w:w="108" w:type="dxa"/>
                </w:tblCellMar>
              </w:tblPrEx>
              <w:trPr>
                <w:trHeight w:val="340"/>
                <w:jc w:val="center"/>
              </w:trPr>
              <w:tc>
                <w:tcPr>
                  <w:tcW w:w="1892" w:type="pct"/>
                  <w:gridSpan w:val="3"/>
                  <w:noWrap w:val="0"/>
                  <w:vAlign w:val="center"/>
                </w:tcPr>
                <w:p>
                  <w:pPr>
                    <w:pStyle w:val="yt3"/>
                  </w:pPr>
                  <w:r>
                    <w:t>合计</w:t>
                  </w:r>
                </w:p>
              </w:tc>
              <w:tc>
                <w:tcPr>
                  <w:tcW w:w="1043" w:type="dxa"/>
                  <w:noWrap w:val="0"/>
                  <w:vAlign w:val="center"/>
                </w:tcPr>
                <w:p>
                  <w:pPr>
                    <w:pStyle w:val="CXY1"/>
                    <w:bidi w:val="0"/>
                    <w:rPr>
                      <w:rFonts w:hint="eastAsia"/>
                      <w:lang w:val="en-US" w:eastAsia="zh-CN"/>
                    </w:rPr>
                  </w:pPr>
                  <w:r>
                    <w:rPr>
                      <w:rFonts w:hint="default"/>
                      <w:lang w:val="en-US" w:eastAsia="zh-CN"/>
                    </w:rPr>
                    <w:t xml:space="preserve">586.545 </w:t>
                  </w:r>
                </w:p>
              </w:tc>
              <w:tc>
                <w:tcPr>
                  <w:tcW w:w="784" w:type="dxa"/>
                  <w:noWrap w:val="0"/>
                  <w:vAlign w:val="center"/>
                </w:tcPr>
                <w:p>
                  <w:pPr>
                    <w:pStyle w:val="CXY1"/>
                    <w:bidi w:val="0"/>
                    <w:rPr>
                      <w:rFonts w:hint="default"/>
                      <w:lang w:val="en-US" w:eastAsia="zh-CN"/>
                    </w:rPr>
                  </w:pPr>
                  <w:r>
                    <w:rPr>
                      <w:rFonts w:hint="default"/>
                      <w:lang w:val="en-US" w:eastAsia="zh-CN"/>
                    </w:rPr>
                    <w:t xml:space="preserve">50.500 </w:t>
                  </w:r>
                </w:p>
              </w:tc>
              <w:tc>
                <w:tcPr>
                  <w:tcW w:w="784" w:type="dxa"/>
                  <w:noWrap w:val="0"/>
                  <w:vAlign w:val="center"/>
                </w:tcPr>
                <w:p>
                  <w:pPr>
                    <w:pStyle w:val="CXY1"/>
                    <w:bidi w:val="0"/>
                    <w:rPr>
                      <w:rFonts w:hint="default"/>
                      <w:lang w:val="en-US" w:eastAsia="zh-CN"/>
                    </w:rPr>
                  </w:pPr>
                  <w:r>
                    <w:rPr>
                      <w:rFonts w:hint="default"/>
                      <w:lang w:val="en-US" w:eastAsia="zh-CN"/>
                    </w:rPr>
                    <w:t xml:space="preserve">100.400 </w:t>
                  </w:r>
                </w:p>
              </w:tc>
              <w:tc>
                <w:tcPr>
                  <w:tcW w:w="784" w:type="dxa"/>
                  <w:noWrap w:val="0"/>
                  <w:vAlign w:val="center"/>
                </w:tcPr>
                <w:p>
                  <w:pPr>
                    <w:pStyle w:val="CXY1"/>
                    <w:bidi w:val="0"/>
                    <w:rPr>
                      <w:rFonts w:hint="default"/>
                      <w:lang w:val="en-US" w:eastAsia="zh-CN"/>
                    </w:rPr>
                  </w:pPr>
                  <w:r>
                    <w:rPr>
                      <w:rFonts w:hint="default"/>
                      <w:lang w:val="en-US" w:eastAsia="zh-CN"/>
                    </w:rPr>
                    <w:t xml:space="preserve">50.500 </w:t>
                  </w:r>
                </w:p>
              </w:tc>
              <w:tc>
                <w:tcPr>
                  <w:tcW w:w="948" w:type="dxa"/>
                  <w:noWrap w:val="0"/>
                  <w:vAlign w:val="center"/>
                </w:tcPr>
                <w:p>
                  <w:pPr>
                    <w:pStyle w:val="CXY1"/>
                    <w:bidi w:val="0"/>
                    <w:rPr>
                      <w:rFonts w:hint="default"/>
                      <w:lang w:val="en-US" w:eastAsia="zh-CN"/>
                    </w:rPr>
                  </w:pPr>
                  <w:r>
                    <w:rPr>
                      <w:rFonts w:hint="default"/>
                      <w:lang w:val="en-US" w:eastAsia="zh-CN"/>
                    </w:rPr>
                    <w:t xml:space="preserve">485.275 </w:t>
                  </w:r>
                </w:p>
              </w:tc>
              <w:tc>
                <w:tcPr>
                  <w:tcW w:w="1203" w:type="dxa"/>
                  <w:noWrap w:val="0"/>
                  <w:vAlign w:val="center"/>
                </w:tcPr>
                <w:p>
                  <w:pPr>
                    <w:pStyle w:val="CXY1"/>
                    <w:bidi w:val="0"/>
                    <w:rPr>
                      <w:rFonts w:hint="default"/>
                      <w:lang w:val="en-US" w:eastAsia="zh-CN"/>
                    </w:rPr>
                  </w:pPr>
                  <w:r>
                    <w:rPr>
                      <w:rFonts w:hint="default"/>
                      <w:lang w:val="en-US" w:eastAsia="zh-CN"/>
                    </w:rPr>
                    <w:t xml:space="preserve">0.870 </w:t>
                  </w:r>
                </w:p>
              </w:tc>
            </w:tr>
          </w:tbl>
          <w:p>
            <w:pPr>
              <w:pStyle w:val="yt2"/>
              <w:numPr>
                <w:ilvl w:val="4"/>
                <w:numId w:val="0"/>
              </w:numPr>
              <w:bidi w:val="0"/>
              <w:ind w:leftChars="0"/>
              <w:jc w:val="both"/>
              <w:rPr>
                <w:rFonts w:hint="default"/>
                <w:lang w:val="en-US"/>
              </w:rPr>
            </w:pPr>
          </w:p>
          <w:p>
            <w:pPr>
              <w:pStyle w:val="yt"/>
              <w:keepNext w:val="0"/>
              <w:keepLines w:val="0"/>
              <w:pageBreakBefore w:val="0"/>
              <w:widowControl w:val="0"/>
              <w:kinsoku/>
              <w:wordWrap/>
              <w:overflowPunct/>
              <w:topLinePunct w:val="0"/>
              <w:autoSpaceDE/>
              <w:autoSpaceDN/>
              <w:bidi w:val="0"/>
              <w:adjustRightInd/>
              <w:snapToGrid/>
              <w:ind w:firstLine="0" w:firstLineChars="0"/>
              <w:jc w:val="center"/>
              <w:textAlignment w:val="auto"/>
            </w:pPr>
            <w:r>
              <w:object>
                <v:shape id="_x0000_i1031" type="#_x0000_t75" style="width:441.2pt;height:184.35pt" o:ole="" coordsize="21600,21600" o:preferrelative="t" filled="f" stroked="f">
                  <v:imagedata r:id="rId34" o:title=""/>
                  <o:lock v:ext="edit" aspectratio="f"/>
                  <w10:anchorlock/>
                </v:shape>
                <o:OLEObject Type="Embed" ProgID="Visio.Drawing.15" ShapeID="_x0000_i1031" DrawAspect="Content" ObjectID="_1468075727" r:id="rId35"/>
              </w:object>
            </w:r>
          </w:p>
          <w:p>
            <w:pPr>
              <w:pStyle w:val="yt2"/>
              <w:bidi w:val="0"/>
              <w:rPr>
                <w:rFonts w:hint="default"/>
                <w:lang w:val="en-US"/>
              </w:rPr>
            </w:pPr>
            <w:r>
              <w:rPr>
                <w:rFonts w:hint="eastAsia"/>
                <w:lang w:val="en-US" w:eastAsia="zh-CN"/>
              </w:rPr>
              <w:t>项目建成后全实验室水平衡图</w:t>
            </w:r>
            <w:r>
              <w:rPr>
                <w:b/>
                <w:bCs/>
                <w:sz w:val="21"/>
                <w:szCs w:val="21"/>
              </w:rPr>
              <w:t>m</w:t>
            </w:r>
            <w:r>
              <w:rPr>
                <w:b/>
                <w:bCs/>
                <w:sz w:val="21"/>
                <w:szCs w:val="21"/>
                <w:vertAlign w:val="superscript"/>
              </w:rPr>
              <w:t>3</w:t>
            </w:r>
            <w:r>
              <w:rPr>
                <w:b/>
                <w:bCs/>
                <w:sz w:val="21"/>
                <w:szCs w:val="21"/>
              </w:rPr>
              <w:t>/a</w:t>
            </w:r>
          </w:p>
          <w:p>
            <w:pPr>
              <w:pStyle w:val="yt"/>
              <w:ind w:firstLine="480"/>
            </w:pPr>
            <w:r>
              <w:t>（3）供电系统</w:t>
            </w:r>
          </w:p>
          <w:p>
            <w:pPr>
              <w:pStyle w:val="yt"/>
              <w:ind w:firstLine="480"/>
            </w:pPr>
            <w:r>
              <w:rPr>
                <w:rFonts w:hint="eastAsia"/>
                <w:lang w:val="en-US" w:eastAsia="zh-CN"/>
              </w:rPr>
              <w:t>市政供电</w:t>
            </w:r>
            <w:r>
              <w:t>。</w:t>
            </w:r>
          </w:p>
          <w:p>
            <w:pPr>
              <w:pStyle w:val="yt"/>
              <w:ind w:firstLine="482"/>
              <w:rPr>
                <w:b/>
                <w:bCs/>
              </w:rPr>
            </w:pPr>
            <w:r>
              <w:rPr>
                <w:rFonts w:hint="eastAsia"/>
                <w:b/>
                <w:bCs/>
                <w:lang w:val="en-US" w:eastAsia="zh-CN"/>
              </w:rPr>
              <w:t>8</w:t>
            </w:r>
            <w:r>
              <w:rPr>
                <w:rFonts w:hint="eastAsia"/>
                <w:b/>
                <w:bCs/>
              </w:rPr>
              <w:t>、</w:t>
            </w:r>
            <w:r>
              <w:rPr>
                <w:b/>
                <w:bCs/>
              </w:rPr>
              <w:t>平面布置</w:t>
            </w:r>
          </w:p>
          <w:p>
            <w:pPr>
              <w:pStyle w:val="CXY4"/>
            </w:pPr>
            <w:r>
              <w:t>项目</w:t>
            </w:r>
            <w:r>
              <w:rPr>
                <w:rFonts w:hint="eastAsia"/>
                <w:lang w:eastAsia="zh-CN"/>
              </w:rPr>
              <w:t>位于南昌市青山湖区高新南大道3699号弘泰大厦6楼（</w:t>
            </w:r>
            <w:r>
              <w:rPr>
                <w:rFonts w:hint="eastAsia"/>
                <w:lang w:val="en-US" w:eastAsia="zh-CN"/>
              </w:rPr>
              <w:t>临近高新南大道一侧</w:t>
            </w:r>
            <w:r>
              <w:rPr>
                <w:rFonts w:hint="eastAsia"/>
                <w:lang w:eastAsia="zh-CN"/>
              </w:rPr>
              <w:t>）</w:t>
            </w:r>
            <w:r>
              <w:t>，</w:t>
            </w:r>
            <w:r>
              <w:rPr>
                <w:rFonts w:hint="eastAsia"/>
                <w:lang w:val="en-US" w:eastAsia="zh-CN"/>
              </w:rPr>
              <w:t>项目扩建部分全部为实验室，各不同功能实验室按照样品检测流程布置，项目布局能按功能分区，使各功能区有机结合，达到功能互补</w:t>
            </w:r>
            <w:r>
              <w:rPr>
                <w:rFonts w:hint="eastAsia"/>
                <w:lang w:eastAsia="zh-CN"/>
              </w:rPr>
              <w:t>，</w:t>
            </w:r>
            <w:r>
              <w:rPr>
                <w:rFonts w:hint="eastAsia"/>
                <w:lang w:val="en-US" w:eastAsia="zh-CN"/>
              </w:rPr>
              <w:t>总体来项目平面布置合理。项目平面布置见附图三。</w:t>
            </w:r>
          </w:p>
          <w:p>
            <w:pPr>
              <w:pStyle w:val="a"/>
              <w:jc w:val="both"/>
            </w:pPr>
          </w:p>
        </w:tc>
      </w:tr>
      <w:tr>
        <w:tblPrEx>
          <w:tblW w:w="5000" w:type="pct"/>
          <w:jc w:val="center"/>
          <w:tblCellMar>
            <w:top w:w="0" w:type="dxa"/>
            <w:left w:w="108" w:type="dxa"/>
            <w:bottom w:w="0" w:type="dxa"/>
            <w:right w:w="108" w:type="dxa"/>
          </w:tblCellMar>
        </w:tblPrEx>
        <w:trPr>
          <w:trHeight w:val="1889"/>
          <w:jc w:val="center"/>
        </w:trPr>
        <w:tc>
          <w:tcPr>
            <w:tcW w:w="318" w:type="pct"/>
            <w:noWrap w:val="0"/>
            <w:vAlign w:val="center"/>
          </w:tcPr>
          <w:p>
            <w:pPr>
              <w:pStyle w:val="NormalWeb"/>
              <w:adjustRightInd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t>工艺流程和产排污环节</w:t>
            </w:r>
          </w:p>
        </w:tc>
        <w:tc>
          <w:tcPr>
            <w:tcW w:w="4681" w:type="pct"/>
            <w:noWrap w:val="0"/>
            <w:vAlign w:val="center"/>
          </w:tcPr>
          <w:p>
            <w:pPr>
              <w:pStyle w:val="yt"/>
              <w:keepNext w:val="0"/>
              <w:keepLines w:val="0"/>
              <w:pageBreakBefore w:val="0"/>
              <w:widowControl w:val="0"/>
              <w:kinsoku/>
              <w:wordWrap/>
              <w:overflowPunct/>
              <w:topLinePunct w:val="0"/>
              <w:autoSpaceDE/>
              <w:autoSpaceDN/>
              <w:bidi w:val="0"/>
              <w:adjustRightInd/>
              <w:snapToGrid/>
              <w:spacing w:before="120" w:beforeLines="50"/>
              <w:ind w:firstLine="482"/>
              <w:textAlignment w:val="auto"/>
            </w:pPr>
            <w:r>
              <w:t>1、施工期：</w:t>
            </w:r>
          </w:p>
          <w:p>
            <w:pPr>
              <w:pStyle w:val="yt"/>
              <w:ind w:firstLine="480"/>
              <w:rPr>
                <w:rFonts w:hint="eastAsia"/>
                <w:lang w:val="en-US" w:eastAsia="zh-CN"/>
              </w:rPr>
            </w:pPr>
            <w:r>
              <w:rPr>
                <w:rFonts w:hint="eastAsia"/>
                <w:lang w:val="en-US" w:eastAsia="zh-CN"/>
              </w:rPr>
              <w:t>本项目租赁南昌市青山湖区高新南大道3699号弘泰大厦6楼部分区域（临近高新南大道一侧）建设实验室，</w:t>
            </w:r>
            <w:r>
              <w:rPr>
                <w:rFonts w:hint="eastAsia"/>
              </w:rPr>
              <w:t>不进行土建施工，仅对建筑进行装修以及实验设备购置、安装和调试。在装修、辅助设施建设和设备安装时会产生少量的金属废弃物、建筑垃圾及施工人员生活垃圾等。在施工期对外界环境的影响是局部的</w:t>
            </w:r>
            <w:r>
              <w:t>，</w:t>
            </w:r>
            <w:r>
              <w:rPr>
                <w:rFonts w:hint="eastAsia"/>
              </w:rPr>
              <w:t>且</w:t>
            </w:r>
            <w:r>
              <w:t>安装期较短，影响较小，因此本评价不再进一步分析施工期影响</w:t>
            </w:r>
            <w:r>
              <w:rPr>
                <w:rFonts w:hint="eastAsia"/>
                <w:lang w:val="en-US" w:eastAsia="zh-CN"/>
              </w:rPr>
              <w:t>。</w:t>
            </w:r>
          </w:p>
          <w:p>
            <w:pPr>
              <w:pStyle w:val="yt"/>
              <w:ind w:firstLine="482"/>
            </w:pPr>
            <w:r>
              <w:t>2、营运期：</w:t>
            </w:r>
          </w:p>
          <w:p>
            <w:pPr>
              <w:pStyle w:val="yt"/>
              <w:ind w:firstLine="480"/>
              <w:jc w:val="left"/>
            </w:pPr>
            <w:r>
              <w:rPr>
                <w:rFonts w:hint="eastAsia"/>
                <w:lang w:val="en-US" w:eastAsia="zh-CN"/>
              </w:rPr>
              <w:t>本次工程为土壤、固废检测实验室扩建，</w:t>
            </w:r>
            <w:r>
              <w:rPr>
                <w:rFonts w:hint="eastAsia"/>
              </w:rPr>
              <w:t>项目</w:t>
            </w:r>
            <w:r>
              <w:t>营运期</w:t>
            </w:r>
            <w:r>
              <w:rPr>
                <w:rFonts w:hint="eastAsia"/>
              </w:rPr>
              <w:t>生产</w:t>
            </w:r>
            <w:r>
              <w:t>工艺流程（如下图）：</w:t>
            </w:r>
          </w:p>
        </w:tc>
      </w:tr>
    </w:tbl>
    <w:p>
      <w:pPr>
        <w:sectPr>
          <w:footerReference w:type="default" r:id="rId36"/>
          <w:type w:val="nextPage"/>
          <w:pgSz w:w="11906" w:h="16838"/>
          <w:pgMar w:top="1134" w:right="1134" w:bottom="1134" w:left="1417" w:header="851" w:footer="850" w:gutter="0"/>
          <w:pgBorders>
            <w:top w:val="none" w:sz="0" w:space="0" w:color="auto"/>
            <w:left w:val="none" w:sz="0" w:space="0" w:color="auto"/>
            <w:bottom w:val="none" w:sz="0" w:space="0" w:color="auto"/>
            <w:right w:val="none" w:sz="0" w:space="0" w:color="auto"/>
          </w:pgBorders>
          <w:pgNumType w:start="23"/>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87"/>
        <w:gridCol w:w="9184"/>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889"/>
          <w:jc w:val="center"/>
        </w:trPr>
        <w:tc>
          <w:tcPr>
            <w:tcW w:w="318" w:type="pct"/>
            <w:noWrap w:val="0"/>
            <w:vAlign w:val="center"/>
          </w:tcPr>
          <w:p/>
        </w:tc>
        <w:tc>
          <w:tcPr>
            <w:tcW w:w="4681" w:type="pct"/>
            <w:noWrap w:val="0"/>
            <w:vAlign w:val="center"/>
          </w:tcPr>
          <w:p>
            <w:pPr>
              <w:pStyle w:val="yt2"/>
              <w:numPr>
                <w:ilvl w:val="0"/>
                <w:numId w:val="0"/>
              </w:numPr>
              <w:ind w:leftChars="0"/>
              <w:jc w:val="center"/>
            </w:pPr>
            <w:r>
              <w:object>
                <v:shape id="_x0000_i1032" type="#_x0000_t75" style="width:422.35pt;height:153.95pt" o:ole="" coordsize="21600,21600" o:preferrelative="t" filled="f" stroked="f">
                  <v:imagedata r:id="rId37" o:title=""/>
                  <o:lock v:ext="edit" aspectratio="f"/>
                  <w10:anchorlock/>
                </v:shape>
                <o:OLEObject Type="Embed" ProgID="Visio.Drawing.15" ShapeID="_x0000_i1032" DrawAspect="Content" ObjectID="_1468075728" r:id="rId38"/>
              </w:object>
            </w:r>
          </w:p>
          <w:p>
            <w:pPr>
              <w:pStyle w:val="yt2"/>
              <w:keepNext w:val="0"/>
              <w:keepLines w:val="0"/>
              <w:pageBreakBefore w:val="0"/>
              <w:widowControl w:val="0"/>
              <w:kinsoku/>
              <w:wordWrap/>
              <w:overflowPunct/>
              <w:topLinePunct w:val="0"/>
              <w:autoSpaceDE/>
              <w:autoSpaceDN/>
              <w:bidi w:val="0"/>
              <w:adjustRightInd/>
              <w:snapToGrid/>
              <w:spacing w:after="120" w:afterLines="50"/>
              <w:ind w:left="283" w:hanging="283"/>
              <w:textAlignment w:val="auto"/>
            </w:pPr>
            <w:r>
              <w:t>项目工艺流程及产污环节图</w:t>
            </w:r>
          </w:p>
          <w:p>
            <w:pPr>
              <w:pStyle w:val="yt"/>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rPr>
            </w:pPr>
            <w:r>
              <w:rPr>
                <w:rFonts w:hint="eastAsia"/>
                <w:lang w:val="en-US" w:eastAsia="zh-CN"/>
              </w:rPr>
              <w:t>工艺流程</w:t>
            </w:r>
            <w:r>
              <w:rPr>
                <w:rFonts w:hint="default"/>
              </w:rPr>
              <w:t>说明：</w:t>
            </w:r>
          </w:p>
          <w:p>
            <w:pPr>
              <w:pStyle w:val="yt"/>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rPr>
            </w:pPr>
            <w:r>
              <w:rPr>
                <w:rFonts w:hint="default"/>
              </w:rPr>
              <w:t>①</w:t>
            </w:r>
            <w:r>
              <w:rPr>
                <w:rFonts w:hint="eastAsia"/>
                <w:lang w:val="en-US" w:eastAsia="zh-CN"/>
              </w:rPr>
              <w:t>样品前处理</w:t>
            </w:r>
            <w:r>
              <w:rPr>
                <w:rFonts w:hint="default"/>
                <w:lang w:val="en-US" w:eastAsia="zh-CN"/>
              </w:rPr>
              <w:t>：</w:t>
            </w:r>
            <w:r>
              <w:rPr>
                <w:rFonts w:hint="eastAsia"/>
                <w:lang w:val="en-US" w:eastAsia="zh-CN"/>
              </w:rPr>
              <w:t>此过程将待测样品进行分样、研磨、烘干，此过程会有研磨粉尘G1、剩余一般土壤样品S1、部分剩余污染固废样品S2（作危废处置）、除尘器粉尘S3及通风橱噪声N</w:t>
            </w:r>
            <w:r>
              <w:rPr>
                <w:rFonts w:hint="default"/>
              </w:rPr>
              <w:t>。</w:t>
            </w:r>
          </w:p>
          <w:p>
            <w:pPr>
              <w:pStyle w:val="yt"/>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lang w:val="en-US" w:eastAsia="zh-CN"/>
              </w:rPr>
            </w:pPr>
            <w:r>
              <w:rPr>
                <w:rFonts w:hint="default"/>
              </w:rPr>
              <w:t>②</w:t>
            </w:r>
            <w:r>
              <w:rPr>
                <w:rFonts w:hint="eastAsia"/>
                <w:lang w:val="en-US" w:eastAsia="zh-CN"/>
              </w:rPr>
              <w:t>样品消解</w:t>
            </w:r>
            <w:r>
              <w:rPr>
                <w:rFonts w:hint="default"/>
                <w:lang w:val="en-US" w:eastAsia="zh-CN"/>
              </w:rPr>
              <w:t>：</w:t>
            </w:r>
            <w:r>
              <w:rPr>
                <w:rFonts w:hint="eastAsia"/>
                <w:lang w:val="en-US" w:eastAsia="zh-CN"/>
              </w:rPr>
              <w:t>经前处理的样品在硫酸、盐酸、硝酸等酸性试剂中进行消解，此过程会产生酸性废气G2，废药品瓶、废实验器具、废手套S4、废包装材料S5及通风橱风机噪声N</w:t>
            </w:r>
            <w:r>
              <w:rPr>
                <w:rFonts w:hint="default"/>
                <w:lang w:val="en-US" w:eastAsia="zh-CN"/>
              </w:rPr>
              <w:t>。</w:t>
            </w:r>
          </w:p>
          <w:p>
            <w:pPr>
              <w:pStyle w:val="CXY4"/>
              <w:bidi w:val="0"/>
              <w:rPr>
                <w:rFonts w:hint="default"/>
                <w:lang w:val="en-US" w:eastAsia="zh-CN"/>
              </w:rPr>
            </w:pPr>
            <w:r>
              <w:rPr>
                <w:rFonts w:hint="default"/>
                <w:lang w:val="en-US" w:eastAsia="zh-CN"/>
              </w:rPr>
              <w:t>③</w:t>
            </w:r>
            <w:r>
              <w:rPr>
                <w:rFonts w:hint="eastAsia"/>
                <w:lang w:val="en-US" w:eastAsia="zh-CN"/>
              </w:rPr>
              <w:t>样品分析</w:t>
            </w:r>
            <w:r>
              <w:rPr>
                <w:rFonts w:hint="default"/>
                <w:lang w:val="en-US" w:eastAsia="zh-CN"/>
              </w:rPr>
              <w:t>：</w:t>
            </w:r>
            <w:r>
              <w:rPr>
                <w:rFonts w:hint="eastAsia"/>
                <w:lang w:val="en-US" w:eastAsia="zh-CN"/>
              </w:rPr>
              <w:t>经消解的土壤、固废样品过滤出浸出液进行样品分析实验，多余的消解后废渣、浸出液S6作为危废</w:t>
            </w:r>
            <w:r>
              <w:rPr>
                <w:rFonts w:hint="default"/>
                <w:lang w:val="en-US" w:eastAsia="zh-CN"/>
              </w:rPr>
              <w:t>。</w:t>
            </w:r>
          </w:p>
          <w:p>
            <w:pPr>
              <w:pStyle w:val="CXY4"/>
              <w:bidi w:val="0"/>
              <w:rPr>
                <w:rFonts w:hint="default"/>
                <w:lang w:val="en-US" w:eastAsia="zh-CN"/>
              </w:rPr>
            </w:pPr>
            <w:r>
              <w:rPr>
                <w:rFonts w:hint="default"/>
                <w:lang w:val="en-US" w:eastAsia="zh-CN"/>
              </w:rPr>
              <w:t>④</w:t>
            </w:r>
            <w:r>
              <w:rPr>
                <w:rFonts w:hint="eastAsia"/>
                <w:lang w:val="en-US" w:eastAsia="zh-CN"/>
              </w:rPr>
              <w:t>仪器清洗</w:t>
            </w:r>
            <w:r>
              <w:rPr>
                <w:rFonts w:hint="default"/>
                <w:lang w:val="en-US" w:eastAsia="zh-CN"/>
              </w:rPr>
              <w:t>：</w:t>
            </w:r>
            <w:r>
              <w:rPr>
                <w:rFonts w:hint="eastAsia"/>
                <w:lang w:val="en-US" w:eastAsia="zh-CN"/>
              </w:rPr>
              <w:t>样品检测结束，仪器中剩余样品、首次清洗废水S7作为危废处置，实验仪器后续清洗产生仪器清洗废水W1</w:t>
            </w:r>
            <w:r>
              <w:rPr>
                <w:rFonts w:hint="default"/>
                <w:lang w:val="en-US" w:eastAsia="zh-CN"/>
              </w:rPr>
              <w:t>。</w:t>
            </w:r>
          </w:p>
          <w:p>
            <w:pPr>
              <w:pStyle w:val="CXY4"/>
              <w:bidi w:val="0"/>
            </w:pPr>
            <w:r>
              <w:rPr>
                <w:rFonts w:ascii="宋体" w:eastAsia="宋体" w:hAnsi="宋体" w:cs="宋体" w:hint="eastAsia"/>
                <w:lang w:val="en-US" w:eastAsia="zh-CN"/>
              </w:rPr>
              <w:t>⑤</w:t>
            </w:r>
            <w:r>
              <w:rPr>
                <w:rFonts w:hint="eastAsia"/>
                <w:lang w:val="en-US" w:eastAsia="zh-CN"/>
              </w:rPr>
              <w:t>其他说明：</w:t>
            </w:r>
            <w:r>
              <w:t>本项目不新增工作人员，无新增生活污水</w:t>
            </w:r>
            <w:r>
              <w:rPr>
                <w:rFonts w:hint="eastAsia"/>
                <w:lang w:eastAsia="zh-CN"/>
              </w:rPr>
              <w:t>、</w:t>
            </w:r>
            <w:r>
              <w:rPr>
                <w:rFonts w:hint="eastAsia"/>
                <w:lang w:val="en-US" w:eastAsia="zh-CN"/>
              </w:rPr>
              <w:t>生活垃圾</w:t>
            </w:r>
            <w:r>
              <w:t>。</w:t>
            </w:r>
          </w:p>
          <w:p>
            <w:pPr>
              <w:pStyle w:val="CXY4"/>
              <w:bidi w:val="0"/>
              <w:rPr>
                <w:lang w:val="en-US" w:eastAsia="zh-CN"/>
              </w:rPr>
            </w:pPr>
            <w:r>
              <w:rPr>
                <w:rFonts w:hint="eastAsia"/>
                <w:lang w:val="en-US" w:eastAsia="zh-CN"/>
              </w:rPr>
              <w:t>项目运营期产排污情况见下表：</w:t>
            </w:r>
          </w:p>
          <w:p>
            <w:pPr>
              <w:pStyle w:val="yt1"/>
              <w:bidi w:val="0"/>
              <w:rPr>
                <w:rFonts w:hint="eastAsia"/>
                <w:lang w:val="en-US" w:eastAsia="zh-CN"/>
              </w:rPr>
            </w:pPr>
            <w:r>
              <w:rPr>
                <w:rFonts w:hint="eastAsia"/>
                <w:lang w:val="en-US" w:eastAsia="zh-CN"/>
              </w:rPr>
              <w:t>本项目运营期产污环节一览表</w:t>
            </w:r>
          </w:p>
          <w:tbl>
            <w:tblPr>
              <w:tblStyle w:val="TableNormal00"/>
              <w:tblW w:w="4997"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
            <w:tblGrid>
              <w:gridCol w:w="759"/>
              <w:gridCol w:w="1650"/>
              <w:gridCol w:w="1218"/>
              <w:gridCol w:w="1880"/>
              <w:gridCol w:w="3456"/>
            </w:tblGrid>
            <w:tr>
              <w:tblPrEx>
                <w:tblW w:w="4997"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Ex>
              <w:trPr>
                <w:trHeight w:val="340"/>
              </w:trPr>
              <w:tc>
                <w:tcPr>
                  <w:tcW w:w="423"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b/>
                      <w:color w:val="auto"/>
                      <w:highlight w:val="none"/>
                      <w:lang w:eastAsia="zh-CN"/>
                    </w:rPr>
                  </w:pPr>
                  <w:r>
                    <w:rPr>
                      <w:b/>
                      <w:color w:val="auto"/>
                      <w:sz w:val="21"/>
                      <w:szCs w:val="21"/>
                      <w:highlight w:val="none"/>
                      <w:lang w:eastAsia="zh-CN"/>
                    </w:rPr>
                    <w:t>类别</w:t>
                  </w:r>
                </w:p>
              </w:tc>
              <w:tc>
                <w:tcPr>
                  <w:tcW w:w="920"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b/>
                      <w:color w:val="auto"/>
                      <w:highlight w:val="none"/>
                      <w:lang w:eastAsia="zh-CN"/>
                    </w:rPr>
                  </w:pPr>
                  <w:r>
                    <w:rPr>
                      <w:b/>
                      <w:color w:val="auto"/>
                      <w:sz w:val="21"/>
                      <w:szCs w:val="21"/>
                      <w:highlight w:val="none"/>
                    </w:rPr>
                    <w:t>名称</w:t>
                  </w:r>
                </w:p>
              </w:tc>
              <w:tc>
                <w:tcPr>
                  <w:tcW w:w="679"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b/>
                      <w:color w:val="auto"/>
                      <w:highlight w:val="none"/>
                      <w:lang w:eastAsia="zh-CN"/>
                    </w:rPr>
                  </w:pPr>
                  <w:r>
                    <w:rPr>
                      <w:b/>
                      <w:color w:val="auto"/>
                      <w:sz w:val="21"/>
                      <w:szCs w:val="21"/>
                      <w:highlight w:val="none"/>
                      <w:lang w:eastAsia="zh-CN"/>
                    </w:rPr>
                    <w:t>产生工段</w:t>
                  </w:r>
                </w:p>
              </w:tc>
              <w:tc>
                <w:tcPr>
                  <w:tcW w:w="1048"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b/>
                      <w:color w:val="auto"/>
                      <w:highlight w:val="none"/>
                      <w:lang w:eastAsia="zh-CN"/>
                    </w:rPr>
                  </w:pPr>
                  <w:r>
                    <w:rPr>
                      <w:b/>
                      <w:color w:val="auto"/>
                      <w:sz w:val="21"/>
                      <w:szCs w:val="21"/>
                      <w:highlight w:val="none"/>
                      <w:lang w:eastAsia="zh-CN"/>
                    </w:rPr>
                    <w:t>污染因子</w:t>
                  </w:r>
                </w:p>
              </w:tc>
              <w:tc>
                <w:tcPr>
                  <w:tcW w:w="1927"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b/>
                      <w:color w:val="auto"/>
                      <w:highlight w:val="none"/>
                      <w:lang w:eastAsia="zh-CN"/>
                    </w:rPr>
                  </w:pPr>
                  <w:r>
                    <w:rPr>
                      <w:b/>
                      <w:color w:val="auto"/>
                      <w:sz w:val="21"/>
                      <w:szCs w:val="21"/>
                      <w:highlight w:val="none"/>
                      <w:lang w:eastAsia="zh-CN"/>
                    </w:rPr>
                    <w:t>治理措施</w:t>
                  </w:r>
                </w:p>
              </w:tc>
            </w:tr>
            <w:tr>
              <w:tblPrEx>
                <w:tblW w:w="4997" w:type="pct"/>
                <w:tblInd w:w="0" w:type="dxa"/>
                <w:tblCellMar>
                  <w:top w:w="0" w:type="dxa"/>
                  <w:left w:w="0" w:type="dxa"/>
                  <w:bottom w:w="0" w:type="dxa"/>
                  <w:right w:w="0" w:type="dxa"/>
                </w:tblCellMar>
              </w:tblPrEx>
              <w:trPr>
                <w:trHeight w:val="340"/>
              </w:trPr>
              <w:tc>
                <w:tcPr>
                  <w:tcW w:w="423" w:type="pct"/>
                  <w:vMerge w:val="restar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color w:val="auto"/>
                      <w:highlight w:val="none"/>
                      <w:lang w:eastAsia="zh-CN"/>
                    </w:rPr>
                  </w:pPr>
                  <w:r>
                    <w:rPr>
                      <w:color w:val="auto"/>
                      <w:sz w:val="21"/>
                      <w:szCs w:val="21"/>
                      <w:highlight w:val="none"/>
                      <w:lang w:eastAsia="zh-CN"/>
                    </w:rPr>
                    <w:t>废气</w:t>
                  </w:r>
                </w:p>
              </w:tc>
              <w:tc>
                <w:tcPr>
                  <w:tcW w:w="920"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cs="Times New Roman" w:hint="eastAsia"/>
                      <w:color w:val="auto"/>
                      <w:sz w:val="21"/>
                      <w:szCs w:val="21"/>
                      <w:highlight w:val="none"/>
                      <w:lang w:val="en-US" w:eastAsia="zh-CN"/>
                    </w:rPr>
                    <w:t>实验室废气G1</w:t>
                  </w:r>
                </w:p>
              </w:tc>
              <w:tc>
                <w:tcPr>
                  <w:tcW w:w="679"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样品制备</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hint="eastAsia"/>
                      <w:color w:val="auto"/>
                      <w:sz w:val="21"/>
                      <w:szCs w:val="21"/>
                      <w:highlight w:val="none"/>
                      <w:lang w:val="en-US" w:eastAsia="zh-CN"/>
                    </w:rPr>
                    <w:t>颗粒物</w:t>
                  </w:r>
                </w:p>
              </w:tc>
              <w:tc>
                <w:tcPr>
                  <w:tcW w:w="1927"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样品制备颗粒物通过内循环通风柜（内置袋式除尘）处理后无组织排放；</w:t>
                  </w:r>
                </w:p>
                <w:p>
                  <w:pPr>
                    <w:pStyle w:val="-0"/>
                    <w:pageBreakBefore w:val="0"/>
                    <w:wordWrap/>
                    <w:bidi w:val="0"/>
                    <w:adjustRightInd/>
                    <w:snapToGrid/>
                    <w:spacing w:beforeAutospacing="0" w:afterAutospacing="0" w:line="240" w:lineRule="auto"/>
                    <w:ind w:left="0" w:right="0" w:leftChars="0" w:rightChars="0"/>
                    <w:jc w:val="center"/>
                    <w:rPr>
                      <w:rFonts w:hint="eastAsia"/>
                      <w:color w:val="auto"/>
                      <w:highlight w:val="none"/>
                      <w:lang w:val="en-US" w:eastAsia="zh-CN"/>
                    </w:rPr>
                  </w:pPr>
                </w:p>
              </w:tc>
            </w:tr>
            <w:tr>
              <w:tblPrEx>
                <w:tblW w:w="4997" w:type="pct"/>
                <w:tblInd w:w="0" w:type="dxa"/>
                <w:tblCellMar>
                  <w:top w:w="0" w:type="dxa"/>
                  <w:left w:w="0" w:type="dxa"/>
                  <w:bottom w:w="0" w:type="dxa"/>
                  <w:right w:w="0" w:type="dxa"/>
                </w:tblCellMar>
              </w:tblPrEx>
              <w:trPr>
                <w:trHeight w:val="340"/>
              </w:trPr>
              <w:tc>
                <w:tcPr>
                  <w:tcW w:w="423"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color w:val="auto"/>
                      <w:highlight w:val="none"/>
                      <w:lang w:eastAsia="zh-CN"/>
                    </w:rPr>
                  </w:pPr>
                </w:p>
              </w:tc>
              <w:tc>
                <w:tcPr>
                  <w:tcW w:w="920"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eastAsia"/>
                      <w:color w:val="auto"/>
                      <w:highlight w:val="none"/>
                      <w:lang w:val="en-US" w:eastAsia="zh-CN"/>
                    </w:rPr>
                  </w:pPr>
                  <w:r>
                    <w:rPr>
                      <w:rFonts w:cs="Times New Roman" w:hint="eastAsia"/>
                      <w:color w:val="auto"/>
                      <w:sz w:val="21"/>
                      <w:szCs w:val="21"/>
                      <w:highlight w:val="none"/>
                      <w:lang w:val="en-US" w:eastAsia="zh-CN"/>
                    </w:rPr>
                    <w:t>实验室废气G2</w:t>
                  </w:r>
                </w:p>
              </w:tc>
              <w:tc>
                <w:tcPr>
                  <w:tcW w:w="679"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样品消解</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eastAsia"/>
                      <w:color w:val="auto"/>
                      <w:szCs w:val="21"/>
                      <w:highlight w:val="none"/>
                    </w:rPr>
                  </w:pPr>
                  <w:r>
                    <w:rPr>
                      <w:rFonts w:hint="eastAsia"/>
                      <w:color w:val="auto"/>
                      <w:sz w:val="21"/>
                      <w:szCs w:val="21"/>
                      <w:highlight w:val="none"/>
                      <w:lang w:val="en-US" w:eastAsia="zh-CN"/>
                    </w:rPr>
                    <w:t>HCl、硫酸雾、NOx、氨气</w:t>
                  </w:r>
                </w:p>
              </w:tc>
              <w:tc>
                <w:tcPr>
                  <w:tcW w:w="1927"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eastAsia"/>
                      <w:color w:val="auto"/>
                      <w:highlight w:val="none"/>
                      <w:lang w:val="en-US" w:eastAsia="zh-CN"/>
                    </w:rPr>
                  </w:pPr>
                  <w:r>
                    <w:rPr>
                      <w:rFonts w:hint="eastAsia"/>
                      <w:color w:val="auto"/>
                      <w:sz w:val="21"/>
                      <w:szCs w:val="21"/>
                      <w:highlight w:val="none"/>
                      <w:lang w:val="en-US" w:eastAsia="zh-CN"/>
                    </w:rPr>
                    <w:t>经通风橱+碱液喷淋装置处理，而后引至40米高楼顶排气筒（DA004）排放；</w:t>
                  </w:r>
                </w:p>
              </w:tc>
            </w:tr>
            <w:tr>
              <w:tblPrEx>
                <w:tblW w:w="4997" w:type="pct"/>
                <w:tblInd w:w="0" w:type="dxa"/>
                <w:tblCellMar>
                  <w:top w:w="0" w:type="dxa"/>
                  <w:left w:w="0" w:type="dxa"/>
                  <w:bottom w:w="0" w:type="dxa"/>
                  <w:right w:w="0" w:type="dxa"/>
                </w:tblCellMar>
              </w:tblPrEx>
              <w:trPr>
                <w:trHeight w:val="340"/>
              </w:trPr>
              <w:tc>
                <w:tcPr>
                  <w:tcW w:w="423" w:type="pct"/>
                  <w:vMerge w:val="restar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eastAsia"/>
                      <w:color w:val="auto"/>
                      <w:highlight w:val="none"/>
                      <w:lang w:val="en-US" w:eastAsia="zh-CN"/>
                    </w:rPr>
                  </w:pPr>
                  <w:r>
                    <w:rPr>
                      <w:rFonts w:hint="eastAsia"/>
                      <w:color w:val="auto"/>
                      <w:sz w:val="21"/>
                      <w:szCs w:val="21"/>
                      <w:highlight w:val="none"/>
                      <w:lang w:val="en-US" w:eastAsia="zh-CN"/>
                    </w:rPr>
                    <w:t>废水</w:t>
                  </w:r>
                </w:p>
              </w:tc>
              <w:tc>
                <w:tcPr>
                  <w:tcW w:w="920" w:type="pct"/>
                  <w:vMerge w:val="restar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cs="Times New Roman" w:hint="eastAsia"/>
                      <w:color w:val="auto"/>
                      <w:sz w:val="21"/>
                      <w:szCs w:val="21"/>
                      <w:highlight w:val="none"/>
                      <w:lang w:val="en-US" w:eastAsia="zh-CN"/>
                    </w:rPr>
                    <w:t>实验室废水W1</w:t>
                  </w:r>
                </w:p>
              </w:tc>
              <w:tc>
                <w:tcPr>
                  <w:tcW w:w="679"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纯水制备</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hint="default"/>
                      <w:color w:val="auto"/>
                      <w:sz w:val="21"/>
                      <w:szCs w:val="21"/>
                      <w:highlight w:val="none"/>
                      <w:lang w:val="en-US"/>
                    </w:rPr>
                    <w:t>COD、SS</w:t>
                  </w:r>
                </w:p>
              </w:tc>
              <w:tc>
                <w:tcPr>
                  <w:tcW w:w="1927" w:type="pct"/>
                  <w:vMerge w:val="restar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污染物浓度极低，由下水道进入化粪池</w:t>
                  </w:r>
                </w:p>
              </w:tc>
            </w:tr>
            <w:tr>
              <w:tblPrEx>
                <w:tblW w:w="4997" w:type="pct"/>
                <w:tblInd w:w="0" w:type="dxa"/>
                <w:tblCellMar>
                  <w:top w:w="0" w:type="dxa"/>
                  <w:left w:w="0" w:type="dxa"/>
                  <w:bottom w:w="0" w:type="dxa"/>
                  <w:right w:w="0" w:type="dxa"/>
                </w:tblCellMar>
              </w:tblPrEx>
              <w:trPr>
                <w:trHeight w:val="340"/>
              </w:trPr>
              <w:tc>
                <w:tcPr>
                  <w:tcW w:w="423"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eastAsia"/>
                      <w:color w:val="auto"/>
                      <w:highlight w:val="none"/>
                      <w:lang w:val="en-US" w:eastAsia="zh-CN"/>
                    </w:rPr>
                  </w:pPr>
                </w:p>
              </w:tc>
              <w:tc>
                <w:tcPr>
                  <w:tcW w:w="920"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p>
              </w:tc>
              <w:tc>
                <w:tcPr>
                  <w:tcW w:w="679"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仪器清洗</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hAnsi="Times New Roman" w:cs="Times New Roman" w:hint="default"/>
                      <w:lang w:val="en-US" w:eastAsia="zh-CN"/>
                    </w:rPr>
                    <w:t>SS</w:t>
                  </w:r>
                  <w:r>
                    <w:rPr>
                      <w:rFonts w:ascii="Times New Roman" w:hAnsi="Times New Roman" w:cs="Times New Roman" w:hint="default"/>
                    </w:rPr>
                    <w:t>、</w:t>
                  </w:r>
                  <w:r>
                    <w:rPr>
                      <w:rFonts w:ascii="Times New Roman" w:hAnsi="Times New Roman" w:cs="Times New Roman" w:hint="default"/>
                      <w:lang w:val="en-US" w:eastAsia="zh-CN"/>
                    </w:rPr>
                    <w:t>CODcr</w:t>
                  </w:r>
                  <w:r>
                    <w:rPr>
                      <w:rFonts w:ascii="Times New Roman" w:hAnsi="Times New Roman" w:cs="Times New Roman" w:hint="default"/>
                    </w:rPr>
                    <w:t>、</w:t>
                  </w:r>
                  <w:r>
                    <w:rPr>
                      <w:rFonts w:ascii="Times New Roman" w:hAnsi="Times New Roman" w:cs="Times New Roman" w:hint="default"/>
                      <w:lang w:val="en-US" w:eastAsia="zh-CN"/>
                    </w:rPr>
                    <w:t>BOD</w:t>
                  </w:r>
                  <w:r>
                    <w:rPr>
                      <w:rFonts w:ascii="Times New Roman" w:hAnsi="Times New Roman" w:cs="Times New Roman" w:hint="default"/>
                      <w:vertAlign w:val="subscript"/>
                      <w:lang w:val="en-US" w:eastAsia="zh-CN"/>
                    </w:rPr>
                    <w:t>5</w:t>
                  </w:r>
                  <w:r>
                    <w:rPr>
                      <w:rFonts w:ascii="Times New Roman" w:hAnsi="Times New Roman" w:cs="Times New Roman" w:hint="default"/>
                    </w:rPr>
                    <w:t>、氨氮</w:t>
                  </w:r>
                </w:p>
              </w:tc>
              <w:tc>
                <w:tcPr>
                  <w:tcW w:w="1927"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eastAsia"/>
                      <w:color w:val="auto"/>
                      <w:highlight w:val="none"/>
                      <w:lang w:val="en-US" w:eastAsia="zh-CN"/>
                    </w:rPr>
                  </w:pPr>
                </w:p>
              </w:tc>
            </w:tr>
            <w:tr>
              <w:tblPrEx>
                <w:tblW w:w="4997" w:type="pct"/>
                <w:tblInd w:w="0" w:type="dxa"/>
                <w:tblCellMar>
                  <w:top w:w="0" w:type="dxa"/>
                  <w:left w:w="0" w:type="dxa"/>
                  <w:bottom w:w="0" w:type="dxa"/>
                  <w:right w:w="0" w:type="dxa"/>
                </w:tblCellMar>
              </w:tblPrEx>
              <w:trPr>
                <w:trHeight w:val="340"/>
              </w:trPr>
              <w:tc>
                <w:tcPr>
                  <w:tcW w:w="423"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eastAsia"/>
                      <w:color w:val="auto"/>
                      <w:highlight w:val="none"/>
                      <w:lang w:val="en-US" w:eastAsia="zh-CN"/>
                    </w:rPr>
                  </w:pPr>
                </w:p>
              </w:tc>
              <w:tc>
                <w:tcPr>
                  <w:tcW w:w="920"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cs="Times New Roman" w:hint="eastAsia"/>
                      <w:color w:val="auto"/>
                      <w:sz w:val="21"/>
                      <w:szCs w:val="21"/>
                      <w:highlight w:val="none"/>
                      <w:lang w:val="en-US" w:eastAsia="zh-CN"/>
                    </w:rPr>
                    <w:t>碱喷淋废水</w:t>
                  </w:r>
                </w:p>
              </w:tc>
              <w:tc>
                <w:tcPr>
                  <w:tcW w:w="679"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废气处理</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eastAsia"/>
                    </w:rPr>
                  </w:pPr>
                  <w:r>
                    <w:rPr>
                      <w:rFonts w:cs="Times New Roman" w:hint="eastAsia"/>
                      <w:lang w:val="en-US" w:eastAsia="zh-CN"/>
                    </w:rPr>
                    <w:t>碱性废水</w:t>
                  </w:r>
                  <w:r>
                    <w:rPr>
                      <w:rFonts w:hint="eastAsia"/>
                      <w:lang w:eastAsia="zh-CN"/>
                    </w:rPr>
                    <w:t>（</w:t>
                  </w:r>
                  <w:r>
                    <w:rPr>
                      <w:rFonts w:hint="eastAsia"/>
                      <w:lang w:val="en-US" w:eastAsia="zh-CN"/>
                    </w:rPr>
                    <w:t>pH、硫酸盐、硝酸盐等</w:t>
                  </w:r>
                  <w:r>
                    <w:rPr>
                      <w:rFonts w:hint="eastAsia"/>
                      <w:lang w:eastAsia="zh-CN"/>
                    </w:rPr>
                    <w:t>）</w:t>
                  </w:r>
                </w:p>
              </w:tc>
              <w:tc>
                <w:tcPr>
                  <w:tcW w:w="1927"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在循环药箱中和处理后排入化粪池</w:t>
                  </w:r>
                </w:p>
              </w:tc>
            </w:tr>
            <w:tr>
              <w:tblPrEx>
                <w:tblW w:w="4997" w:type="pct"/>
                <w:tblInd w:w="0" w:type="dxa"/>
                <w:tblCellMar>
                  <w:top w:w="0" w:type="dxa"/>
                  <w:left w:w="0" w:type="dxa"/>
                  <w:bottom w:w="0" w:type="dxa"/>
                  <w:right w:w="0" w:type="dxa"/>
                </w:tblCellMar>
              </w:tblPrEx>
              <w:trPr>
                <w:trHeight w:val="340"/>
              </w:trPr>
              <w:tc>
                <w:tcPr>
                  <w:tcW w:w="423"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color w:val="auto"/>
                      <w:highlight w:val="none"/>
                    </w:rPr>
                  </w:pPr>
                  <w:r>
                    <w:rPr>
                      <w:color w:val="auto"/>
                      <w:sz w:val="21"/>
                      <w:szCs w:val="21"/>
                      <w:highlight w:val="none"/>
                    </w:rPr>
                    <w:t>噪声</w:t>
                  </w:r>
                </w:p>
              </w:tc>
              <w:tc>
                <w:tcPr>
                  <w:tcW w:w="920"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设备噪音N</w:t>
                  </w:r>
                </w:p>
              </w:tc>
              <w:tc>
                <w:tcPr>
                  <w:tcW w:w="679"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通风橱风机等设备工作</w:t>
                  </w:r>
                </w:p>
              </w:tc>
              <w:tc>
                <w:tcPr>
                  <w:tcW w:w="1048"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eastAsia"/>
                      <w:color w:val="auto"/>
                      <w:highlight w:val="none"/>
                      <w:lang w:val="en-US" w:eastAsia="zh-CN"/>
                    </w:rPr>
                  </w:pPr>
                  <w:r>
                    <w:rPr>
                      <w:rFonts w:hint="eastAsia"/>
                      <w:color w:val="auto"/>
                      <w:sz w:val="21"/>
                      <w:szCs w:val="21"/>
                      <w:highlight w:val="none"/>
                      <w:lang w:val="en-US" w:eastAsia="zh-CN"/>
                    </w:rPr>
                    <w:t>噪声</w:t>
                  </w:r>
                </w:p>
              </w:tc>
              <w:tc>
                <w:tcPr>
                  <w:tcW w:w="1927"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隔声减振，保持维护、合理布置</w:t>
                  </w:r>
                </w:p>
              </w:tc>
            </w:tr>
            <w:tr>
              <w:tblPrEx>
                <w:tblW w:w="4997" w:type="pct"/>
                <w:tblInd w:w="0" w:type="dxa"/>
                <w:tblCellMar>
                  <w:top w:w="0" w:type="dxa"/>
                  <w:left w:w="0" w:type="dxa"/>
                  <w:bottom w:w="0" w:type="dxa"/>
                  <w:right w:w="0" w:type="dxa"/>
                </w:tblCellMar>
              </w:tblPrEx>
              <w:trPr>
                <w:trHeight w:val="340"/>
              </w:trPr>
              <w:tc>
                <w:tcPr>
                  <w:tcW w:w="423" w:type="pct"/>
                  <w:vMerge w:val="restar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hint="eastAsia"/>
                      <w:color w:val="auto"/>
                      <w:sz w:val="21"/>
                      <w:szCs w:val="21"/>
                      <w:highlight w:val="none"/>
                      <w:lang w:val="en-US" w:eastAsia="zh-CN"/>
                    </w:rPr>
                    <w:t>固废</w:t>
                  </w:r>
                </w:p>
              </w:tc>
              <w:tc>
                <w:tcPr>
                  <w:tcW w:w="920" w:type="pct"/>
                  <w:tcBorders>
                    <w:tl2br w:val="nil"/>
                    <w:tr2bl w:val="nil"/>
                  </w:tcBorders>
                  <w:noWrap w:val="0"/>
                  <w:vAlign w:val="center"/>
                </w:tcPr>
                <w:p>
                  <w:pPr>
                    <w:pStyle w:val="Default"/>
                    <w:keepNext w:val="0"/>
                    <w:keepLines w:val="0"/>
                    <w:pageBreakBefore w:val="0"/>
                    <w:kinsoku/>
                    <w:wordWrap/>
                    <w:overflowPunct/>
                    <w:topLinePunct w:val="0"/>
                    <w:bidi w:val="0"/>
                    <w:adjustRightInd/>
                    <w:snapToGrid/>
                    <w:spacing w:beforeAutospacing="0" w:afterAutospacing="0" w:line="240" w:lineRule="auto"/>
                    <w:ind w:left="0" w:right="0" w:leftChars="0" w:rightChars="0"/>
                    <w:jc w:val="center"/>
                    <w:textAlignment w:val="auto"/>
                    <w:rPr>
                      <w:rFonts w:ascii="Times New Roman" w:hAnsi="Times New Roman" w:cs="Times New Roman" w:hint="default"/>
                      <w:color w:val="auto"/>
                      <w:kern w:val="2"/>
                      <w:sz w:val="21"/>
                      <w:szCs w:val="21"/>
                      <w:highlight w:val="none"/>
                    </w:rPr>
                  </w:pPr>
                  <w:r>
                    <w:rPr>
                      <w:rFonts w:ascii="Times New Roman" w:eastAsia="宋体" w:hAnsi="Times New Roman" w:cs="Times New Roman" w:hint="default"/>
                      <w:color w:val="auto"/>
                      <w:kern w:val="2"/>
                      <w:sz w:val="21"/>
                      <w:szCs w:val="21"/>
                      <w:highlight w:val="none"/>
                      <w:lang w:val="en-US" w:eastAsia="zh-CN" w:bidi="ar-SA"/>
                    </w:rPr>
                    <w:t>部分剩余污染固废样品S2</w:t>
                  </w:r>
                </w:p>
              </w:tc>
              <w:tc>
                <w:tcPr>
                  <w:tcW w:w="679"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hint="eastAsia"/>
                      <w:color w:val="auto"/>
                      <w:sz w:val="21"/>
                      <w:szCs w:val="21"/>
                      <w:highlight w:val="none"/>
                      <w:lang w:val="en-US" w:eastAsia="zh-CN"/>
                    </w:rPr>
                    <w:t>样品前处理</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cs="Times New Roman" w:hint="eastAsia"/>
                      <w:color w:val="auto"/>
                      <w:sz w:val="21"/>
                      <w:szCs w:val="21"/>
                      <w:highlight w:val="none"/>
                      <w:lang w:val="en-US" w:eastAsia="zh-CN"/>
                    </w:rPr>
                    <w:t>污染固废（含重金属等）</w:t>
                  </w:r>
                </w:p>
              </w:tc>
              <w:tc>
                <w:tcPr>
                  <w:tcW w:w="1927" w:type="pct"/>
                  <w:vMerge w:val="restar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cs="Times New Roman"/>
                      <w:color w:val="auto"/>
                      <w:sz w:val="21"/>
                      <w:szCs w:val="21"/>
                      <w:highlight w:val="none"/>
                    </w:rPr>
                    <w:t>暂存于危废库后交由有资质单位处置</w:t>
                  </w:r>
                </w:p>
              </w:tc>
            </w:tr>
            <w:tr>
              <w:tblPrEx>
                <w:tblW w:w="4997" w:type="pct"/>
                <w:tblInd w:w="0" w:type="dxa"/>
                <w:tblCellMar>
                  <w:top w:w="0" w:type="dxa"/>
                  <w:left w:w="0" w:type="dxa"/>
                  <w:bottom w:w="0" w:type="dxa"/>
                  <w:right w:w="0" w:type="dxa"/>
                </w:tblCellMar>
              </w:tblPrEx>
              <w:trPr>
                <w:trHeight w:val="340"/>
              </w:trPr>
              <w:tc>
                <w:tcPr>
                  <w:tcW w:w="423"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color w:val="auto"/>
                      <w:highlight w:val="none"/>
                      <w:lang w:eastAsia="zh-CN"/>
                    </w:rPr>
                  </w:pPr>
                </w:p>
              </w:tc>
              <w:tc>
                <w:tcPr>
                  <w:tcW w:w="920" w:type="pct"/>
                  <w:tcBorders>
                    <w:tl2br w:val="nil"/>
                    <w:tr2bl w:val="nil"/>
                  </w:tcBorders>
                  <w:noWrap w:val="0"/>
                  <w:vAlign w:val="center"/>
                </w:tcPr>
                <w:p>
                  <w:pPr>
                    <w:pageBreakBefore w:val="0"/>
                    <w:wordWrap/>
                    <w:bidi w:val="0"/>
                    <w:adjustRightInd/>
                    <w:snapToGrid/>
                    <w:spacing w:beforeAutospacing="0" w:after="0" w:afterAutospacing="0" w:line="240" w:lineRule="auto"/>
                    <w:ind w:left="0" w:right="0" w:leftChars="0" w:rightChars="0"/>
                    <w:jc w:val="center"/>
                    <w:rPr>
                      <w:rFonts w:hint="default"/>
                      <w:color w:val="auto"/>
                      <w:szCs w:val="21"/>
                      <w:highlight w:val="none"/>
                    </w:rPr>
                  </w:pPr>
                </w:p>
              </w:tc>
              <w:tc>
                <w:tcPr>
                  <w:tcW w:w="679" w:type="pct"/>
                  <w:tcBorders>
                    <w:tl2br w:val="nil"/>
                    <w:tr2bl w:val="nil"/>
                  </w:tcBorders>
                  <w:noWrap w:val="0"/>
                  <w:vAlign w:val="center"/>
                </w:tcPr>
                <w:p>
                  <w:pPr>
                    <w:pageBreakBefore w:val="0"/>
                    <w:wordWrap/>
                    <w:bidi w:val="0"/>
                    <w:adjustRightInd/>
                    <w:snapToGrid/>
                    <w:spacing w:beforeAutospacing="0" w:after="0" w:afterAutospacing="0" w:line="240" w:lineRule="auto"/>
                    <w:ind w:left="0" w:right="0" w:leftChars="0" w:rightChars="0"/>
                    <w:jc w:val="center"/>
                    <w:rPr>
                      <w:rFonts w:hint="default"/>
                      <w:color w:val="auto"/>
                      <w:szCs w:val="21"/>
                      <w:highlight w:val="none"/>
                    </w:rPr>
                  </w:pP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eastAsia"/>
                      <w:color w:val="auto"/>
                      <w:kern w:val="2"/>
                      <w:sz w:val="21"/>
                      <w:szCs w:val="21"/>
                      <w:highlight w:val="none"/>
                      <w:lang w:val="en-US" w:eastAsia="zh-CN" w:bidi="ar-SA"/>
                    </w:rPr>
                    <w:t>废酸、重金属等</w:t>
                  </w:r>
                </w:p>
              </w:tc>
              <w:tc>
                <w:tcPr>
                  <w:tcW w:w="1927"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p>
              </w:tc>
            </w:tr>
          </w:tbl>
          <w:p/>
        </w:tc>
      </w:tr>
    </w:tbl>
    <w:p>
      <w:pPr>
        <w:sectPr>
          <w:footerReference w:type="default" r:id="rId39"/>
          <w:type w:val="nextPage"/>
          <w:pgSz w:w="11906" w:h="16838"/>
          <w:pgMar w:top="1134" w:right="1134" w:bottom="1134" w:left="1417" w:header="851" w:footer="850" w:gutter="0"/>
          <w:pgBorders>
            <w:top w:val="none" w:sz="0" w:space="0" w:color="auto"/>
            <w:left w:val="none" w:sz="0" w:space="0" w:color="auto"/>
            <w:bottom w:val="none" w:sz="0" w:space="0" w:color="auto"/>
            <w:right w:val="none" w:sz="0" w:space="0" w:color="auto"/>
          </w:pgBorders>
          <w:pgNumType w:start="24"/>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87"/>
        <w:gridCol w:w="9184"/>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889"/>
          <w:jc w:val="center"/>
        </w:trPr>
        <w:tc>
          <w:tcPr>
            <w:tcW w:w="318" w:type="pct"/>
            <w:noWrap w:val="0"/>
            <w:vAlign w:val="center"/>
          </w:tcPr>
          <w:p/>
        </w:tc>
        <w:tc>
          <w:tcPr>
            <w:tcW w:w="4681" w:type="pct"/>
            <w:noWrap w:val="0"/>
            <w:vAlign w:val="center"/>
          </w:tcPr>
          <w:tbl>
            <w:tblPr>
              <w:tblStyle w:val="TableNormal01"/>
              <w:tblW w:w="4997"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
            <w:tblGrid>
              <w:gridCol w:w="759"/>
              <w:gridCol w:w="1650"/>
              <w:gridCol w:w="1218"/>
              <w:gridCol w:w="1880"/>
              <w:gridCol w:w="3456"/>
            </w:tblGrid>
            <w:tr>
              <w:tblPrEx>
                <w:tblW w:w="4997"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0" w:type="dxa"/>
                  <w:bottom w:w="0" w:type="dxa"/>
                  <w:right w:w="0" w:type="dxa"/>
                </w:tblCellMar>
              </w:tblPrEx>
              <w:trPr>
                <w:trHeight w:val="340"/>
              </w:trPr>
              <w:tc>
                <w:tcPr>
                  <w:tcW w:w="423" w:type="pct"/>
                  <w:vMerge w:val="restart"/>
                  <w:tcBorders>
                    <w:tl2br w:val="nil"/>
                    <w:tr2bl w:val="nil"/>
                  </w:tcBorders>
                  <w:noWrap w:val="0"/>
                  <w:vAlign w:val="center"/>
                </w:tcPr>
                <w:p/>
              </w:tc>
              <w:tc>
                <w:tcPr>
                  <w:tcW w:w="920" w:type="pct"/>
                  <w:tcBorders>
                    <w:tl2br w:val="nil"/>
                    <w:tr2bl w:val="nil"/>
                  </w:tcBorders>
                  <w:noWrap w:val="0"/>
                  <w:vAlign w:val="center"/>
                </w:tcPr>
                <w:p>
                  <w:pPr>
                    <w:pageBreakBefore w:val="0"/>
                    <w:wordWrap/>
                    <w:bidi w:val="0"/>
                    <w:adjustRightInd/>
                    <w:snapToGrid/>
                    <w:spacing w:before="0"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default"/>
                      <w:color w:val="auto"/>
                      <w:kern w:val="2"/>
                      <w:sz w:val="21"/>
                      <w:szCs w:val="21"/>
                      <w:highlight w:val="none"/>
                      <w:lang w:val="en-US" w:eastAsia="zh-CN" w:bidi="ar-SA"/>
                    </w:rPr>
                    <w:t>消解后废渣、多余浸出液S</w:t>
                  </w:r>
                  <w:r>
                    <w:rPr>
                      <w:rFonts w:cs="Times New Roman" w:hint="eastAsia"/>
                      <w:color w:val="auto"/>
                      <w:kern w:val="2"/>
                      <w:sz w:val="21"/>
                      <w:szCs w:val="21"/>
                      <w:highlight w:val="none"/>
                      <w:lang w:val="en-US" w:eastAsia="zh-CN" w:bidi="ar-SA"/>
                    </w:rPr>
                    <w:t>6</w:t>
                  </w:r>
                </w:p>
              </w:tc>
              <w:tc>
                <w:tcPr>
                  <w:tcW w:w="679" w:type="pct"/>
                  <w:tcBorders>
                    <w:tl2br w:val="nil"/>
                    <w:tr2bl w:val="nil"/>
                  </w:tcBorders>
                  <w:noWrap w:val="0"/>
                  <w:vAlign w:val="center"/>
                </w:tcPr>
                <w:p>
                  <w:pPr>
                    <w:pageBreakBefore w:val="0"/>
                    <w:wordWrap/>
                    <w:bidi w:val="0"/>
                    <w:adjustRightInd/>
                    <w:snapToGrid/>
                    <w:spacing w:before="0" w:beforeAutospacing="0" w:afterAutospacing="0" w:line="240" w:lineRule="auto"/>
                    <w:ind w:left="0" w:right="0" w:leftChars="0" w:rightChars="0"/>
                    <w:jc w:val="center"/>
                    <w:rPr>
                      <w:rFonts w:hint="default"/>
                      <w:color w:val="auto"/>
                      <w:szCs w:val="21"/>
                      <w:highlight w:val="none"/>
                    </w:rPr>
                  </w:pPr>
                  <w:r>
                    <w:rPr>
                      <w:rFonts w:hint="eastAsia"/>
                      <w:color w:val="auto"/>
                      <w:sz w:val="21"/>
                      <w:szCs w:val="21"/>
                      <w:highlight w:val="none"/>
                      <w:lang w:val="en-US" w:eastAsia="zh-CN"/>
                    </w:rPr>
                    <w:t>样品实验检测</w:t>
                  </w:r>
                </w:p>
              </w:tc>
              <w:tc>
                <w:tcPr>
                  <w:tcW w:w="1048" w:type="pct"/>
                  <w:tcBorders>
                    <w:tl2br w:val="nil"/>
                    <w:tr2bl w:val="nil"/>
                  </w:tcBorders>
                  <w:noWrap w:val="0"/>
                  <w:vAlign w:val="center"/>
                </w:tcPr>
                <w:p/>
              </w:tc>
              <w:tc>
                <w:tcPr>
                  <w:tcW w:w="1927" w:type="pct"/>
                  <w:vMerge w:val="restart"/>
                  <w:tcBorders>
                    <w:tl2br w:val="nil"/>
                    <w:tr2bl w:val="nil"/>
                  </w:tcBorders>
                  <w:noWrap w:val="0"/>
                  <w:vAlign w:val="center"/>
                </w:tcPr>
                <w:p/>
              </w:tc>
            </w:tr>
            <w:tr>
              <w:tblPrEx>
                <w:tblW w:w="4997" w:type="pct"/>
                <w:tblInd w:w="0" w:type="dxa"/>
                <w:tblCellMar>
                  <w:top w:w="0" w:type="dxa"/>
                  <w:left w:w="0" w:type="dxa"/>
                  <w:bottom w:w="0" w:type="dxa"/>
                  <w:right w:w="0" w:type="dxa"/>
                </w:tblCellMar>
              </w:tblPrEx>
              <w:trPr>
                <w:trHeight w:val="340"/>
              </w:trPr>
              <w:tc>
                <w:tcPr>
                  <w:tcW w:w="423"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color w:val="auto"/>
                      <w:highlight w:val="none"/>
                      <w:lang w:eastAsia="zh-CN"/>
                    </w:rPr>
                  </w:pPr>
                </w:p>
              </w:tc>
              <w:tc>
                <w:tcPr>
                  <w:tcW w:w="920" w:type="pct"/>
                  <w:tcBorders>
                    <w:tl2br w:val="nil"/>
                    <w:tr2bl w:val="nil"/>
                  </w:tcBorders>
                  <w:noWrap w:val="0"/>
                  <w:vAlign w:val="center"/>
                </w:tcPr>
                <w:p>
                  <w:pPr>
                    <w:pStyle w:val="Default"/>
                    <w:keepNext w:val="0"/>
                    <w:keepLines w:val="0"/>
                    <w:pageBreakBefore w:val="0"/>
                    <w:kinsoku/>
                    <w:wordWrap/>
                    <w:overflowPunct/>
                    <w:topLinePunct w:val="0"/>
                    <w:bidi w:val="0"/>
                    <w:adjustRightInd/>
                    <w:snapToGrid/>
                    <w:spacing w:beforeAutospacing="0" w:afterAutospacing="0" w:line="240" w:lineRule="auto"/>
                    <w:ind w:left="0" w:right="0" w:leftChars="0" w:rightChars="0"/>
                    <w:jc w:val="center"/>
                    <w:textAlignment w:val="auto"/>
                    <w:rPr>
                      <w:rFonts w:cs="Times New Roman" w:hint="default"/>
                      <w:color w:val="auto"/>
                      <w:kern w:val="2"/>
                      <w:sz w:val="21"/>
                      <w:szCs w:val="21"/>
                      <w:highlight w:val="none"/>
                    </w:rPr>
                  </w:pPr>
                  <w:r>
                    <w:rPr>
                      <w:rFonts w:ascii="Times New Roman" w:eastAsia="宋体" w:hAnsi="Times New Roman" w:cs="Times New Roman" w:hint="eastAsia"/>
                      <w:color w:val="auto"/>
                      <w:sz w:val="21"/>
                      <w:szCs w:val="21"/>
                      <w:highlight w:val="none"/>
                      <w:lang w:val="en-US" w:eastAsia="zh-CN"/>
                    </w:rPr>
                    <w:t>首次仪器清洗废水S</w:t>
                  </w:r>
                  <w:r>
                    <w:rPr>
                      <w:rFonts w:ascii="Times New Roman" w:hAnsi="Times New Roman" w:cs="Times New Roman" w:hint="eastAsia"/>
                      <w:color w:val="auto"/>
                      <w:sz w:val="21"/>
                      <w:szCs w:val="21"/>
                      <w:highlight w:val="none"/>
                      <w:lang w:val="en-US" w:eastAsia="zh-CN"/>
                    </w:rPr>
                    <w:t>7</w:t>
                  </w:r>
                </w:p>
              </w:tc>
              <w:tc>
                <w:tcPr>
                  <w:tcW w:w="679"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hint="eastAsia"/>
                      <w:color w:val="auto"/>
                      <w:sz w:val="21"/>
                      <w:szCs w:val="21"/>
                      <w:highlight w:val="none"/>
                      <w:lang w:val="en-US" w:eastAsia="zh-CN"/>
                    </w:rPr>
                    <w:t>实验仪器首次清洗</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eastAsia"/>
                      <w:color w:val="auto"/>
                      <w:kern w:val="2"/>
                      <w:sz w:val="21"/>
                      <w:szCs w:val="21"/>
                      <w:highlight w:val="none"/>
                      <w:lang w:val="en-US" w:eastAsia="zh-CN" w:bidi="ar-SA"/>
                    </w:rPr>
                    <w:t>废酸、重金属等</w:t>
                  </w:r>
                </w:p>
              </w:tc>
              <w:tc>
                <w:tcPr>
                  <w:tcW w:w="1927"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p>
              </w:tc>
            </w:tr>
            <w:tr>
              <w:tblPrEx>
                <w:tblW w:w="4997" w:type="pct"/>
                <w:tblInd w:w="0" w:type="dxa"/>
                <w:tblCellMar>
                  <w:top w:w="0" w:type="dxa"/>
                  <w:left w:w="0" w:type="dxa"/>
                  <w:bottom w:w="0" w:type="dxa"/>
                  <w:right w:w="0" w:type="dxa"/>
                </w:tblCellMar>
              </w:tblPrEx>
              <w:trPr>
                <w:trHeight w:val="340"/>
              </w:trPr>
              <w:tc>
                <w:tcPr>
                  <w:tcW w:w="423"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color w:val="auto"/>
                      <w:highlight w:val="none"/>
                      <w:lang w:eastAsia="zh-CN"/>
                    </w:rPr>
                  </w:pPr>
                </w:p>
              </w:tc>
              <w:tc>
                <w:tcPr>
                  <w:tcW w:w="920"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hAnsi="Times New Roman" w:cs="Times New Roman" w:hint="default"/>
                      <w:color w:val="auto"/>
                      <w:sz w:val="21"/>
                      <w:szCs w:val="21"/>
                      <w:highlight w:val="none"/>
                      <w:lang w:eastAsia="zh-CN"/>
                    </w:rPr>
                    <w:t>废</w:t>
                  </w:r>
                  <w:r>
                    <w:rPr>
                      <w:rFonts w:ascii="Times New Roman" w:hAnsi="Times New Roman" w:cs="Times New Roman" w:hint="eastAsia"/>
                      <w:color w:val="auto"/>
                      <w:sz w:val="21"/>
                      <w:szCs w:val="21"/>
                      <w:highlight w:val="none"/>
                      <w:lang w:val="en-US" w:eastAsia="zh-CN"/>
                    </w:rPr>
                    <w:t>药</w:t>
                  </w:r>
                  <w:r>
                    <w:rPr>
                      <w:rFonts w:cs="Times New Roman" w:hint="eastAsia"/>
                      <w:color w:val="auto"/>
                      <w:sz w:val="21"/>
                      <w:szCs w:val="21"/>
                      <w:highlight w:val="none"/>
                      <w:lang w:val="en-US" w:eastAsia="zh-CN"/>
                    </w:rPr>
                    <w:t>瓶</w:t>
                  </w:r>
                  <w:r>
                    <w:rPr>
                      <w:rFonts w:ascii="Times New Roman" w:hAnsi="Times New Roman" w:cs="Times New Roman" w:hint="eastAsia"/>
                      <w:color w:val="auto"/>
                      <w:sz w:val="21"/>
                      <w:szCs w:val="21"/>
                      <w:highlight w:val="none"/>
                      <w:lang w:val="en-US" w:eastAsia="zh-CN"/>
                    </w:rPr>
                    <w:t>、</w:t>
                  </w:r>
                  <w:r>
                    <w:rPr>
                      <w:rFonts w:cs="Times New Roman" w:hint="eastAsia"/>
                      <w:color w:val="auto"/>
                      <w:sz w:val="21"/>
                      <w:szCs w:val="21"/>
                      <w:highlight w:val="none"/>
                      <w:lang w:val="en-US" w:eastAsia="zh-CN"/>
                    </w:rPr>
                    <w:t>废实验器具、废手套S4等</w:t>
                  </w:r>
                </w:p>
              </w:tc>
              <w:tc>
                <w:tcPr>
                  <w:tcW w:w="679"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hint="eastAsia"/>
                      <w:color w:val="auto"/>
                      <w:sz w:val="21"/>
                      <w:szCs w:val="21"/>
                      <w:highlight w:val="none"/>
                      <w:lang w:val="en-US" w:eastAsia="zh-CN"/>
                    </w:rPr>
                    <w:t>实验检测</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ascii="Times New Roman" w:eastAsia="宋体" w:hAnsi="Times New Roman" w:cs="Times New Roman" w:hint="eastAsia"/>
                      <w:color w:val="auto"/>
                      <w:kern w:val="2"/>
                      <w:sz w:val="21"/>
                      <w:szCs w:val="21"/>
                      <w:highlight w:val="none"/>
                      <w:lang w:val="en-US" w:eastAsia="zh-CN" w:bidi="ar-SA"/>
                    </w:rPr>
                    <w:t>化学试剂</w:t>
                  </w:r>
                </w:p>
              </w:tc>
              <w:tc>
                <w:tcPr>
                  <w:tcW w:w="1927"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p>
              </w:tc>
            </w:tr>
            <w:tr>
              <w:tblPrEx>
                <w:tblW w:w="4997" w:type="pct"/>
                <w:tblInd w:w="0" w:type="dxa"/>
                <w:tblCellMar>
                  <w:top w:w="0" w:type="dxa"/>
                  <w:left w:w="0" w:type="dxa"/>
                  <w:bottom w:w="0" w:type="dxa"/>
                  <w:right w:w="0" w:type="dxa"/>
                </w:tblCellMar>
              </w:tblPrEx>
              <w:trPr>
                <w:trHeight w:val="340"/>
              </w:trPr>
              <w:tc>
                <w:tcPr>
                  <w:tcW w:w="423"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color w:val="auto"/>
                      <w:highlight w:val="none"/>
                      <w:lang w:eastAsia="zh-CN"/>
                    </w:rPr>
                  </w:pPr>
                </w:p>
              </w:tc>
              <w:tc>
                <w:tcPr>
                  <w:tcW w:w="920"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eastAsia"/>
                      <w:color w:val="auto"/>
                      <w:szCs w:val="21"/>
                      <w:highlight w:val="none"/>
                    </w:rPr>
                  </w:pPr>
                  <w:r>
                    <w:rPr>
                      <w:rFonts w:ascii="Times New Roman" w:eastAsia="宋体" w:hAnsi="Times New Roman" w:cs="Times New Roman" w:hint="default"/>
                      <w:color w:val="auto"/>
                      <w:kern w:val="2"/>
                      <w:sz w:val="21"/>
                      <w:szCs w:val="21"/>
                      <w:highlight w:val="none"/>
                      <w:lang w:val="en-US" w:eastAsia="zh-CN" w:bidi="ar-SA"/>
                    </w:rPr>
                    <w:t>一般土壤样品S1</w:t>
                  </w:r>
                </w:p>
              </w:tc>
              <w:tc>
                <w:tcPr>
                  <w:tcW w:w="679"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eastAsia"/>
                      <w:color w:val="auto"/>
                      <w:szCs w:val="21"/>
                      <w:highlight w:val="none"/>
                    </w:rPr>
                  </w:pPr>
                  <w:r>
                    <w:rPr>
                      <w:rFonts w:hint="eastAsia"/>
                      <w:color w:val="auto"/>
                      <w:sz w:val="21"/>
                      <w:szCs w:val="21"/>
                      <w:highlight w:val="none"/>
                      <w:lang w:val="en-US" w:eastAsia="zh-CN"/>
                    </w:rPr>
                    <w:t>实验检测</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cs="Times New Roman" w:hint="eastAsia"/>
                      <w:color w:val="auto"/>
                      <w:sz w:val="21"/>
                      <w:szCs w:val="21"/>
                      <w:highlight w:val="none"/>
                      <w:lang w:val="en-US" w:eastAsia="zh-CN"/>
                    </w:rPr>
                    <w:t>/</w:t>
                  </w:r>
                </w:p>
              </w:tc>
              <w:tc>
                <w:tcPr>
                  <w:tcW w:w="1927" w:type="pct"/>
                  <w:vMerge w:val="restar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eastAsia"/>
                      <w:color w:val="auto"/>
                      <w:highlight w:val="none"/>
                      <w:lang w:val="en-US" w:eastAsia="zh-CN"/>
                    </w:rPr>
                  </w:pPr>
                  <w:r>
                    <w:rPr>
                      <w:rFonts w:cs="Times New Roman" w:hint="eastAsia"/>
                      <w:color w:val="auto"/>
                      <w:sz w:val="21"/>
                      <w:szCs w:val="21"/>
                      <w:highlight w:val="none"/>
                      <w:lang w:val="en-US" w:eastAsia="zh-CN"/>
                    </w:rPr>
                    <w:t>作为生活垃圾</w:t>
                  </w:r>
                  <w:r>
                    <w:rPr>
                      <w:rFonts w:ascii="Times New Roman" w:eastAsia="宋体" w:hAnsi="Times New Roman" w:cs="Times New Roman" w:hint="eastAsia"/>
                      <w:color w:val="auto"/>
                      <w:sz w:val="21"/>
                      <w:szCs w:val="21"/>
                      <w:highlight w:val="none"/>
                      <w:lang w:val="en-US" w:eastAsia="zh-CN"/>
                    </w:rPr>
                    <w:t>由环卫部门处理</w:t>
                  </w:r>
                </w:p>
              </w:tc>
            </w:tr>
            <w:tr>
              <w:tblPrEx>
                <w:tblW w:w="4997" w:type="pct"/>
                <w:tblInd w:w="0" w:type="dxa"/>
                <w:tblCellMar>
                  <w:top w:w="0" w:type="dxa"/>
                  <w:left w:w="0" w:type="dxa"/>
                  <w:bottom w:w="0" w:type="dxa"/>
                  <w:right w:w="0" w:type="dxa"/>
                </w:tblCellMar>
              </w:tblPrEx>
              <w:trPr>
                <w:trHeight w:val="340"/>
              </w:trPr>
              <w:tc>
                <w:tcPr>
                  <w:tcW w:w="423"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color w:val="auto"/>
                      <w:highlight w:val="none"/>
                      <w:lang w:eastAsia="zh-CN"/>
                    </w:rPr>
                  </w:pPr>
                </w:p>
              </w:tc>
              <w:tc>
                <w:tcPr>
                  <w:tcW w:w="920"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cs="Times New Roman" w:hint="eastAsia"/>
                      <w:color w:val="auto"/>
                      <w:kern w:val="2"/>
                      <w:sz w:val="21"/>
                      <w:szCs w:val="21"/>
                      <w:highlight w:val="none"/>
                      <w:lang w:val="en-US" w:eastAsia="zh-CN" w:bidi="ar-SA"/>
                    </w:rPr>
                    <w:t>除尘器粉尘S3</w:t>
                  </w:r>
                </w:p>
              </w:tc>
              <w:tc>
                <w:tcPr>
                  <w:tcW w:w="679"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hint="eastAsia"/>
                      <w:color w:val="auto"/>
                      <w:sz w:val="21"/>
                      <w:szCs w:val="21"/>
                      <w:highlight w:val="none"/>
                      <w:lang w:val="en-US" w:eastAsia="zh-CN"/>
                    </w:rPr>
                    <w:t>废气处理</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cs="Times New Roman" w:hint="eastAsia"/>
                      <w:color w:val="auto"/>
                      <w:sz w:val="21"/>
                      <w:szCs w:val="21"/>
                      <w:highlight w:val="none"/>
                      <w:lang w:val="en-US" w:eastAsia="zh-CN"/>
                    </w:rPr>
                    <w:t>/</w:t>
                  </w:r>
                </w:p>
              </w:tc>
              <w:tc>
                <w:tcPr>
                  <w:tcW w:w="1927"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eastAsia"/>
                      <w:color w:val="auto"/>
                      <w:highlight w:val="none"/>
                      <w:lang w:val="en-US" w:eastAsia="zh-CN"/>
                    </w:rPr>
                  </w:pPr>
                </w:p>
              </w:tc>
            </w:tr>
            <w:tr>
              <w:tblPrEx>
                <w:tblW w:w="4997" w:type="pct"/>
                <w:tblInd w:w="0" w:type="dxa"/>
                <w:tblCellMar>
                  <w:top w:w="0" w:type="dxa"/>
                  <w:left w:w="0" w:type="dxa"/>
                  <w:bottom w:w="0" w:type="dxa"/>
                  <w:right w:w="0" w:type="dxa"/>
                </w:tblCellMar>
              </w:tblPrEx>
              <w:trPr>
                <w:trHeight w:val="340"/>
              </w:trPr>
              <w:tc>
                <w:tcPr>
                  <w:tcW w:w="423" w:type="pct"/>
                  <w:vMerge/>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color w:val="auto"/>
                      <w:highlight w:val="none"/>
                      <w:lang w:eastAsia="zh-CN"/>
                    </w:rPr>
                  </w:pPr>
                </w:p>
              </w:tc>
              <w:tc>
                <w:tcPr>
                  <w:tcW w:w="920"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cs="Times New Roman" w:hint="eastAsia"/>
                      <w:color w:val="auto"/>
                      <w:kern w:val="2"/>
                      <w:sz w:val="21"/>
                      <w:szCs w:val="21"/>
                      <w:highlight w:val="none"/>
                      <w:lang w:val="en-US" w:eastAsia="zh-CN" w:bidi="ar-SA"/>
                    </w:rPr>
                    <w:t>废包装材料S5</w:t>
                  </w:r>
                </w:p>
              </w:tc>
              <w:tc>
                <w:tcPr>
                  <w:tcW w:w="679"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hint="eastAsia"/>
                      <w:color w:val="auto"/>
                      <w:sz w:val="21"/>
                      <w:szCs w:val="21"/>
                      <w:highlight w:val="none"/>
                      <w:lang w:val="en-US" w:eastAsia="zh-CN"/>
                    </w:rPr>
                    <w:t>试验检测</w:t>
                  </w:r>
                </w:p>
              </w:tc>
              <w:tc>
                <w:tcPr>
                  <w:tcW w:w="1048" w:type="pct"/>
                  <w:tcBorders>
                    <w:tl2br w:val="nil"/>
                    <w:tr2bl w:val="nil"/>
                  </w:tcBorders>
                  <w:noWrap w:val="0"/>
                  <w:vAlign w:val="center"/>
                </w:tcPr>
                <w:p>
                  <w:pPr>
                    <w:pageBreakBefore w:val="0"/>
                    <w:wordWrap/>
                    <w:bidi w:val="0"/>
                    <w:adjustRightInd/>
                    <w:snapToGrid/>
                    <w:spacing w:beforeAutospacing="0" w:afterAutospacing="0" w:line="240" w:lineRule="auto"/>
                    <w:ind w:left="0" w:right="0" w:leftChars="0" w:rightChars="0"/>
                    <w:jc w:val="center"/>
                    <w:rPr>
                      <w:rFonts w:hint="default"/>
                      <w:color w:val="auto"/>
                      <w:szCs w:val="21"/>
                      <w:highlight w:val="none"/>
                    </w:rPr>
                  </w:pPr>
                  <w:r>
                    <w:rPr>
                      <w:rFonts w:cs="Times New Roman" w:hint="eastAsia"/>
                      <w:color w:val="auto"/>
                      <w:sz w:val="21"/>
                      <w:szCs w:val="21"/>
                      <w:highlight w:val="none"/>
                      <w:lang w:val="en-US" w:eastAsia="zh-CN"/>
                    </w:rPr>
                    <w:t>/</w:t>
                  </w:r>
                </w:p>
              </w:tc>
              <w:tc>
                <w:tcPr>
                  <w:tcW w:w="1927" w:type="pct"/>
                  <w:tcBorders>
                    <w:tl2br w:val="nil"/>
                    <w:tr2bl w:val="nil"/>
                  </w:tcBorders>
                  <w:noWrap w:val="0"/>
                  <w:vAlign w:val="center"/>
                </w:tcPr>
                <w:p>
                  <w:pPr>
                    <w:pStyle w:val="-0"/>
                    <w:pageBreakBefore w:val="0"/>
                    <w:wordWrap/>
                    <w:bidi w:val="0"/>
                    <w:adjustRightInd/>
                    <w:snapToGrid/>
                    <w:spacing w:beforeAutospacing="0" w:afterAutospacing="0" w:line="240" w:lineRule="auto"/>
                    <w:ind w:left="0" w:right="0" w:leftChars="0" w:rightChars="0"/>
                    <w:jc w:val="center"/>
                    <w:rPr>
                      <w:rFonts w:hint="default"/>
                      <w:color w:val="auto"/>
                      <w:highlight w:val="none"/>
                      <w:lang w:val="en-US" w:eastAsia="zh-CN"/>
                    </w:rPr>
                  </w:pPr>
                  <w:r>
                    <w:rPr>
                      <w:rFonts w:cs="Times New Roman" w:hint="eastAsia"/>
                      <w:color w:val="auto"/>
                      <w:sz w:val="21"/>
                      <w:szCs w:val="21"/>
                      <w:highlight w:val="none"/>
                      <w:lang w:val="en-US" w:eastAsia="zh-CN"/>
                    </w:rPr>
                    <w:t>定期外售废品回收单位</w:t>
                  </w:r>
                </w:p>
              </w:tc>
            </w:tr>
          </w:tbl>
          <w:p>
            <w:pPr>
              <w:pStyle w:val="CXY4"/>
              <w:bidi w:val="0"/>
              <w:rPr>
                <w:rFonts w:hint="default"/>
                <w:lang w:val="en-US"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p>
            <w:pPr>
              <w:pStyle w:val="CXY4"/>
              <w:bidi w:val="0"/>
              <w:ind w:firstLine="0" w:firstLineChars="0"/>
              <w:rPr>
                <w:lang w:eastAsia="zh-CN"/>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https://d.book118.com/245013102322011114</w:t>
        </w:r>
      </w:hyperlink>
    </w:p>
    <w:p/>
    <w:sectPr>
      <w:footerReference w:type="default" r:id="rId41"/>
      <w:type w:val="nextPage"/>
      <w:pgSz w:w="11906" w:h="16838"/>
      <w:pgMar w:top="1134" w:right="1134" w:bottom="1134" w:left="1417" w:header="851" w:footer="850" w:gutter="0"/>
      <w:pgBorders>
        <w:top w:val="none" w:sz="0" w:space="0" w:color="auto"/>
        <w:left w:val="none" w:sz="0" w:space="0" w:color="auto"/>
        <w:bottom w:val="none" w:sz="0" w:space="0" w:color="auto"/>
        <w:right w:val="none" w:sz="0" w:space="0" w:color="auto"/>
      </w:pgBorders>
      <w:pgNumType w:start="25"/>
      <w:cols w:num="1" w:space="720"/>
      <w:titlePg w:val="0"/>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651">
      <wne:acd wne:acdName="acd-1"/>
    </wne:keymap>
    <wne:keymap wne:kcmPrimary="065A">
      <wne:acd wne:acdName="acd-1"/>
    </wne:keymap>
    <wne:keymap wne:kcmPrimary="0641">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49" type="#_x0000_t202" style="width:2in;height:2in;margin-top:0;margin-left:0;mso-position-horizontal:outside;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w:t>
                    </w:r>
                    <w:r>
                      <w:rPr>
                        <w:sz w:val="26"/>
                        <w:szCs w:val="26"/>
                      </w:rPr>
                      <w:fldChar w:fldCharType="end"/>
                    </w:r>
                    <w:r>
                      <w:rPr>
                        <w:sz w:val="26"/>
                        <w:szCs w:val="26"/>
                      </w:rPr>
                      <w:t xml:space="preserve"> </w:t>
                    </w:r>
                    <w:r>
                      <w:t>—</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65677859"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3</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50" type="#_x0000_t202" style="width:2in;height:2in;margin-top:0;margin-left:0;mso-position-horizontal:outside;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3</w:t>
                    </w:r>
                    <w:r>
                      <w:rPr>
                        <w:sz w:val="26"/>
                        <w:szCs w:val="26"/>
                      </w:rPr>
                      <w:fldChar w:fldCharType="end"/>
                    </w:r>
                    <w:r>
                      <w:rPr>
                        <w:sz w:val="26"/>
                        <w:szCs w:val="26"/>
                      </w:rPr>
                      <w:t xml:space="preserve"> </w:t>
                    </w:r>
                    <w:r>
                      <w:t>—</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19001366"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3</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51" type="#_x0000_t202" style="width:2in;height:2in;margin-top:0;margin-left:0;mso-position-horizontal:outside;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3</w:t>
                    </w:r>
                    <w:r>
                      <w:rPr>
                        <w:sz w:val="26"/>
                        <w:szCs w:val="26"/>
                      </w:rPr>
                      <w:fldChar w:fldCharType="end"/>
                    </w:r>
                    <w:r>
                      <w:rPr>
                        <w:sz w:val="26"/>
                        <w:szCs w:val="26"/>
                      </w:rPr>
                      <w:t xml:space="preserve"> </w:t>
                    </w:r>
                    <w:r>
                      <w:t>—</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43905754"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5</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52" type="#_x0000_t202" style="width:2in;height:2in;margin-top:0;margin-left:0;mso-position-horizontal:outside;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5</w:t>
                    </w:r>
                    <w:r>
                      <w:rPr>
                        <w:sz w:val="26"/>
                        <w:szCs w:val="26"/>
                      </w:rPr>
                      <w:fldChar w:fldCharType="end"/>
                    </w:r>
                    <w:r>
                      <w:rPr>
                        <w:sz w:val="26"/>
                        <w:szCs w:val="26"/>
                      </w:rPr>
                      <w:t xml:space="preserve"> </w:t>
                    </w:r>
                    <w:r>
                      <w:t>—</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45635533"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5</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53" type="#_x0000_t202" style="width:2in;height:2in;margin-top:0;margin-left:0;mso-position-horizontal:outside;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5</w:t>
                    </w:r>
                    <w:r>
                      <w:rPr>
                        <w:sz w:val="26"/>
                        <w:szCs w:val="26"/>
                      </w:rPr>
                      <w:fldChar w:fldCharType="end"/>
                    </w:r>
                    <w:r>
                      <w:rPr>
                        <w:sz w:val="26"/>
                        <w:szCs w:val="26"/>
                      </w:rPr>
                      <w:t xml:space="preserve"> </w:t>
                    </w:r>
                    <w:r>
                      <w:t>—</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85738684"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6</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54" type="#_x0000_t202" style="width:2in;height:2in;margin-top:0;margin-left:0;mso-position-horizontal:outside;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6</w:t>
                    </w:r>
                    <w:r>
                      <w:rPr>
                        <w:sz w:val="26"/>
                        <w:szCs w:val="26"/>
                      </w:rPr>
                      <w:fldChar w:fldCharType="end"/>
                    </w:r>
                    <w:r>
                      <w:rPr>
                        <w:sz w:val="26"/>
                        <w:szCs w:val="26"/>
                      </w:rPr>
                      <w:t xml:space="preserve"> </w:t>
                    </w:r>
                    <w:r>
                      <w:t>—</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68939101"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7</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55" type="#_x0000_t202" style="width:2in;height:2in;margin-top:0;margin-left:0;mso-position-horizontal:outside;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7</w:t>
                    </w:r>
                    <w:r>
                      <w:rPr>
                        <w:sz w:val="26"/>
                        <w:szCs w:val="26"/>
                      </w:rPr>
                      <w:fldChar w:fldCharType="end"/>
                    </w:r>
                    <w:r>
                      <w:rPr>
                        <w:sz w:val="26"/>
                        <w:szCs w:val="26"/>
                      </w:rPr>
                      <w:t xml:space="preserve"> </w:t>
                    </w:r>
                    <w:r>
                      <w:t>—</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71684626"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9</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56" type="#_x0000_t202" style="width:2in;height:2in;margin-top:0;margin-left:0;mso-position-horizontal:outside;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9</w:t>
                    </w:r>
                    <w:r>
                      <w:rPr>
                        <w:sz w:val="26"/>
                        <w:szCs w:val="26"/>
                      </w:rPr>
                      <w:fldChar w:fldCharType="end"/>
                    </w:r>
                    <w:r>
                      <w:rPr>
                        <w:sz w:val="26"/>
                        <w:szCs w:val="26"/>
                      </w:rPr>
                      <w:t xml:space="preserve"> </w:t>
                    </w:r>
                    <w:r>
                      <w:t>—</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564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77269324"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10</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57" type="#_x0000_t202" style="width:2in;height:2in;margin-top:0;margin-left:0;mso-position-horizontal:outside;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10</w:t>
                    </w:r>
                    <w:r>
                      <w:rPr>
                        <w:sz w:val="26"/>
                        <w:szCs w:val="26"/>
                      </w:rPr>
                      <w:fldChar w:fldCharType="end"/>
                    </w:r>
                    <w:r>
                      <w:rPr>
                        <w:sz w:val="26"/>
                        <w:szCs w:val="26"/>
                      </w:rPr>
                      <w:t xml:space="preserve"> </w:t>
                    </w:r>
                    <w:r>
                      <w:t>—</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769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83190333"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11</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58" type="#_x0000_t202" style="width:2in;height:2in;margin-top:0;margin-left:0;mso-position-horizontal:outside;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11</w:t>
                    </w:r>
                    <w:r>
                      <w:rPr>
                        <w:sz w:val="26"/>
                        <w:szCs w:val="26"/>
                      </w:rPr>
                      <w:fldChar w:fldCharType="end"/>
                    </w:r>
                    <w:r>
                      <w:rPr>
                        <w:sz w:val="26"/>
                        <w:szCs w:val="26"/>
                      </w:rPr>
                      <w:t xml:space="preserve"> </w:t>
                    </w:r>
                    <w:r>
                      <w:t>—</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974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53915463"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11</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59" type="#_x0000_t202" style="width:2in;height:2in;margin-top:0;margin-left:0;mso-position-horizontal:outside;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11</w:t>
                    </w:r>
                    <w:r>
                      <w:rPr>
                        <w:sz w:val="26"/>
                        <w:szCs w:val="26"/>
                      </w:rPr>
                      <w:fldChar w:fldCharType="end"/>
                    </w:r>
                    <w:r>
                      <w:rPr>
                        <w:sz w:val="26"/>
                        <w:szCs w:val="26"/>
                      </w:rPr>
                      <w:t xml:space="preserve"> </w:t>
                    </w:r>
                    <w:r>
                      <w:t>—</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179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92905828"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13</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60" type="#_x0000_t202" style="width:2in;height:2in;margin-top:0;margin-left:0;mso-position-horizontal:outside;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13</w:t>
                    </w:r>
                    <w:r>
                      <w:rPr>
                        <w:sz w:val="26"/>
                        <w:szCs w:val="26"/>
                      </w:rPr>
                      <w:fldChar w:fldCharType="end"/>
                    </w:r>
                    <w:r>
                      <w:rPr>
                        <w:sz w:val="26"/>
                        <w:szCs w:val="26"/>
                      </w:rPr>
                      <w:t xml:space="preserve"> </w:t>
                    </w:r>
                    <w:r>
                      <w:t>—</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38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98252536"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14</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61" type="#_x0000_t202" style="width:2in;height:2in;margin-top:0;margin-left:0;mso-position-horizontal:outside;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14</w:t>
                    </w:r>
                    <w:r>
                      <w:rPr>
                        <w:sz w:val="26"/>
                        <w:szCs w:val="26"/>
                      </w:rPr>
                      <w:fldChar w:fldCharType="end"/>
                    </w:r>
                    <w:r>
                      <w:rPr>
                        <w:sz w:val="26"/>
                        <w:szCs w:val="26"/>
                      </w:rPr>
                      <w:t xml:space="preserve"> </w:t>
                    </w:r>
                    <w:r>
                      <w:t>—</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58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17079020"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15</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62" type="#_x0000_t202" style="width:2in;height:2in;margin-top:0;margin-left:0;mso-position-horizontal:outside;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15</w:t>
                    </w:r>
                    <w:r>
                      <w:rPr>
                        <w:sz w:val="26"/>
                        <w:szCs w:val="26"/>
                      </w:rPr>
                      <w:fldChar w:fldCharType="end"/>
                    </w:r>
                    <w:r>
                      <w:rPr>
                        <w:sz w:val="26"/>
                        <w:szCs w:val="26"/>
                      </w:rPr>
                      <w:t xml:space="preserve"> </w:t>
                    </w:r>
                    <w:r>
                      <w:t>—</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79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01704996"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16</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63" type="#_x0000_t202" style="width:2in;height:2in;margin-top:0;margin-left:0;mso-position-horizontal:outside;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16</w:t>
                    </w:r>
                    <w:r>
                      <w:rPr>
                        <w:sz w:val="26"/>
                        <w:szCs w:val="26"/>
                      </w:rPr>
                      <w:fldChar w:fldCharType="end"/>
                    </w:r>
                    <w:r>
                      <w:rPr>
                        <w:sz w:val="26"/>
                        <w:szCs w:val="26"/>
                      </w:rPr>
                      <w:t xml:space="preserve"> </w:t>
                    </w:r>
                    <w:r>
                      <w:t>—</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99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55809409"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16</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64" type="#_x0000_t202" style="width:2in;height:2in;margin-top:0;margin-left:0;mso-position-horizontal:outside;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16</w:t>
                    </w:r>
                    <w:r>
                      <w:rPr>
                        <w:sz w:val="26"/>
                        <w:szCs w:val="26"/>
                      </w:rPr>
                      <w:fldChar w:fldCharType="end"/>
                    </w:r>
                    <w:r>
                      <w:rPr>
                        <w:sz w:val="26"/>
                        <w:szCs w:val="26"/>
                      </w:rPr>
                      <w:t xml:space="preserve"> </w:t>
                    </w:r>
                    <w:r>
                      <w:t>—</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920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11445168"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17</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65" type="#_x0000_t202" style="width:2in;height:2in;margin-top:0;margin-left:0;mso-position-horizontal:outside;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17</w:t>
                    </w:r>
                    <w:r>
                      <w:rPr>
                        <w:sz w:val="26"/>
                        <w:szCs w:val="26"/>
                      </w:rPr>
                      <w:fldChar w:fldCharType="end"/>
                    </w:r>
                    <w:r>
                      <w:rPr>
                        <w:sz w:val="26"/>
                        <w:szCs w:val="26"/>
                      </w:rPr>
                      <w:t xml:space="preserve"> </w:t>
                    </w:r>
                    <w:r>
                      <w:t>—</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940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916728638"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18</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66" type="#_x0000_t202" style="width:2in;height:2in;margin-top:0;margin-left:0;mso-position-horizontal:outside;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18</w:t>
                    </w:r>
                    <w:r>
                      <w:rPr>
                        <w:sz w:val="26"/>
                        <w:szCs w:val="26"/>
                      </w:rPr>
                      <w:fldChar w:fldCharType="end"/>
                    </w:r>
                    <w:r>
                      <w:rPr>
                        <w:sz w:val="26"/>
                        <w:szCs w:val="26"/>
                      </w:rPr>
                      <w:t xml:space="preserve"> </w:t>
                    </w:r>
                    <w:r>
                      <w:t>—</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961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98347928"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19</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67" type="#_x0000_t202" style="width:2in;height:2in;margin-top:0;margin-left:0;mso-position-horizontal:outside;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19</w:t>
                    </w:r>
                    <w:r>
                      <w:rPr>
                        <w:sz w:val="26"/>
                        <w:szCs w:val="26"/>
                      </w:rPr>
                      <w:fldChar w:fldCharType="end"/>
                    </w:r>
                    <w:r>
                      <w:rPr>
                        <w:sz w:val="26"/>
                        <w:szCs w:val="26"/>
                      </w:rPr>
                      <w:t xml:space="preserve"> </w:t>
                    </w:r>
                    <w:r>
                      <w:t>—</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9817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61578050"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20</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68" type="#_x0000_t202" style="width:2in;height:2in;margin-top:0;margin-left:0;mso-position-horizontal:outside;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20</w:t>
                    </w:r>
                    <w:r>
                      <w:rPr>
                        <w:sz w:val="26"/>
                        <w:szCs w:val="26"/>
                      </w:rPr>
                      <w:fldChar w:fldCharType="end"/>
                    </w:r>
                    <w:r>
                      <w:rPr>
                        <w:sz w:val="26"/>
                        <w:szCs w:val="26"/>
                      </w:rPr>
                      <w:t xml:space="preserve"> </w:t>
                    </w:r>
                    <w:r>
                      <w:t>—</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0022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90894487"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21</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69" type="#_x0000_t202" style="width:2in;height:2in;margin-top:0;margin-left:0;mso-position-horizontal:outside;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21</w:t>
                    </w:r>
                    <w:r>
                      <w:rPr>
                        <w:sz w:val="26"/>
                        <w:szCs w:val="26"/>
                      </w:rPr>
                      <w:fldChar w:fldCharType="end"/>
                    </w:r>
                    <w:r>
                      <w:rPr>
                        <w:sz w:val="26"/>
                        <w:szCs w:val="26"/>
                      </w:rPr>
                      <w:t xml:space="preserve"> </w:t>
                    </w:r>
                    <w:r>
                      <w:t>—</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0227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03908687"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22</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70" type="#_x0000_t202" style="width:2in;height:2in;margin-top:0;margin-left:0;mso-position-horizontal:outside;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22</w:t>
                    </w:r>
                    <w:r>
                      <w:rPr>
                        <w:sz w:val="26"/>
                        <w:szCs w:val="26"/>
                      </w:rPr>
                      <w:fldChar w:fldCharType="end"/>
                    </w:r>
                    <w:r>
                      <w:rPr>
                        <w:sz w:val="26"/>
                        <w:szCs w:val="26"/>
                      </w:rPr>
                      <w:t xml:space="preserve"> </w:t>
                    </w:r>
                    <w:r>
                      <w:t>—</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0432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44962556"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23</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71" type="#_x0000_t202" style="width:2in;height:2in;margin-top:0;margin-left:0;mso-position-horizontal:outside;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23</w:t>
                    </w:r>
                    <w:r>
                      <w:rPr>
                        <w:sz w:val="26"/>
                        <w:szCs w:val="26"/>
                      </w:rPr>
                      <w:fldChar w:fldCharType="end"/>
                    </w:r>
                    <w:r>
                      <w:rPr>
                        <w:sz w:val="26"/>
                        <w:szCs w:val="26"/>
                      </w:rPr>
                      <w:t xml:space="preserve"> </w:t>
                    </w:r>
                    <w:r>
                      <w:t>—</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0636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65122212"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24</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72" type="#_x0000_t202" style="width:2in;height:2in;margin-top:0;margin-left:0;mso-position-horizontal:outside;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24</w:t>
                    </w:r>
                    <w:r>
                      <w:rPr>
                        <w:sz w:val="26"/>
                        <w:szCs w:val="26"/>
                      </w:rPr>
                      <w:fldChar w:fldCharType="end"/>
                    </w:r>
                    <w:r>
                      <w:rPr>
                        <w:sz w:val="26"/>
                        <w:szCs w:val="26"/>
                      </w:rPr>
                      <w:t xml:space="preserve"> </w:t>
                    </w:r>
                    <w:r>
                      <w:t>—</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0841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60977565" name="文本框 10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26</w:t>
                          </w:r>
                          <w:r>
                            <w:rPr>
                              <w:sz w:val="26"/>
                              <w:szCs w:val="26"/>
                            </w:rPr>
                            <w:fldChar w:fldCharType="end"/>
                          </w:r>
                          <w:r>
                            <w:rPr>
                              <w:sz w:val="26"/>
                              <w:szCs w:val="26"/>
                            </w:rPr>
                            <w:t xml:space="preserve"> </w:t>
                          </w:r>
                          <w: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32" o:spid="_x0000_s2073" type="#_x0000_t202" style="width:2in;height:2in;margin-top:0;margin-left:0;mso-position-horizontal:outside;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pPr>
                    <w:r>
                      <w:t>—</w:t>
                    </w:r>
                    <w:r>
                      <w:rPr>
                        <w:sz w:val="26"/>
                        <w:szCs w:val="26"/>
                      </w:rPr>
                      <w:t xml:space="preserve"> </w:t>
                    </w:r>
                    <w:r>
                      <w:rPr>
                        <w:sz w:val="26"/>
                        <w:szCs w:val="26"/>
                      </w:rPr>
                      <w:fldChar w:fldCharType="begin"/>
                    </w:r>
                    <w:r>
                      <w:rPr>
                        <w:sz w:val="26"/>
                        <w:szCs w:val="26"/>
                      </w:rPr>
                      <w:instrText xml:space="preserve"> PAGE  \* MERGEFORMAT </w:instrText>
                    </w:r>
                    <w:r>
                      <w:rPr>
                        <w:sz w:val="26"/>
                        <w:szCs w:val="26"/>
                      </w:rPr>
                      <w:fldChar w:fldCharType="separate"/>
                    </w:r>
                    <w:r>
                      <w:rPr>
                        <w:sz w:val="26"/>
                        <w:szCs w:val="26"/>
                      </w:rPr>
                      <w:t>26</w:t>
                    </w:r>
                    <w:r>
                      <w:rPr>
                        <w:sz w:val="26"/>
                        <w:szCs w:val="26"/>
                      </w:rPr>
                      <w:fldChar w:fldCharType="end"/>
                    </w:r>
                    <w:r>
                      <w:rPr>
                        <w:sz w:val="26"/>
                        <w:szCs w:val="26"/>
                      </w:rPr>
                      <w:t xml:space="preserve"> </w:t>
                    </w:r>
                    <w:r>
                      <w:t>—</w:t>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3180CBD"/>
    <w:multiLevelType w:val="multilevel"/>
    <w:tmpl w:val="83180CBD"/>
    <w:lvl w:ilvl="0">
      <w:start w:val="1"/>
      <w:numFmt w:val="decimal"/>
      <w:lvlText w:val="%1"/>
      <w:lvlJc w:val="center"/>
      <w:pPr>
        <w:tabs>
          <w:tab w:val="left" w:pos="277"/>
        </w:tabs>
        <w:ind w:left="397" w:hanging="397"/>
      </w:pPr>
      <w:rPr>
        <w:rFonts w:ascii="宋体" w:eastAsia="宋体" w:hAnsi="宋体" w:cs="宋体" w:hint="default"/>
        <w:b/>
        <w:bCs/>
        <w:sz w:val="36"/>
        <w:szCs w:val="36"/>
      </w:rPr>
    </w:lvl>
    <w:lvl w:ilvl="1">
      <w:start w:val="1"/>
      <w:numFmt w:val="decimal"/>
      <w:lvlText w:val="%1.%2"/>
      <w:lvlJc w:val="left"/>
      <w:pPr>
        <w:ind w:left="567" w:hanging="567"/>
      </w:pPr>
      <w:rPr>
        <w:rFonts w:ascii="宋体" w:eastAsia="宋体" w:hAnsi="宋体" w:cs="宋体" w:hint="default"/>
        <w:b/>
        <w:bCs/>
        <w:sz w:val="32"/>
        <w:szCs w:val="32"/>
      </w:rPr>
    </w:lvl>
    <w:lvl w:ilvl="2">
      <w:start w:val="1"/>
      <w:numFmt w:val="decimal"/>
      <w:lvlText w:val="%1.%2.%3"/>
      <w:lvlJc w:val="left"/>
      <w:pPr>
        <w:ind w:left="709" w:hanging="709"/>
      </w:pPr>
      <w:rPr>
        <w:rFonts w:ascii="宋体" w:eastAsia="宋体" w:hAnsi="宋体" w:cs="宋体" w:hint="default"/>
        <w:b/>
        <w:bCs/>
        <w:sz w:val="30"/>
        <w:szCs w:val="30"/>
      </w:rPr>
    </w:lvl>
    <w:lvl w:ilvl="3">
      <w:start w:val="1"/>
      <w:numFmt w:val="decimal"/>
      <w:lvlRestart w:val="2"/>
      <w:pStyle w:val="CH0"/>
      <w:lvlText w:val="表%1.%2-%4"/>
      <w:lvlJc w:val="center"/>
      <w:pPr>
        <w:tabs>
          <w:tab w:val="left" w:pos="850"/>
        </w:tabs>
        <w:ind w:left="569" w:hanging="569"/>
      </w:pPr>
      <w:rPr>
        <w:rFonts w:ascii="宋体" w:eastAsia="宋体" w:hAnsi="宋体" w:cs="宋体" w:hint="default"/>
        <w:b/>
        <w:bCs/>
        <w:sz w:val="21"/>
        <w:szCs w:val="21"/>
      </w:rPr>
    </w:lvl>
    <w:lvl w:ilvl="4">
      <w:start w:val="1"/>
      <w:numFmt w:val="decimal"/>
      <w:lvlRestart w:val="1"/>
      <w:lvlText w:val="图%1.%2.%5"/>
      <w:lvlJc w:val="center"/>
      <w:pPr>
        <w:tabs>
          <w:tab w:val="left" w:pos="0"/>
        </w:tabs>
        <w:ind w:left="0" w:firstLine="0"/>
      </w:pPr>
      <w:rPr>
        <w:rFonts w:ascii="宋体" w:eastAsia="宋体" w:hAnsi="宋体" w:cs="宋体" w:hint="default"/>
        <w:b/>
        <w:bCs/>
        <w:sz w:val="21"/>
        <w:szCs w:val="21"/>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1">
    <w:nsid w:val="BDB4F525"/>
    <w:multiLevelType w:val="multilevel"/>
    <w:tmpl w:val="BDB4F525"/>
    <w:lvl w:ilvl="0">
      <w:start w:val="1"/>
      <w:numFmt w:val="decimal"/>
      <w:lvlText w:val="%1"/>
      <w:lvlJc w:val="center"/>
      <w:pPr>
        <w:tabs>
          <w:tab w:val="left" w:pos="277"/>
        </w:tabs>
        <w:ind w:left="397" w:hanging="397" w:leftChars="0" w:firstLineChars="0"/>
      </w:pPr>
      <w:rPr>
        <w:rFonts w:ascii="Times New Roman" w:eastAsia="宋体" w:hAnsi="Times New Roman" w:cs="Times New Roman" w:hint="default"/>
        <w:b/>
        <w:bCs/>
        <w:sz w:val="36"/>
        <w:szCs w:val="36"/>
      </w:rPr>
    </w:lvl>
    <w:lvl w:ilvl="1">
      <w:start w:val="1"/>
      <w:numFmt w:val="decimal"/>
      <w:lvlText w:val="%1.%2"/>
      <w:lvlJc w:val="left"/>
      <w:pPr>
        <w:ind w:left="567" w:hanging="567"/>
      </w:pPr>
      <w:rPr>
        <w:rFonts w:ascii="Times New Roman" w:eastAsia="宋体" w:hAnsi="Times New Roman" w:cs="Times New Roman" w:hint="default"/>
        <w:b/>
        <w:bCs/>
        <w:sz w:val="32"/>
        <w:szCs w:val="32"/>
      </w:rPr>
    </w:lvl>
    <w:lvl w:ilvl="2">
      <w:start w:val="1"/>
      <w:numFmt w:val="decimal"/>
      <w:lvlText w:val="%1.%2.%3"/>
      <w:lvlJc w:val="left"/>
      <w:pPr>
        <w:ind w:left="949" w:hanging="709"/>
      </w:pPr>
      <w:rPr>
        <w:rFonts w:ascii="Times New Roman" w:eastAsia="宋体" w:hAnsi="Times New Roman" w:cs="Times New Roman" w:hint="default"/>
        <w:b/>
        <w:bCs/>
        <w:sz w:val="30"/>
        <w:szCs w:val="30"/>
      </w:rPr>
    </w:lvl>
    <w:lvl w:ilvl="3">
      <w:start w:val="1"/>
      <w:numFmt w:val="decimal"/>
      <w:lvlRestart w:val="2"/>
      <w:pStyle w:val="CXY0"/>
      <w:lvlText w:val="表%1.%2-%4"/>
      <w:lvlJc w:val="center"/>
      <w:pPr>
        <w:tabs>
          <w:tab w:val="left" w:pos="850"/>
        </w:tabs>
        <w:ind w:left="569" w:hanging="569" w:leftChars="0" w:firstLineChars="0"/>
      </w:pPr>
      <w:rPr>
        <w:rFonts w:ascii="Times New Roman" w:eastAsia="宋体" w:hAnsi="Times New Roman" w:cs="Times New Roman" w:hint="default"/>
        <w:b/>
        <w:bCs/>
        <w:sz w:val="21"/>
        <w:szCs w:val="21"/>
      </w:rPr>
    </w:lvl>
    <w:lvl w:ilvl="4">
      <w:start w:val="1"/>
      <w:numFmt w:val="decimal"/>
      <w:lvlRestart w:val="2"/>
      <w:lvlText w:val="图%1.%2-%5"/>
      <w:lvlJc w:val="center"/>
      <w:pPr>
        <w:tabs>
          <w:tab w:val="left" w:pos="850"/>
        </w:tabs>
        <w:ind w:left="567" w:hanging="567" w:leftChars="0" w:firstLineChars="0"/>
      </w:pPr>
      <w:rPr>
        <w:rFonts w:ascii="Times New Roman" w:eastAsia="宋体" w:hAnsi="Times New Roman" w:cs="Times New Roman" w:hint="default"/>
        <w:b/>
        <w:bCs/>
        <w:sz w:val="21"/>
        <w:szCs w:val="21"/>
      </w:rPr>
    </w:lvl>
    <w:lvl w:ilvl="5">
      <w:start w:val="1"/>
      <w:numFmt w:val="decimal"/>
      <w:lvlRestart w:val="3"/>
      <w:pStyle w:val="CXY3"/>
      <w:lvlText w:val="%1.%2.%3.%6"/>
      <w:lvlJc w:val="left"/>
      <w:pPr>
        <w:ind w:left="1134" w:hanging="1134"/>
      </w:pPr>
      <w:rPr>
        <w:rFonts w:ascii="Times New Roman" w:eastAsia="宋体" w:hAnsi="Times New Roman" w:cs="Times New Roman" w:hint="default"/>
        <w:b/>
        <w:bCs/>
        <w:sz w:val="24"/>
        <w:szCs w:val="24"/>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2">
    <w:nsid w:val="05C3FECC"/>
    <w:multiLevelType w:val="multilevel"/>
    <w:tmpl w:val="05C3FECC"/>
    <w:lvl w:ilvl="0">
      <w:start w:val="1"/>
      <w:numFmt w:val="decimal"/>
      <w:suff w:val="space"/>
      <w:lvlText w:val="%1"/>
      <w:lvlJc w:val="left"/>
      <w:pPr>
        <w:tabs>
          <w:tab w:val="left" w:pos="420"/>
        </w:tabs>
        <w:ind w:left="0" w:firstLine="0"/>
      </w:pPr>
      <w:rPr>
        <w:rFonts w:ascii="Times New Roman" w:eastAsia="宋体" w:hAnsi="Times New Roman" w:cs="宋体" w:hint="default"/>
      </w:rPr>
    </w:lvl>
    <w:lvl w:ilvl="1">
      <w:start w:val="1"/>
      <w:numFmt w:val="decimal"/>
      <w:suff w:val="space"/>
      <w:lvlText w:val="%1.%2"/>
      <w:lvlJc w:val="left"/>
      <w:pPr>
        <w:tabs>
          <w:tab w:val="left" w:pos="0"/>
        </w:tabs>
        <w:ind w:left="0" w:firstLine="0"/>
      </w:pPr>
      <w:rPr>
        <w:rFonts w:ascii="Times New Roman" w:eastAsia="宋体" w:hAnsi="Times New Roman" w:cs="宋体" w:hint="default"/>
      </w:rPr>
    </w:lvl>
    <w:lvl w:ilvl="2">
      <w:start w:val="1"/>
      <w:numFmt w:val="decimal"/>
      <w:suff w:val="space"/>
      <w:lvlText w:val="%1.%2.%3"/>
      <w:lvlJc w:val="left"/>
      <w:pPr>
        <w:tabs>
          <w:tab w:val="left" w:pos="0"/>
        </w:tabs>
        <w:ind w:left="240" w:firstLine="0"/>
      </w:pPr>
      <w:rPr>
        <w:rFonts w:ascii="Times New Roman" w:eastAsia="宋体" w:hAnsi="Times New Roman" w:cs="宋体" w:hint="default"/>
      </w:rPr>
    </w:lvl>
    <w:lvl w:ilvl="3">
      <w:start w:val="1"/>
      <w:numFmt w:val="decimal"/>
      <w:suff w:val="space"/>
      <w:lvlText w:val="%1.%2.%3.%4"/>
      <w:lvlJc w:val="left"/>
      <w:pPr>
        <w:tabs>
          <w:tab w:val="left" w:pos="420"/>
        </w:tabs>
        <w:ind w:left="1200" w:firstLine="0"/>
      </w:pPr>
      <w:rPr>
        <w:rFonts w:ascii="Times New Roman" w:eastAsia="宋体" w:hAnsi="Times New Roman" w:cs="宋体" w:hint="default"/>
      </w:rPr>
    </w:lvl>
    <w:lvl w:ilvl="4">
      <w:start w:val="1"/>
      <w:numFmt w:val="decimal"/>
      <w:lvlRestart w:val="2"/>
      <w:lvlText w:val="图%1.%2-%5 "/>
      <w:lvlJc w:val="left"/>
      <w:pPr>
        <w:ind w:left="1008" w:hanging="1008"/>
      </w:pPr>
      <w:rPr>
        <w:rFonts w:ascii="Times New Roman" w:eastAsia="宋体" w:hAnsi="Times New Roman" w:cs="宋体" w:hint="default"/>
        <w:b/>
        <w:sz w:val="24"/>
        <w:szCs w:val="24"/>
      </w:rPr>
    </w:lvl>
    <w:lvl w:ilvl="5">
      <w:start w:val="1"/>
      <w:numFmt w:val="decimal"/>
      <w:lvlRestart w:val="2"/>
      <w:lvlText w:val="图%1.%2-%6 "/>
      <w:lvlJc w:val="center"/>
      <w:pPr>
        <w:tabs>
          <w:tab w:val="left" w:pos="420"/>
        </w:tabs>
        <w:ind w:left="0" w:firstLine="0"/>
      </w:pPr>
      <w:rPr>
        <w:rFonts w:ascii="Times New Roman" w:eastAsia="宋体" w:hAnsi="Times New Roman" w:cs="宋体" w:hint="default"/>
        <w:b/>
        <w:bCs/>
        <w:color w:val="auto"/>
        <w:sz w:val="24"/>
        <w:szCs w:val="24"/>
      </w:rPr>
    </w:lvl>
    <w:lvl w:ilvl="6">
      <w:start w:val="1"/>
      <w:numFmt w:val="decimal"/>
      <w:lvlRestart w:val="2"/>
      <w:pStyle w:val="a27"/>
      <w:lvlText w:val="表%1.%2-%7"/>
      <w:lvlJc w:val="center"/>
      <w:pPr>
        <w:tabs>
          <w:tab w:val="left" w:pos="420"/>
        </w:tabs>
        <w:ind w:left="1296" w:hanging="1296"/>
      </w:pPr>
      <w:rPr>
        <w:rFonts w:ascii="Times New Roman" w:eastAsia="宋体" w:hAnsi="Times New Roman" w:cs="宋体" w:hint="default"/>
        <w:sz w:val="21"/>
        <w:szCs w:val="21"/>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3">
    <w:nsid w:val="0BA91451"/>
    <w:multiLevelType w:val="multilevel"/>
    <w:tmpl w:val="0BA91451"/>
    <w:lvl w:ilvl="0">
      <w:start w:val="1"/>
      <w:numFmt w:val="chineseCounting"/>
      <w:suff w:val="nothing"/>
      <w:lvlText w:val="%1、"/>
      <w:lvlJc w:val="left"/>
      <w:pPr>
        <w:tabs>
          <w:tab w:val="left" w:pos="0"/>
        </w:tabs>
        <w:ind w:left="425" w:hanging="425"/>
      </w:pPr>
      <w:rPr>
        <w:rFonts w:ascii="Times New Roman" w:eastAsia="黑体" w:hAnsi="Times New Roman" w:cs="宋体" w:hint="eastAsia"/>
        <w:b w:val="0"/>
        <w:bCs w:val="0"/>
        <w:sz w:val="30"/>
        <w:szCs w:val="30"/>
      </w:rPr>
    </w:lvl>
    <w:lvl w:ilvl="1">
      <w:start w:val="1"/>
      <w:numFmt w:val="decimal"/>
      <w:isLgl/>
      <w:suff w:val="nothing"/>
      <w:lvlText w:val="%2、"/>
      <w:lvlJc w:val="left"/>
      <w:pPr>
        <w:tabs>
          <w:tab w:val="left" w:pos="420"/>
        </w:tabs>
        <w:ind w:left="0" w:firstLine="0"/>
      </w:pPr>
      <w:rPr>
        <w:rFonts w:ascii="宋体" w:eastAsia="宋体" w:hAnsi="宋体" w:cs="宋体" w:hint="eastAsia"/>
        <w:b/>
        <w:bCs/>
        <w:sz w:val="24"/>
        <w:szCs w:val="24"/>
      </w:rPr>
    </w:lvl>
    <w:lvl w:ilvl="2">
      <w:start w:val="1"/>
      <w:numFmt w:val="decimal"/>
      <w:isLgl/>
      <w:lvlText w:val="%2.%3"/>
      <w:lvlJc w:val="left"/>
      <w:pPr>
        <w:tabs>
          <w:tab w:val="left" w:pos="420"/>
        </w:tabs>
        <w:ind w:left="0" w:firstLine="0"/>
      </w:pPr>
      <w:rPr>
        <w:rFonts w:ascii="宋体" w:eastAsia="宋体" w:hAnsi="宋体" w:cs="宋体" w:hint="eastAsia"/>
        <w:b/>
        <w:bCs/>
        <w:sz w:val="24"/>
        <w:szCs w:val="24"/>
      </w:rPr>
    </w:lvl>
    <w:lvl w:ilvl="3">
      <w:start w:val="1"/>
      <w:numFmt w:val="decimal"/>
      <w:lvlRestart w:val="1"/>
      <w:pStyle w:val="HP"/>
      <w:isLgl/>
      <w:lvlText w:val="表%1-%4"/>
      <w:lvlJc w:val="left"/>
      <w:pPr>
        <w:tabs>
          <w:tab w:val="left" w:pos="420"/>
        </w:tabs>
        <w:ind w:left="0" w:firstLine="0"/>
      </w:pPr>
      <w:rPr>
        <w:rFonts w:ascii="Times New Roman" w:eastAsia="宋体" w:hAnsi="Times New Roman" w:cs="宋体" w:hint="eastAsia"/>
        <w:b/>
        <w:bCs/>
        <w:sz w:val="21"/>
        <w:szCs w:val="21"/>
      </w:rPr>
    </w:lvl>
    <w:lvl w:ilvl="4">
      <w:start w:val="1"/>
      <w:numFmt w:val="decimal"/>
      <w:lvlRestart w:val="1"/>
      <w:isLgl/>
      <w:lvlText w:val="图%1-%5"/>
      <w:lvlJc w:val="left"/>
      <w:pPr>
        <w:tabs>
          <w:tab w:val="left" w:pos="420"/>
        </w:tabs>
        <w:ind w:left="0" w:firstLine="0"/>
      </w:pPr>
      <w:rPr>
        <w:rFonts w:ascii="Times New Roman" w:eastAsia="宋体" w:hAnsi="Times New Roman" w:cs="宋体" w:hint="eastAsia"/>
        <w:b/>
        <w:bCs/>
        <w:sz w:val="21"/>
        <w:szCs w:val="21"/>
      </w:rPr>
    </w:lvl>
    <w:lvl w:ilvl="5">
      <w:start w:val="1"/>
      <w:numFmt w:val="decimal"/>
      <w:lvlRestart w:val="2"/>
      <w:suff w:val="nothing"/>
      <w:lvlText w:val="（%6）"/>
      <w:lvlJc w:val="left"/>
      <w:pPr>
        <w:tabs>
          <w:tab w:val="left" w:pos="0"/>
        </w:tabs>
        <w:ind w:left="1554" w:hanging="1134"/>
      </w:pPr>
      <w:rPr>
        <w:rFonts w:ascii="Times New Roman" w:eastAsia="宋体" w:hAnsi="Times New Roman" w:cs="宋体" w:hint="eastAsia"/>
        <w:b/>
        <w:bCs/>
        <w:sz w:val="24"/>
        <w:szCs w:val="24"/>
      </w:rPr>
    </w:lvl>
    <w:lvl w:ilvl="6">
      <w:start w:val="1"/>
      <w:numFmt w:val="decimal"/>
      <w:isLgl/>
      <w:lvlText w:val="%1.%2.%3.%4.%5.%6.%7."/>
      <w:lvlJc w:val="left"/>
      <w:pPr>
        <w:ind w:left="1275" w:hanging="1275"/>
      </w:pPr>
      <w:rPr>
        <w:rFonts w:hint="eastAsia"/>
      </w:rPr>
    </w:lvl>
    <w:lvl w:ilvl="7">
      <w:start w:val="1"/>
      <w:numFmt w:val="decimal"/>
      <w:isLgl/>
      <w:lvlText w:val="%1.%2.%3.%4.%5.%6.%7.%8."/>
      <w:lvlJc w:val="left"/>
      <w:pPr>
        <w:ind w:left="1418" w:hanging="1418"/>
      </w:pPr>
      <w:rPr>
        <w:rFonts w:hint="eastAsia"/>
      </w:rPr>
    </w:lvl>
    <w:lvl w:ilvl="8">
      <w:start w:val="1"/>
      <w:numFmt w:val="decimal"/>
      <w:isLgl/>
      <w:lvlText w:val="%1.%2.%3.%4.%5.%6.%7.%8.%9."/>
      <w:lvlJc w:val="left"/>
      <w:pPr>
        <w:ind w:left="1558" w:hanging="1558"/>
      </w:pPr>
      <w:rPr>
        <w:rFonts w:hint="eastAsia"/>
      </w:rPr>
    </w:lvl>
  </w:abstractNum>
  <w:abstractNum w:abstractNumId="4">
    <w:nsid w:val="1392E80B"/>
    <w:multiLevelType w:val="multilevel"/>
    <w:tmpl w:val="1392E80B"/>
    <w:lvl w:ilvl="0">
      <w:start w:val="1"/>
      <w:numFmt w:val="decimal"/>
      <w:lvlText w:val="%1"/>
      <w:lvlJc w:val="center"/>
      <w:pPr>
        <w:tabs>
          <w:tab w:val="left" w:pos="277"/>
        </w:tabs>
        <w:ind w:left="397" w:hanging="397"/>
      </w:pPr>
      <w:rPr>
        <w:rFonts w:ascii="Times New Roman" w:eastAsia="宋体" w:hAnsi="Times New Roman" w:cs="Times New Roman" w:hint="default"/>
        <w:b/>
        <w:bCs/>
        <w:sz w:val="36"/>
        <w:szCs w:val="36"/>
      </w:rPr>
    </w:lvl>
    <w:lvl w:ilvl="1">
      <w:start w:val="1"/>
      <w:numFmt w:val="decimal"/>
      <w:lvlText w:val="%1.%2"/>
      <w:lvlJc w:val="left"/>
      <w:pPr>
        <w:ind w:left="567" w:hanging="567"/>
      </w:pPr>
      <w:rPr>
        <w:rFonts w:ascii="Times New Roman" w:eastAsia="宋体" w:hAnsi="Times New Roman" w:cs="Times New Roman" w:hint="default"/>
        <w:b/>
        <w:bCs/>
        <w:sz w:val="32"/>
        <w:szCs w:val="32"/>
      </w:rPr>
    </w:lvl>
    <w:lvl w:ilvl="2">
      <w:start w:val="1"/>
      <w:numFmt w:val="decimal"/>
      <w:lvlText w:val="%1.%2.%3"/>
      <w:lvlJc w:val="left"/>
      <w:pPr>
        <w:ind w:left="949" w:hanging="709"/>
      </w:pPr>
      <w:rPr>
        <w:rFonts w:ascii="Times New Roman" w:eastAsia="宋体" w:hAnsi="Times New Roman" w:cs="Times New Roman" w:hint="default"/>
        <w:b/>
        <w:bCs/>
        <w:sz w:val="30"/>
        <w:szCs w:val="30"/>
      </w:rPr>
    </w:lvl>
    <w:lvl w:ilvl="3">
      <w:start w:val="1"/>
      <w:numFmt w:val="decimal"/>
      <w:lvlRestart w:val="2"/>
      <w:lvlText w:val="表%1.%2-%4"/>
      <w:lvlJc w:val="center"/>
      <w:pPr>
        <w:tabs>
          <w:tab w:val="left" w:pos="850"/>
        </w:tabs>
        <w:ind w:left="569" w:hanging="569"/>
      </w:pPr>
      <w:rPr>
        <w:rFonts w:ascii="Times New Roman" w:eastAsia="宋体" w:hAnsi="Times New Roman" w:cs="Times New Roman" w:hint="default"/>
        <w:b/>
        <w:bCs/>
        <w:sz w:val="21"/>
        <w:szCs w:val="21"/>
      </w:rPr>
    </w:lvl>
    <w:lvl w:ilvl="4">
      <w:start w:val="1"/>
      <w:numFmt w:val="decimal"/>
      <w:lvlRestart w:val="2"/>
      <w:pStyle w:val="CXY2"/>
      <w:lvlText w:val="图%1.%2-%5"/>
      <w:lvlJc w:val="center"/>
      <w:pPr>
        <w:tabs>
          <w:tab w:val="left" w:pos="850"/>
        </w:tabs>
        <w:ind w:left="567" w:hanging="567"/>
      </w:pPr>
      <w:rPr>
        <w:rFonts w:ascii="Times New Roman" w:eastAsia="宋体" w:hAnsi="Times New Roman" w:cs="Times New Roman" w:hint="default"/>
        <w:b/>
        <w:bCs/>
        <w:sz w:val="21"/>
        <w:szCs w:val="21"/>
      </w:rPr>
    </w:lvl>
    <w:lvl w:ilvl="5">
      <w:start w:val="1"/>
      <w:numFmt w:val="decimal"/>
      <w:lvlRestart w:val="3"/>
      <w:lvlText w:val="%1.%2.%3.%6"/>
      <w:lvlJc w:val="left"/>
      <w:pPr>
        <w:ind w:left="1134" w:hanging="1134"/>
      </w:pPr>
      <w:rPr>
        <w:rFonts w:ascii="Times New Roman" w:eastAsia="宋体" w:hAnsi="Times New Roman" w:cs="Times New Roman" w:hint="default"/>
        <w:b/>
        <w:bCs/>
        <w:sz w:val="24"/>
        <w:szCs w:val="24"/>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5">
    <w:nsid w:val="212A900A"/>
    <w:multiLevelType w:val="multilevel"/>
    <w:tmpl w:val="212A900A"/>
    <w:lvl w:ilvl="0">
      <w:start w:val="1"/>
      <w:numFmt w:val="chineseCounting"/>
      <w:pStyle w:val="yt0"/>
      <w:suff w:val="nothing"/>
      <w:lvlText w:val="%1、"/>
      <w:lvlJc w:val="left"/>
      <w:pPr>
        <w:tabs>
          <w:tab w:val="left" w:pos="0"/>
        </w:tabs>
        <w:ind w:left="425" w:hanging="425"/>
      </w:pPr>
      <w:rPr>
        <w:rFonts w:ascii="黑体" w:eastAsia="黑体" w:hAnsi="黑体" w:cs="黑体" w:hint="eastAsia"/>
        <w:b/>
        <w:bCs/>
        <w:sz w:val="30"/>
        <w:szCs w:val="30"/>
      </w:rPr>
    </w:lvl>
    <w:lvl w:ilvl="1">
      <w:start w:val="1"/>
      <w:numFmt w:val="decimal"/>
      <w:isLgl/>
      <w:lvlText w:val="%2、"/>
      <w:lvlJc w:val="left"/>
      <w:pPr>
        <w:tabs>
          <w:tab w:val="left" w:pos="420"/>
        </w:tabs>
        <w:ind w:left="425" w:hanging="425"/>
      </w:pPr>
      <w:rPr>
        <w:rFonts w:ascii="宋体" w:eastAsia="宋体" w:hAnsi="宋体" w:cs="宋体" w:hint="eastAsia"/>
        <w:b/>
        <w:bCs/>
        <w:sz w:val="24"/>
        <w:szCs w:val="24"/>
      </w:rPr>
    </w:lvl>
    <w:lvl w:ilvl="2">
      <w:start w:val="1"/>
      <w:numFmt w:val="decimal"/>
      <w:isLgl/>
      <w:lvlText w:val="%2.%3."/>
      <w:lvlJc w:val="left"/>
      <w:pPr>
        <w:tabs>
          <w:tab w:val="left" w:pos="420"/>
        </w:tabs>
        <w:ind w:left="0" w:firstLine="0"/>
      </w:pPr>
      <w:rPr>
        <w:rFonts w:ascii="宋体" w:eastAsia="宋体" w:hAnsi="宋体" w:cs="宋体" w:hint="eastAsia"/>
        <w:sz w:val="24"/>
        <w:szCs w:val="24"/>
      </w:rPr>
    </w:lvl>
    <w:lvl w:ilvl="3">
      <w:start w:val="1"/>
      <w:numFmt w:val="decimal"/>
      <w:lvlRestart w:val="1"/>
      <w:pStyle w:val="yt1"/>
      <w:isLgl/>
      <w:lvlText w:val="表%1-%4"/>
      <w:lvlJc w:val="left"/>
      <w:pPr>
        <w:tabs>
          <w:tab w:val="left" w:pos="283"/>
        </w:tabs>
        <w:ind w:left="283" w:hanging="283"/>
      </w:pPr>
      <w:rPr>
        <w:rFonts w:ascii="宋体" w:eastAsia="宋体" w:hAnsi="宋体" w:cs="宋体" w:hint="eastAsia"/>
        <w:b/>
        <w:bCs/>
        <w:sz w:val="21"/>
        <w:szCs w:val="21"/>
      </w:rPr>
    </w:lvl>
    <w:lvl w:ilvl="4">
      <w:start w:val="1"/>
      <w:numFmt w:val="decimal"/>
      <w:lvlRestart w:val="1"/>
      <w:pStyle w:val="yt2"/>
      <w:isLgl/>
      <w:lvlText w:val="图%1-%5"/>
      <w:lvlJc w:val="left"/>
      <w:pPr>
        <w:tabs>
          <w:tab w:val="left" w:pos="283"/>
        </w:tabs>
        <w:ind w:left="283" w:hanging="283"/>
      </w:pPr>
      <w:rPr>
        <w:rFonts w:ascii="宋体" w:eastAsia="宋体" w:hAnsi="宋体" w:cs="宋体" w:hint="default"/>
        <w:b/>
        <w:bCs/>
        <w:color w:val="auto"/>
        <w:sz w:val="21"/>
        <w:szCs w:val="21"/>
      </w:rPr>
    </w:lvl>
    <w:lvl w:ilvl="5">
      <w:start w:val="1"/>
      <w:numFmt w:val="decimal"/>
      <w:lvlRestart w:val="2"/>
      <w:suff w:val="nothing"/>
      <w:lvlText w:val="（%6）"/>
      <w:lvlJc w:val="left"/>
      <w:pPr>
        <w:ind w:left="1134" w:hanging="1134"/>
      </w:pPr>
      <w:rPr>
        <w:rFonts w:ascii="宋体" w:eastAsia="宋体" w:hAnsi="宋体" w:cs="宋体" w:hint="eastAsia"/>
        <w:b/>
        <w:bCs/>
        <w:sz w:val="24"/>
        <w:szCs w:val="24"/>
      </w:rPr>
    </w:lvl>
    <w:lvl w:ilvl="6">
      <w:start w:val="1"/>
      <w:numFmt w:val="decimal"/>
      <w:isLgl/>
      <w:lvlText w:val="%1.%2.%3.%4.%5.%6.%7."/>
      <w:lvlJc w:val="left"/>
      <w:pPr>
        <w:ind w:left="1275" w:hanging="1275"/>
      </w:pPr>
      <w:rPr>
        <w:rFonts w:hint="eastAsia"/>
      </w:rPr>
    </w:lvl>
    <w:lvl w:ilvl="7">
      <w:start w:val="1"/>
      <w:numFmt w:val="decimal"/>
      <w:isLgl/>
      <w:lvlText w:val="%1.%2.%3.%4.%5.%6.%7.%8."/>
      <w:lvlJc w:val="left"/>
      <w:pPr>
        <w:ind w:left="1418" w:hanging="1418"/>
      </w:pPr>
      <w:rPr>
        <w:rFonts w:hint="eastAsia"/>
      </w:rPr>
    </w:lvl>
    <w:lvl w:ilvl="8">
      <w:start w:val="1"/>
      <w:numFmt w:val="decimal"/>
      <w:isLgl/>
      <w:lvlText w:val="%1.%2.%3.%4.%5.%6.%7.%8.%9."/>
      <w:lvlJc w:val="left"/>
      <w:pPr>
        <w:ind w:left="1558" w:hanging="1558"/>
      </w:pPr>
      <w:rPr>
        <w:rFonts w:hint="eastAsia"/>
      </w:rPr>
    </w:lvl>
  </w:abstractNum>
  <w:abstractNum w:abstractNumId="6">
    <w:nsid w:val="24E2BE70"/>
    <w:multiLevelType w:val="multilevel"/>
    <w:tmpl w:val="24E2BE70"/>
    <w:lvl w:ilvl="0">
      <w:start w:val="1"/>
      <w:numFmt w:val="decimal"/>
      <w:lvlText w:val="%1 "/>
      <w:lvlJc w:val="left"/>
      <w:pPr>
        <w:ind w:left="425" w:hanging="425"/>
      </w:pPr>
      <w:rPr>
        <w:rFonts w:ascii="Times New Roman" w:eastAsia="宋体" w:hAnsi="Times New Roman" w:cs="宋体" w:hint="default"/>
        <w:sz w:val="36"/>
        <w:szCs w:val="36"/>
      </w:rPr>
    </w:lvl>
    <w:lvl w:ilvl="1">
      <w:start w:val="1"/>
      <w:numFmt w:val="decimal"/>
      <w:lvlText w:val="%1.%2 "/>
      <w:lvlJc w:val="left"/>
      <w:pPr>
        <w:ind w:left="567" w:hanging="567"/>
      </w:pPr>
      <w:rPr>
        <w:rFonts w:ascii="Times New Roman" w:eastAsia="宋体" w:hAnsi="Times New Roman" w:cs="宋体" w:hint="default"/>
        <w:sz w:val="30"/>
        <w:szCs w:val="30"/>
      </w:rPr>
    </w:lvl>
    <w:lvl w:ilvl="2">
      <w:start w:val="1"/>
      <w:numFmt w:val="decimal"/>
      <w:lvlText w:val="%1.%2.%3 "/>
      <w:lvlJc w:val="left"/>
      <w:pPr>
        <w:ind w:left="709" w:hanging="709"/>
      </w:pPr>
      <w:rPr>
        <w:rFonts w:ascii="Times New Roman" w:eastAsia="宋体" w:hAnsi="Times New Roman" w:cs="Times New Roman" w:hint="default"/>
        <w:sz w:val="28"/>
        <w:szCs w:val="28"/>
      </w:rPr>
    </w:lvl>
    <w:lvl w:ilvl="3">
      <w:start w:val="1"/>
      <w:numFmt w:val="decimal"/>
      <w:pStyle w:val="Heading4"/>
      <w:lvlText w:val="%1.%2.%3.%4 "/>
      <w:lvlJc w:val="left"/>
      <w:pPr>
        <w:ind w:left="850" w:hanging="850"/>
      </w:pPr>
      <w:rPr>
        <w:rFonts w:ascii="Times New Roman" w:eastAsia="宋体" w:hAnsi="Times New Roman" w:cs="Times New Roman" w:hint="default"/>
        <w:sz w:val="24"/>
        <w:szCs w:val="24"/>
      </w:rPr>
    </w:lvl>
    <w:lvl w:ilvl="4">
      <w:start w:val="1"/>
      <w:numFmt w:val="decimal"/>
      <w:lvlRestart w:val="2"/>
      <w:lvlText w:val="表%1.%2-%5 "/>
      <w:lvlJc w:val="left"/>
      <w:pPr>
        <w:ind w:left="991" w:hanging="991"/>
      </w:pPr>
      <w:rPr>
        <w:rFonts w:ascii="Times New Roman" w:eastAsia="宋体" w:hAnsi="Times New Roman" w:cs="Times New Roman" w:hint="default"/>
        <w:sz w:val="24"/>
        <w:szCs w:val="24"/>
      </w:rPr>
    </w:lvl>
    <w:lvl w:ilvl="5">
      <w:start w:val="1"/>
      <w:numFmt w:val="decimal"/>
      <w:lvlRestart w:val="2"/>
      <w:lvlText w:val="图%1.%2-%6 "/>
      <w:lvlJc w:val="left"/>
      <w:pPr>
        <w:ind w:left="1134" w:hanging="1134"/>
      </w:pPr>
      <w:rPr>
        <w:rFonts w:ascii="Times New Roman" w:eastAsia="宋体" w:hAnsi="Times New Roman" w:cs="Times New Roman" w:hint="default"/>
        <w:sz w:val="24"/>
        <w:szCs w:val="24"/>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7">
    <w:nsid w:val="2C50A1C9"/>
    <w:multiLevelType w:val="multilevel"/>
    <w:tmpl w:val="2C50A1C9"/>
    <w:lvl w:ilvl="0">
      <w:start w:val="1"/>
      <w:numFmt w:val="decimal"/>
      <w:pStyle w:val="CXY"/>
      <w:lvlText w:val="%1"/>
      <w:lvlJc w:val="center"/>
      <w:pPr>
        <w:tabs>
          <w:tab w:val="left" w:pos="277"/>
        </w:tabs>
        <w:ind w:left="397" w:hanging="397" w:leftChars="0" w:firstLineChars="0"/>
      </w:pPr>
      <w:rPr>
        <w:rFonts w:ascii="Times New Roman" w:eastAsia="宋体" w:hAnsi="Times New Roman" w:cs="Times New Roman" w:hint="default"/>
        <w:b/>
        <w:bCs/>
        <w:sz w:val="36"/>
        <w:szCs w:val="36"/>
      </w:rPr>
    </w:lvl>
    <w:lvl w:ilvl="1">
      <w:start w:val="1"/>
      <w:numFmt w:val="decimal"/>
      <w:lvlText w:val="%1.%2"/>
      <w:lvlJc w:val="left"/>
      <w:pPr>
        <w:ind w:left="567" w:hanging="567"/>
      </w:pPr>
      <w:rPr>
        <w:rFonts w:ascii="Times New Roman" w:eastAsia="宋体" w:hAnsi="Times New Roman" w:cs="Times New Roman" w:hint="default"/>
        <w:b/>
        <w:bCs/>
        <w:sz w:val="32"/>
        <w:szCs w:val="32"/>
      </w:rPr>
    </w:lvl>
    <w:lvl w:ilvl="2">
      <w:start w:val="1"/>
      <w:numFmt w:val="decimal"/>
      <w:lvlText w:val="%1.%2.%3"/>
      <w:lvlJc w:val="left"/>
      <w:pPr>
        <w:ind w:left="949" w:hanging="709"/>
      </w:pPr>
      <w:rPr>
        <w:rFonts w:ascii="Times New Roman" w:eastAsia="宋体" w:hAnsi="Times New Roman" w:cs="Times New Roman" w:hint="default"/>
        <w:b/>
        <w:bCs/>
        <w:sz w:val="30"/>
        <w:szCs w:val="30"/>
      </w:rPr>
    </w:lvl>
    <w:lvl w:ilvl="3">
      <w:start w:val="1"/>
      <w:numFmt w:val="decimal"/>
      <w:lvlRestart w:val="2"/>
      <w:lvlText w:val="表%1.%2-%4"/>
      <w:lvlJc w:val="center"/>
      <w:pPr>
        <w:tabs>
          <w:tab w:val="left" w:pos="850"/>
        </w:tabs>
        <w:ind w:left="569" w:hanging="569" w:leftChars="0" w:firstLineChars="0"/>
      </w:pPr>
      <w:rPr>
        <w:rFonts w:ascii="Times New Roman" w:eastAsia="宋体" w:hAnsi="Times New Roman" w:cs="Times New Roman" w:hint="default"/>
        <w:b/>
        <w:bCs/>
        <w:sz w:val="21"/>
        <w:szCs w:val="21"/>
      </w:rPr>
    </w:lvl>
    <w:lvl w:ilvl="4">
      <w:start w:val="1"/>
      <w:numFmt w:val="decimal"/>
      <w:lvlRestart w:val="2"/>
      <w:lvlText w:val="图%1.%2-%5"/>
      <w:lvlJc w:val="center"/>
      <w:pPr>
        <w:tabs>
          <w:tab w:val="left" w:pos="850"/>
        </w:tabs>
        <w:ind w:left="567" w:hanging="567" w:leftChars="0" w:firstLineChars="0"/>
      </w:pPr>
      <w:rPr>
        <w:rFonts w:ascii="Times New Roman" w:eastAsia="宋体" w:hAnsi="Times New Roman" w:cs="Times New Roman" w:hint="default"/>
        <w:b/>
        <w:bCs/>
        <w:sz w:val="21"/>
        <w:szCs w:val="21"/>
      </w:rPr>
    </w:lvl>
    <w:lvl w:ilvl="5">
      <w:start w:val="1"/>
      <w:numFmt w:val="decimal"/>
      <w:lvlRestart w:val="3"/>
      <w:lvlText w:val="%1.%2.%3.%6"/>
      <w:lvlJc w:val="left"/>
      <w:pPr>
        <w:ind w:left="1134" w:hanging="1134"/>
      </w:pPr>
      <w:rPr>
        <w:rFonts w:ascii="Times New Roman" w:eastAsia="宋体" w:hAnsi="Times New Roman" w:cs="Times New Roman" w:hint="default"/>
        <w:b/>
        <w:bCs/>
        <w:sz w:val="24"/>
        <w:szCs w:val="24"/>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8">
    <w:nsid w:val="31731B60"/>
    <w:multiLevelType w:val="singleLevel"/>
    <w:tmpl w:val="31731B60"/>
    <w:lvl w:ilvl="0">
      <w:start w:val="1"/>
      <w:numFmt w:val="decimal"/>
      <w:suff w:val="nothing"/>
      <w:lvlText w:val="%1、"/>
      <w:lvlJc w:val="left"/>
      <w:pPr>
        <w:ind w:left="0" w:firstLine="403"/>
      </w:pPr>
      <w:rPr>
        <w:rFonts w:hint="default"/>
      </w:rPr>
    </w:lvl>
  </w:abstractNum>
  <w:abstractNum w:abstractNumId="9">
    <w:nsid w:val="586B53B3"/>
    <w:multiLevelType w:val="multilevel"/>
    <w:tmpl w:val="586B53B3"/>
    <w:lvl w:ilvl="0">
      <w:start w:val="1"/>
      <w:numFmt w:val="decimal"/>
      <w:lvlText w:val="%1"/>
      <w:lvlJc w:val="center"/>
      <w:pPr>
        <w:tabs>
          <w:tab w:val="left" w:pos="277"/>
        </w:tabs>
        <w:ind w:left="397" w:hanging="397"/>
      </w:pPr>
      <w:rPr>
        <w:rFonts w:ascii="宋体" w:eastAsia="宋体" w:hAnsi="宋体" w:cs="宋体" w:hint="default"/>
        <w:b/>
        <w:bCs/>
        <w:sz w:val="36"/>
        <w:szCs w:val="36"/>
      </w:rPr>
    </w:lvl>
    <w:lvl w:ilvl="1">
      <w:start w:val="1"/>
      <w:numFmt w:val="decimal"/>
      <w:pStyle w:val="CH"/>
      <w:lvlText w:val="%1.%2"/>
      <w:lvlJc w:val="left"/>
      <w:pPr>
        <w:ind w:left="567" w:hanging="567"/>
      </w:pPr>
      <w:rPr>
        <w:rFonts w:ascii="宋体" w:eastAsia="宋体" w:hAnsi="宋体" w:cs="宋体" w:hint="default"/>
        <w:b/>
        <w:bCs/>
        <w:sz w:val="32"/>
        <w:szCs w:val="32"/>
      </w:rPr>
    </w:lvl>
    <w:lvl w:ilvl="2">
      <w:start w:val="1"/>
      <w:numFmt w:val="decimal"/>
      <w:lvlText w:val="%1.%2.%3"/>
      <w:lvlJc w:val="left"/>
      <w:pPr>
        <w:ind w:left="709" w:hanging="709"/>
      </w:pPr>
      <w:rPr>
        <w:rFonts w:ascii="宋体" w:eastAsia="宋体" w:hAnsi="宋体" w:cs="宋体" w:hint="default"/>
        <w:b/>
        <w:bCs/>
        <w:sz w:val="30"/>
        <w:szCs w:val="30"/>
      </w:rPr>
    </w:lvl>
    <w:lvl w:ilvl="3">
      <w:start w:val="1"/>
      <w:numFmt w:val="decimal"/>
      <w:lvlRestart w:val="2"/>
      <w:lvlText w:val="表%1.%2-%4"/>
      <w:lvlJc w:val="center"/>
      <w:pPr>
        <w:tabs>
          <w:tab w:val="left" w:pos="850"/>
        </w:tabs>
        <w:ind w:left="569" w:hanging="569"/>
      </w:pPr>
      <w:rPr>
        <w:rFonts w:ascii="宋体" w:eastAsia="宋体" w:hAnsi="宋体" w:cs="宋体" w:hint="default"/>
        <w:b/>
        <w:bCs/>
        <w:sz w:val="21"/>
        <w:szCs w:val="21"/>
      </w:rPr>
    </w:lvl>
    <w:lvl w:ilvl="4">
      <w:start w:val="1"/>
      <w:numFmt w:val="decimal"/>
      <w:lvlRestart w:val="1"/>
      <w:lvlText w:val="图%1.%2.%5"/>
      <w:lvlJc w:val="center"/>
      <w:pPr>
        <w:tabs>
          <w:tab w:val="left" w:pos="0"/>
        </w:tabs>
        <w:ind w:left="0" w:firstLine="0"/>
      </w:pPr>
      <w:rPr>
        <w:rFonts w:ascii="宋体" w:eastAsia="宋体" w:hAnsi="宋体" w:cs="宋体" w:hint="default"/>
        <w:b/>
        <w:bCs/>
        <w:sz w:val="21"/>
        <w:szCs w:val="21"/>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num w:numId="1">
    <w:abstractNumId w:val="6"/>
  </w:num>
  <w:num w:numId="2">
    <w:abstractNumId w:val="9"/>
  </w:num>
  <w:num w:numId="3">
    <w:abstractNumId w:val="0"/>
  </w:num>
  <w:num w:numId="4">
    <w:abstractNumId w:val="7"/>
  </w:num>
  <w:num w:numId="5">
    <w:abstractNumId w:val="1"/>
  </w:num>
  <w:num w:numId="6">
    <w:abstractNumId w:val="4"/>
  </w:num>
  <w:num w:numId="7">
    <w:abstractNumId w:val="5"/>
  </w:num>
  <w:num w:numId="8">
    <w:abstractNumId w:val="2"/>
  </w:num>
  <w:num w:numId="9">
    <w:abstractNumId w:val="3"/>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陈小鱼同学">
    <w15:presenceInfo w15:providerId="None" w15:userId="1221255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doNotHyphenateCaps/>
  <w:drawingGridVerticalSpacing w:val="156"/>
  <w:noPunctuationKerning/>
  <w:characterSpacingControl w:val="compressPunctuation"/>
  <w:noLineBreaksAfter w:lang="zh-CN" w:val="([{·‘“〈《「『【〔〖（．［｛￡￥"/>
  <w:noLineBreaksBefore w:lang="zh-CN" w:val="!),.:;?]}¨·ˇˉ―‖’”…∶、。〃々〉》」』】〕〗！＂＇），．：；？］｀｜｝～￠"/>
  <w:doNotEmbedSmartTags/>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60B3"/>
    <w:rsid w:val="00021BC4"/>
    <w:rsid w:val="00025568"/>
    <w:rsid w:val="00033B7B"/>
    <w:rsid w:val="000426C5"/>
    <w:rsid w:val="0004364B"/>
    <w:rsid w:val="00061B1F"/>
    <w:rsid w:val="00066ACD"/>
    <w:rsid w:val="000733C4"/>
    <w:rsid w:val="00074783"/>
    <w:rsid w:val="000761BB"/>
    <w:rsid w:val="0008070B"/>
    <w:rsid w:val="000810AC"/>
    <w:rsid w:val="00081A00"/>
    <w:rsid w:val="00081A02"/>
    <w:rsid w:val="00082231"/>
    <w:rsid w:val="000853CE"/>
    <w:rsid w:val="00092D38"/>
    <w:rsid w:val="0009377B"/>
    <w:rsid w:val="000A20C9"/>
    <w:rsid w:val="000B058F"/>
    <w:rsid w:val="000B4467"/>
    <w:rsid w:val="000B4DB9"/>
    <w:rsid w:val="000C09AC"/>
    <w:rsid w:val="000C767F"/>
    <w:rsid w:val="000D25D1"/>
    <w:rsid w:val="000D5A44"/>
    <w:rsid w:val="000D6191"/>
    <w:rsid w:val="000E3ED2"/>
    <w:rsid w:val="000F0545"/>
    <w:rsid w:val="00115E07"/>
    <w:rsid w:val="001170B4"/>
    <w:rsid w:val="00131F42"/>
    <w:rsid w:val="001357F1"/>
    <w:rsid w:val="00140B7C"/>
    <w:rsid w:val="00140FA8"/>
    <w:rsid w:val="00142FEB"/>
    <w:rsid w:val="00143A2D"/>
    <w:rsid w:val="00145A41"/>
    <w:rsid w:val="00147AC4"/>
    <w:rsid w:val="00151675"/>
    <w:rsid w:val="00157435"/>
    <w:rsid w:val="00171207"/>
    <w:rsid w:val="0017504D"/>
    <w:rsid w:val="0017671A"/>
    <w:rsid w:val="00177422"/>
    <w:rsid w:val="00180F33"/>
    <w:rsid w:val="00184590"/>
    <w:rsid w:val="00184A64"/>
    <w:rsid w:val="001870D1"/>
    <w:rsid w:val="0018781E"/>
    <w:rsid w:val="00190A64"/>
    <w:rsid w:val="0019262D"/>
    <w:rsid w:val="001A1B35"/>
    <w:rsid w:val="001A48A2"/>
    <w:rsid w:val="001A6F61"/>
    <w:rsid w:val="001B2907"/>
    <w:rsid w:val="001B72B8"/>
    <w:rsid w:val="001C69B3"/>
    <w:rsid w:val="001D5595"/>
    <w:rsid w:val="001D7874"/>
    <w:rsid w:val="001D7F22"/>
    <w:rsid w:val="001E5304"/>
    <w:rsid w:val="001E6469"/>
    <w:rsid w:val="001F0F17"/>
    <w:rsid w:val="001F3347"/>
    <w:rsid w:val="001F4C57"/>
    <w:rsid w:val="001F69E4"/>
    <w:rsid w:val="00200193"/>
    <w:rsid w:val="002125B4"/>
    <w:rsid w:val="002155B8"/>
    <w:rsid w:val="00217D36"/>
    <w:rsid w:val="00220622"/>
    <w:rsid w:val="00220A03"/>
    <w:rsid w:val="00224839"/>
    <w:rsid w:val="002249B2"/>
    <w:rsid w:val="00226574"/>
    <w:rsid w:val="002278EC"/>
    <w:rsid w:val="0023280E"/>
    <w:rsid w:val="00236AF3"/>
    <w:rsid w:val="002377D1"/>
    <w:rsid w:val="00243010"/>
    <w:rsid w:val="002506BC"/>
    <w:rsid w:val="00254345"/>
    <w:rsid w:val="00255B12"/>
    <w:rsid w:val="00262C70"/>
    <w:rsid w:val="00264557"/>
    <w:rsid w:val="00277FD5"/>
    <w:rsid w:val="002805AB"/>
    <w:rsid w:val="00284204"/>
    <w:rsid w:val="00291773"/>
    <w:rsid w:val="002A168C"/>
    <w:rsid w:val="002A3DC7"/>
    <w:rsid w:val="002B49E2"/>
    <w:rsid w:val="002B7B00"/>
    <w:rsid w:val="002B7C44"/>
    <w:rsid w:val="002C2B17"/>
    <w:rsid w:val="002C6B9A"/>
    <w:rsid w:val="002D3DD0"/>
    <w:rsid w:val="002E1F3A"/>
    <w:rsid w:val="002E298A"/>
    <w:rsid w:val="002F7488"/>
    <w:rsid w:val="00301978"/>
    <w:rsid w:val="0030332C"/>
    <w:rsid w:val="003051C2"/>
    <w:rsid w:val="00312296"/>
    <w:rsid w:val="00314F0E"/>
    <w:rsid w:val="00317C8B"/>
    <w:rsid w:val="00320B43"/>
    <w:rsid w:val="00321D8E"/>
    <w:rsid w:val="00325928"/>
    <w:rsid w:val="00332863"/>
    <w:rsid w:val="0033684D"/>
    <w:rsid w:val="00337B42"/>
    <w:rsid w:val="00341B42"/>
    <w:rsid w:val="0034348F"/>
    <w:rsid w:val="00356653"/>
    <w:rsid w:val="0035743F"/>
    <w:rsid w:val="00357BE2"/>
    <w:rsid w:val="0036170C"/>
    <w:rsid w:val="00366E0F"/>
    <w:rsid w:val="00373621"/>
    <w:rsid w:val="00381A72"/>
    <w:rsid w:val="003835B2"/>
    <w:rsid w:val="00384676"/>
    <w:rsid w:val="00386A49"/>
    <w:rsid w:val="00390857"/>
    <w:rsid w:val="003A4BF3"/>
    <w:rsid w:val="003B0E3D"/>
    <w:rsid w:val="003B420D"/>
    <w:rsid w:val="003C6C16"/>
    <w:rsid w:val="003D252A"/>
    <w:rsid w:val="003D499E"/>
    <w:rsid w:val="003D5C95"/>
    <w:rsid w:val="003D794D"/>
    <w:rsid w:val="003E3058"/>
    <w:rsid w:val="003E6B59"/>
    <w:rsid w:val="003E76A9"/>
    <w:rsid w:val="003F0809"/>
    <w:rsid w:val="003F6A8C"/>
    <w:rsid w:val="003F755C"/>
    <w:rsid w:val="00401330"/>
    <w:rsid w:val="004049B8"/>
    <w:rsid w:val="00406F01"/>
    <w:rsid w:val="00411F65"/>
    <w:rsid w:val="00416D50"/>
    <w:rsid w:val="00416FD5"/>
    <w:rsid w:val="00417772"/>
    <w:rsid w:val="00420E6A"/>
    <w:rsid w:val="00425A9E"/>
    <w:rsid w:val="00426D6B"/>
    <w:rsid w:val="00431E6C"/>
    <w:rsid w:val="00432B58"/>
    <w:rsid w:val="00433CE7"/>
    <w:rsid w:val="0044053E"/>
    <w:rsid w:val="0044163B"/>
    <w:rsid w:val="00447183"/>
    <w:rsid w:val="00451483"/>
    <w:rsid w:val="00452738"/>
    <w:rsid w:val="004539D9"/>
    <w:rsid w:val="00456091"/>
    <w:rsid w:val="00464AE8"/>
    <w:rsid w:val="00466321"/>
    <w:rsid w:val="00467889"/>
    <w:rsid w:val="00484B9B"/>
    <w:rsid w:val="004855F6"/>
    <w:rsid w:val="0048661E"/>
    <w:rsid w:val="00494670"/>
    <w:rsid w:val="004A23D1"/>
    <w:rsid w:val="004A3823"/>
    <w:rsid w:val="004E6946"/>
    <w:rsid w:val="004F1AD8"/>
    <w:rsid w:val="004F3840"/>
    <w:rsid w:val="005039CB"/>
    <w:rsid w:val="0050558F"/>
    <w:rsid w:val="00506286"/>
    <w:rsid w:val="00510813"/>
    <w:rsid w:val="00511990"/>
    <w:rsid w:val="00511DE0"/>
    <w:rsid w:val="005146D2"/>
    <w:rsid w:val="00514870"/>
    <w:rsid w:val="00514B9B"/>
    <w:rsid w:val="00517F02"/>
    <w:rsid w:val="00524303"/>
    <w:rsid w:val="005258A2"/>
    <w:rsid w:val="00535351"/>
    <w:rsid w:val="005401AE"/>
    <w:rsid w:val="00542E07"/>
    <w:rsid w:val="00545424"/>
    <w:rsid w:val="00554A7B"/>
    <w:rsid w:val="00555385"/>
    <w:rsid w:val="0055572C"/>
    <w:rsid w:val="0056106A"/>
    <w:rsid w:val="005633F2"/>
    <w:rsid w:val="005720AE"/>
    <w:rsid w:val="005776C0"/>
    <w:rsid w:val="00594D77"/>
    <w:rsid w:val="005969E4"/>
    <w:rsid w:val="005A06B7"/>
    <w:rsid w:val="005A1759"/>
    <w:rsid w:val="005A3957"/>
    <w:rsid w:val="005A68A7"/>
    <w:rsid w:val="005B2DA9"/>
    <w:rsid w:val="005D36AB"/>
    <w:rsid w:val="005E0FEE"/>
    <w:rsid w:val="005E2C67"/>
    <w:rsid w:val="005E5F81"/>
    <w:rsid w:val="006076AB"/>
    <w:rsid w:val="00617CC3"/>
    <w:rsid w:val="00620790"/>
    <w:rsid w:val="006377A6"/>
    <w:rsid w:val="00637A3D"/>
    <w:rsid w:val="006411EF"/>
    <w:rsid w:val="00657145"/>
    <w:rsid w:val="006748B8"/>
    <w:rsid w:val="006775C3"/>
    <w:rsid w:val="00680AA1"/>
    <w:rsid w:val="00683750"/>
    <w:rsid w:val="00684B1A"/>
    <w:rsid w:val="00691B14"/>
    <w:rsid w:val="0069290A"/>
    <w:rsid w:val="00693701"/>
    <w:rsid w:val="0069775A"/>
    <w:rsid w:val="00697813"/>
    <w:rsid w:val="006A3EE8"/>
    <w:rsid w:val="006A72BF"/>
    <w:rsid w:val="006A7548"/>
    <w:rsid w:val="006B03F2"/>
    <w:rsid w:val="006B37DC"/>
    <w:rsid w:val="006B4F68"/>
    <w:rsid w:val="006C0592"/>
    <w:rsid w:val="006C272E"/>
    <w:rsid w:val="006C5479"/>
    <w:rsid w:val="006D13B5"/>
    <w:rsid w:val="006D43F5"/>
    <w:rsid w:val="006D6F3B"/>
    <w:rsid w:val="006D77C9"/>
    <w:rsid w:val="006E12FF"/>
    <w:rsid w:val="006E607E"/>
    <w:rsid w:val="006F42D2"/>
    <w:rsid w:val="00706C5D"/>
    <w:rsid w:val="00727987"/>
    <w:rsid w:val="00731E62"/>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4D74"/>
    <w:rsid w:val="007B72B8"/>
    <w:rsid w:val="007B7A58"/>
    <w:rsid w:val="007C21B5"/>
    <w:rsid w:val="007C232E"/>
    <w:rsid w:val="007D0FEB"/>
    <w:rsid w:val="007D4C47"/>
    <w:rsid w:val="007E14FA"/>
    <w:rsid w:val="007E4BD2"/>
    <w:rsid w:val="007E591D"/>
    <w:rsid w:val="007E6779"/>
    <w:rsid w:val="00801393"/>
    <w:rsid w:val="00802F88"/>
    <w:rsid w:val="00804A02"/>
    <w:rsid w:val="00805D1B"/>
    <w:rsid w:val="0081293E"/>
    <w:rsid w:val="00812AA3"/>
    <w:rsid w:val="00815465"/>
    <w:rsid w:val="00817E9A"/>
    <w:rsid w:val="008306BD"/>
    <w:rsid w:val="00831A80"/>
    <w:rsid w:val="00833743"/>
    <w:rsid w:val="008340A4"/>
    <w:rsid w:val="00850B13"/>
    <w:rsid w:val="00861553"/>
    <w:rsid w:val="0087135F"/>
    <w:rsid w:val="00872D94"/>
    <w:rsid w:val="00880364"/>
    <w:rsid w:val="00891592"/>
    <w:rsid w:val="00891E9E"/>
    <w:rsid w:val="00895777"/>
    <w:rsid w:val="008A2F68"/>
    <w:rsid w:val="008B4FA6"/>
    <w:rsid w:val="008B5282"/>
    <w:rsid w:val="008B7C17"/>
    <w:rsid w:val="008C143C"/>
    <w:rsid w:val="008C2D01"/>
    <w:rsid w:val="008C40E6"/>
    <w:rsid w:val="008D0F7A"/>
    <w:rsid w:val="008D68E4"/>
    <w:rsid w:val="008D6A39"/>
    <w:rsid w:val="008E0506"/>
    <w:rsid w:val="008E0CFF"/>
    <w:rsid w:val="008E12E0"/>
    <w:rsid w:val="008E5D6B"/>
    <w:rsid w:val="008E76F0"/>
    <w:rsid w:val="008F15FE"/>
    <w:rsid w:val="008F2D29"/>
    <w:rsid w:val="008F3F08"/>
    <w:rsid w:val="008F5187"/>
    <w:rsid w:val="008F5DEA"/>
    <w:rsid w:val="008F60D8"/>
    <w:rsid w:val="00902086"/>
    <w:rsid w:val="00902727"/>
    <w:rsid w:val="0090312B"/>
    <w:rsid w:val="009040FA"/>
    <w:rsid w:val="0091736D"/>
    <w:rsid w:val="0093037A"/>
    <w:rsid w:val="0094154D"/>
    <w:rsid w:val="0095155F"/>
    <w:rsid w:val="00954429"/>
    <w:rsid w:val="009563CE"/>
    <w:rsid w:val="009649BA"/>
    <w:rsid w:val="00976328"/>
    <w:rsid w:val="00976735"/>
    <w:rsid w:val="0097680D"/>
    <w:rsid w:val="00980EF1"/>
    <w:rsid w:val="00982438"/>
    <w:rsid w:val="0098404C"/>
    <w:rsid w:val="00985283"/>
    <w:rsid w:val="00995992"/>
    <w:rsid w:val="009A03E5"/>
    <w:rsid w:val="009A0F3B"/>
    <w:rsid w:val="009A1BB4"/>
    <w:rsid w:val="009A2628"/>
    <w:rsid w:val="009A3200"/>
    <w:rsid w:val="009B0897"/>
    <w:rsid w:val="009B4466"/>
    <w:rsid w:val="009B4BFC"/>
    <w:rsid w:val="009B7BD9"/>
    <w:rsid w:val="009C7DD5"/>
    <w:rsid w:val="009E227D"/>
    <w:rsid w:val="009E5019"/>
    <w:rsid w:val="00A04F1B"/>
    <w:rsid w:val="00A0501B"/>
    <w:rsid w:val="00A14947"/>
    <w:rsid w:val="00A2557A"/>
    <w:rsid w:val="00A25E0F"/>
    <w:rsid w:val="00A2722A"/>
    <w:rsid w:val="00A32A83"/>
    <w:rsid w:val="00A368DB"/>
    <w:rsid w:val="00A423AA"/>
    <w:rsid w:val="00A4372D"/>
    <w:rsid w:val="00A46FE9"/>
    <w:rsid w:val="00A53EC6"/>
    <w:rsid w:val="00A55C0F"/>
    <w:rsid w:val="00A8713F"/>
    <w:rsid w:val="00A90BA1"/>
    <w:rsid w:val="00A97A9A"/>
    <w:rsid w:val="00AA0671"/>
    <w:rsid w:val="00AA2531"/>
    <w:rsid w:val="00AA73D0"/>
    <w:rsid w:val="00AB0315"/>
    <w:rsid w:val="00AB1E09"/>
    <w:rsid w:val="00AB5330"/>
    <w:rsid w:val="00AB7747"/>
    <w:rsid w:val="00AC14CE"/>
    <w:rsid w:val="00AC2A56"/>
    <w:rsid w:val="00AD055E"/>
    <w:rsid w:val="00AD47A7"/>
    <w:rsid w:val="00AE11E0"/>
    <w:rsid w:val="00AE5A69"/>
    <w:rsid w:val="00AF0CBF"/>
    <w:rsid w:val="00AF1894"/>
    <w:rsid w:val="00AF257F"/>
    <w:rsid w:val="00AF33CF"/>
    <w:rsid w:val="00AF4D50"/>
    <w:rsid w:val="00AF6179"/>
    <w:rsid w:val="00B1295A"/>
    <w:rsid w:val="00B13A8F"/>
    <w:rsid w:val="00B20A45"/>
    <w:rsid w:val="00B22C5C"/>
    <w:rsid w:val="00B24F30"/>
    <w:rsid w:val="00B31ABF"/>
    <w:rsid w:val="00B31D18"/>
    <w:rsid w:val="00B33BE3"/>
    <w:rsid w:val="00B45112"/>
    <w:rsid w:val="00B52690"/>
    <w:rsid w:val="00B53B5D"/>
    <w:rsid w:val="00B573D7"/>
    <w:rsid w:val="00B6055E"/>
    <w:rsid w:val="00B6317D"/>
    <w:rsid w:val="00B63C2E"/>
    <w:rsid w:val="00B73E3F"/>
    <w:rsid w:val="00B7723F"/>
    <w:rsid w:val="00B80534"/>
    <w:rsid w:val="00B8326C"/>
    <w:rsid w:val="00B8433C"/>
    <w:rsid w:val="00B87491"/>
    <w:rsid w:val="00BA29E9"/>
    <w:rsid w:val="00BA7142"/>
    <w:rsid w:val="00BB237C"/>
    <w:rsid w:val="00BB41A3"/>
    <w:rsid w:val="00BB43A7"/>
    <w:rsid w:val="00BC32DC"/>
    <w:rsid w:val="00BC35B6"/>
    <w:rsid w:val="00BD0B84"/>
    <w:rsid w:val="00BD1B51"/>
    <w:rsid w:val="00BD4596"/>
    <w:rsid w:val="00BE1405"/>
    <w:rsid w:val="00BE312D"/>
    <w:rsid w:val="00BE3ED8"/>
    <w:rsid w:val="00BF1C20"/>
    <w:rsid w:val="00C10578"/>
    <w:rsid w:val="00C135BC"/>
    <w:rsid w:val="00C13CE0"/>
    <w:rsid w:val="00C15C95"/>
    <w:rsid w:val="00C23431"/>
    <w:rsid w:val="00C2596A"/>
    <w:rsid w:val="00C27537"/>
    <w:rsid w:val="00C300EE"/>
    <w:rsid w:val="00C328FE"/>
    <w:rsid w:val="00C33507"/>
    <w:rsid w:val="00C35831"/>
    <w:rsid w:val="00C35C9D"/>
    <w:rsid w:val="00C36433"/>
    <w:rsid w:val="00C4409D"/>
    <w:rsid w:val="00C44E72"/>
    <w:rsid w:val="00C45A06"/>
    <w:rsid w:val="00C47E5B"/>
    <w:rsid w:val="00C614BF"/>
    <w:rsid w:val="00C61E4B"/>
    <w:rsid w:val="00C642DD"/>
    <w:rsid w:val="00C64BFF"/>
    <w:rsid w:val="00C704E9"/>
    <w:rsid w:val="00C763C9"/>
    <w:rsid w:val="00C80057"/>
    <w:rsid w:val="00C82232"/>
    <w:rsid w:val="00C82913"/>
    <w:rsid w:val="00C972B1"/>
    <w:rsid w:val="00CA2CCE"/>
    <w:rsid w:val="00CA43FD"/>
    <w:rsid w:val="00CA7EF8"/>
    <w:rsid w:val="00CB2FFF"/>
    <w:rsid w:val="00CC489B"/>
    <w:rsid w:val="00CD2BCD"/>
    <w:rsid w:val="00CD3A4C"/>
    <w:rsid w:val="00CE10E9"/>
    <w:rsid w:val="00CE2910"/>
    <w:rsid w:val="00CE5393"/>
    <w:rsid w:val="00CF36BE"/>
    <w:rsid w:val="00CF6000"/>
    <w:rsid w:val="00D003F3"/>
    <w:rsid w:val="00D0364F"/>
    <w:rsid w:val="00D06834"/>
    <w:rsid w:val="00D22DFC"/>
    <w:rsid w:val="00D22FF7"/>
    <w:rsid w:val="00D308ED"/>
    <w:rsid w:val="00D36D86"/>
    <w:rsid w:val="00D40BE3"/>
    <w:rsid w:val="00D42770"/>
    <w:rsid w:val="00D428AA"/>
    <w:rsid w:val="00D50A34"/>
    <w:rsid w:val="00D53EFA"/>
    <w:rsid w:val="00D60CCA"/>
    <w:rsid w:val="00D667AE"/>
    <w:rsid w:val="00D67C51"/>
    <w:rsid w:val="00D91E79"/>
    <w:rsid w:val="00D94A7C"/>
    <w:rsid w:val="00D95896"/>
    <w:rsid w:val="00DB2983"/>
    <w:rsid w:val="00DC1257"/>
    <w:rsid w:val="00DC3DC0"/>
    <w:rsid w:val="00DC5B2B"/>
    <w:rsid w:val="00DC5E6F"/>
    <w:rsid w:val="00DC6932"/>
    <w:rsid w:val="00DD318D"/>
    <w:rsid w:val="00DD7C11"/>
    <w:rsid w:val="00DF2E12"/>
    <w:rsid w:val="00DF514A"/>
    <w:rsid w:val="00DF6298"/>
    <w:rsid w:val="00DF6690"/>
    <w:rsid w:val="00DF6804"/>
    <w:rsid w:val="00E01F00"/>
    <w:rsid w:val="00E0358D"/>
    <w:rsid w:val="00E04323"/>
    <w:rsid w:val="00E070A2"/>
    <w:rsid w:val="00E16BF0"/>
    <w:rsid w:val="00E2656A"/>
    <w:rsid w:val="00E2781F"/>
    <w:rsid w:val="00E344E0"/>
    <w:rsid w:val="00E412D0"/>
    <w:rsid w:val="00E56322"/>
    <w:rsid w:val="00E60982"/>
    <w:rsid w:val="00E62C62"/>
    <w:rsid w:val="00E654C1"/>
    <w:rsid w:val="00E65D97"/>
    <w:rsid w:val="00E72A5A"/>
    <w:rsid w:val="00E73354"/>
    <w:rsid w:val="00E9242D"/>
    <w:rsid w:val="00E9475E"/>
    <w:rsid w:val="00EB5255"/>
    <w:rsid w:val="00EB5C47"/>
    <w:rsid w:val="00EB6086"/>
    <w:rsid w:val="00EC4CDF"/>
    <w:rsid w:val="00ED0639"/>
    <w:rsid w:val="00EF4755"/>
    <w:rsid w:val="00EF7135"/>
    <w:rsid w:val="00F027DB"/>
    <w:rsid w:val="00F0434D"/>
    <w:rsid w:val="00F14940"/>
    <w:rsid w:val="00F14A7A"/>
    <w:rsid w:val="00F22985"/>
    <w:rsid w:val="00F24E42"/>
    <w:rsid w:val="00F3383E"/>
    <w:rsid w:val="00F465A7"/>
    <w:rsid w:val="00F50B7C"/>
    <w:rsid w:val="00F550E6"/>
    <w:rsid w:val="00F67DA0"/>
    <w:rsid w:val="00F74345"/>
    <w:rsid w:val="00F80A0A"/>
    <w:rsid w:val="00F82B19"/>
    <w:rsid w:val="00F9212D"/>
    <w:rsid w:val="00F965DA"/>
    <w:rsid w:val="00FA406A"/>
    <w:rsid w:val="00FB1955"/>
    <w:rsid w:val="00FB503A"/>
    <w:rsid w:val="00FB516C"/>
    <w:rsid w:val="00FC4CAC"/>
    <w:rsid w:val="00FD0236"/>
    <w:rsid w:val="00FD18F4"/>
    <w:rsid w:val="00FD243C"/>
    <w:rsid w:val="00FD54DB"/>
    <w:rsid w:val="00FD619F"/>
    <w:rsid w:val="00FE5DE6"/>
    <w:rsid w:val="00FF3A50"/>
    <w:rsid w:val="010A0E75"/>
    <w:rsid w:val="011A78E7"/>
    <w:rsid w:val="012552B5"/>
    <w:rsid w:val="012901D6"/>
    <w:rsid w:val="01290F7E"/>
    <w:rsid w:val="012D66F2"/>
    <w:rsid w:val="01347A59"/>
    <w:rsid w:val="01353E13"/>
    <w:rsid w:val="013707EA"/>
    <w:rsid w:val="01536131"/>
    <w:rsid w:val="015D1E09"/>
    <w:rsid w:val="01623657"/>
    <w:rsid w:val="017003E6"/>
    <w:rsid w:val="01797F8F"/>
    <w:rsid w:val="01867A7F"/>
    <w:rsid w:val="01894159"/>
    <w:rsid w:val="01C86321"/>
    <w:rsid w:val="01CA13BF"/>
    <w:rsid w:val="01DD18EA"/>
    <w:rsid w:val="01E07299"/>
    <w:rsid w:val="01EA4690"/>
    <w:rsid w:val="022D5F20"/>
    <w:rsid w:val="02356FFC"/>
    <w:rsid w:val="02531714"/>
    <w:rsid w:val="026840E4"/>
    <w:rsid w:val="02697903"/>
    <w:rsid w:val="02786FC1"/>
    <w:rsid w:val="02863FEC"/>
    <w:rsid w:val="028D05A6"/>
    <w:rsid w:val="02AA5B00"/>
    <w:rsid w:val="02C74954"/>
    <w:rsid w:val="02CE6D16"/>
    <w:rsid w:val="02D0730E"/>
    <w:rsid w:val="02E31D26"/>
    <w:rsid w:val="02E72FE3"/>
    <w:rsid w:val="02ED7FCA"/>
    <w:rsid w:val="02F96569"/>
    <w:rsid w:val="02FA438B"/>
    <w:rsid w:val="030743A9"/>
    <w:rsid w:val="030C7BCD"/>
    <w:rsid w:val="030E4AA2"/>
    <w:rsid w:val="03261EE5"/>
    <w:rsid w:val="03265180"/>
    <w:rsid w:val="03353615"/>
    <w:rsid w:val="03376D06"/>
    <w:rsid w:val="033B613B"/>
    <w:rsid w:val="033E3D9D"/>
    <w:rsid w:val="033E6E80"/>
    <w:rsid w:val="034B2E38"/>
    <w:rsid w:val="035969A7"/>
    <w:rsid w:val="03761873"/>
    <w:rsid w:val="038023C6"/>
    <w:rsid w:val="038030F8"/>
    <w:rsid w:val="03B153B5"/>
    <w:rsid w:val="03B47F41"/>
    <w:rsid w:val="03BD3DD6"/>
    <w:rsid w:val="03C8511B"/>
    <w:rsid w:val="03CF00C4"/>
    <w:rsid w:val="03D8291E"/>
    <w:rsid w:val="03E01D10"/>
    <w:rsid w:val="03EA7B21"/>
    <w:rsid w:val="03F92894"/>
    <w:rsid w:val="03FA6584"/>
    <w:rsid w:val="041677AB"/>
    <w:rsid w:val="041C7EBF"/>
    <w:rsid w:val="042C0A34"/>
    <w:rsid w:val="042D26AC"/>
    <w:rsid w:val="043C6919"/>
    <w:rsid w:val="04497378"/>
    <w:rsid w:val="044D1233"/>
    <w:rsid w:val="044E3FD3"/>
    <w:rsid w:val="04565B8D"/>
    <w:rsid w:val="045C57FD"/>
    <w:rsid w:val="045F6349"/>
    <w:rsid w:val="046053CB"/>
    <w:rsid w:val="046F27C5"/>
    <w:rsid w:val="04943404"/>
    <w:rsid w:val="04B43074"/>
    <w:rsid w:val="04C04CF0"/>
    <w:rsid w:val="04FA4EDA"/>
    <w:rsid w:val="04FD7A55"/>
    <w:rsid w:val="05067099"/>
    <w:rsid w:val="050F6B7B"/>
    <w:rsid w:val="051D6CD3"/>
    <w:rsid w:val="0524696A"/>
    <w:rsid w:val="05283431"/>
    <w:rsid w:val="052C6F4E"/>
    <w:rsid w:val="05310AC0"/>
    <w:rsid w:val="05557F2F"/>
    <w:rsid w:val="05573D16"/>
    <w:rsid w:val="055D4F8F"/>
    <w:rsid w:val="05751A13"/>
    <w:rsid w:val="05784A8C"/>
    <w:rsid w:val="0580375A"/>
    <w:rsid w:val="05917228"/>
    <w:rsid w:val="059231C5"/>
    <w:rsid w:val="05AD1B88"/>
    <w:rsid w:val="05AE4775"/>
    <w:rsid w:val="05B8688D"/>
    <w:rsid w:val="05CF1AFF"/>
    <w:rsid w:val="05D4720E"/>
    <w:rsid w:val="05D830A9"/>
    <w:rsid w:val="05F83EAE"/>
    <w:rsid w:val="0606010A"/>
    <w:rsid w:val="06186459"/>
    <w:rsid w:val="061C73CC"/>
    <w:rsid w:val="062C6F51"/>
    <w:rsid w:val="0636392C"/>
    <w:rsid w:val="063E7D85"/>
    <w:rsid w:val="0644429B"/>
    <w:rsid w:val="064673A3"/>
    <w:rsid w:val="06532ADC"/>
    <w:rsid w:val="0657262A"/>
    <w:rsid w:val="0677308E"/>
    <w:rsid w:val="067A3C88"/>
    <w:rsid w:val="06814EA2"/>
    <w:rsid w:val="068E3768"/>
    <w:rsid w:val="069667FE"/>
    <w:rsid w:val="06976AC0"/>
    <w:rsid w:val="06A55BF5"/>
    <w:rsid w:val="06AF42F8"/>
    <w:rsid w:val="06AF6EE1"/>
    <w:rsid w:val="06CA5D4E"/>
    <w:rsid w:val="06D3561E"/>
    <w:rsid w:val="06D65D19"/>
    <w:rsid w:val="06DD5294"/>
    <w:rsid w:val="06E92A13"/>
    <w:rsid w:val="07012516"/>
    <w:rsid w:val="07245E48"/>
    <w:rsid w:val="07293586"/>
    <w:rsid w:val="07295285"/>
    <w:rsid w:val="07636392"/>
    <w:rsid w:val="076646E5"/>
    <w:rsid w:val="07695351"/>
    <w:rsid w:val="076D693E"/>
    <w:rsid w:val="07770C56"/>
    <w:rsid w:val="077D2C89"/>
    <w:rsid w:val="078306F9"/>
    <w:rsid w:val="078B0A19"/>
    <w:rsid w:val="07965FFE"/>
    <w:rsid w:val="079C7231"/>
    <w:rsid w:val="07A7032F"/>
    <w:rsid w:val="07AF4222"/>
    <w:rsid w:val="07BD4DC1"/>
    <w:rsid w:val="07D77BED"/>
    <w:rsid w:val="07DC0503"/>
    <w:rsid w:val="07E216B5"/>
    <w:rsid w:val="07F92DCA"/>
    <w:rsid w:val="07FD4979"/>
    <w:rsid w:val="080041F1"/>
    <w:rsid w:val="08064E81"/>
    <w:rsid w:val="08106F21"/>
    <w:rsid w:val="081A6F5A"/>
    <w:rsid w:val="083626B8"/>
    <w:rsid w:val="083E386E"/>
    <w:rsid w:val="0841457A"/>
    <w:rsid w:val="084F53A2"/>
    <w:rsid w:val="085626D6"/>
    <w:rsid w:val="085F5301"/>
    <w:rsid w:val="086724C2"/>
    <w:rsid w:val="08766438"/>
    <w:rsid w:val="087F1CC3"/>
    <w:rsid w:val="088968DD"/>
    <w:rsid w:val="088C192B"/>
    <w:rsid w:val="09027603"/>
    <w:rsid w:val="09044C9A"/>
    <w:rsid w:val="09080462"/>
    <w:rsid w:val="092032F1"/>
    <w:rsid w:val="092217DD"/>
    <w:rsid w:val="092445E3"/>
    <w:rsid w:val="092A3B49"/>
    <w:rsid w:val="09317619"/>
    <w:rsid w:val="093A6A4C"/>
    <w:rsid w:val="093A7294"/>
    <w:rsid w:val="094B5940"/>
    <w:rsid w:val="095818F3"/>
    <w:rsid w:val="095B7D04"/>
    <w:rsid w:val="097F64DE"/>
    <w:rsid w:val="09811362"/>
    <w:rsid w:val="099210E4"/>
    <w:rsid w:val="09970725"/>
    <w:rsid w:val="0998707C"/>
    <w:rsid w:val="09B66737"/>
    <w:rsid w:val="09B730DA"/>
    <w:rsid w:val="09B73507"/>
    <w:rsid w:val="09DF04D1"/>
    <w:rsid w:val="09EC162C"/>
    <w:rsid w:val="09FD15BF"/>
    <w:rsid w:val="0A0B50CF"/>
    <w:rsid w:val="0A1C72DC"/>
    <w:rsid w:val="0A263993"/>
    <w:rsid w:val="0A2D3AC2"/>
    <w:rsid w:val="0A2E503D"/>
    <w:rsid w:val="0A2F3E81"/>
    <w:rsid w:val="0A4800D1"/>
    <w:rsid w:val="0A6B03BA"/>
    <w:rsid w:val="0A791276"/>
    <w:rsid w:val="0A7F3EB1"/>
    <w:rsid w:val="0A834809"/>
    <w:rsid w:val="0A893F40"/>
    <w:rsid w:val="0A985C80"/>
    <w:rsid w:val="0A9B4DF6"/>
    <w:rsid w:val="0A9E5F43"/>
    <w:rsid w:val="0A9F3142"/>
    <w:rsid w:val="0AA140FA"/>
    <w:rsid w:val="0AA755DF"/>
    <w:rsid w:val="0AAA110B"/>
    <w:rsid w:val="0AAC277B"/>
    <w:rsid w:val="0AB76184"/>
    <w:rsid w:val="0ABF1853"/>
    <w:rsid w:val="0ACB19B1"/>
    <w:rsid w:val="0ACC0D02"/>
    <w:rsid w:val="0AFD383D"/>
    <w:rsid w:val="0B0079B8"/>
    <w:rsid w:val="0B120D44"/>
    <w:rsid w:val="0B2A5043"/>
    <w:rsid w:val="0B315F16"/>
    <w:rsid w:val="0B393321"/>
    <w:rsid w:val="0B492F63"/>
    <w:rsid w:val="0B4A2EA3"/>
    <w:rsid w:val="0B5A00BC"/>
    <w:rsid w:val="0B5E1061"/>
    <w:rsid w:val="0B640ED9"/>
    <w:rsid w:val="0B715765"/>
    <w:rsid w:val="0B7B78ED"/>
    <w:rsid w:val="0BA45F85"/>
    <w:rsid w:val="0BAC477B"/>
    <w:rsid w:val="0BAF665A"/>
    <w:rsid w:val="0BB34120"/>
    <w:rsid w:val="0BBB781B"/>
    <w:rsid w:val="0BCF0AAA"/>
    <w:rsid w:val="0BD27BF6"/>
    <w:rsid w:val="0BFC0546"/>
    <w:rsid w:val="0C0B13B7"/>
    <w:rsid w:val="0C0B585A"/>
    <w:rsid w:val="0C213475"/>
    <w:rsid w:val="0C273813"/>
    <w:rsid w:val="0C3B3C7D"/>
    <w:rsid w:val="0C3B5F11"/>
    <w:rsid w:val="0C6A5785"/>
    <w:rsid w:val="0C7577B8"/>
    <w:rsid w:val="0C774C9E"/>
    <w:rsid w:val="0C7F4D99"/>
    <w:rsid w:val="0C8A16B5"/>
    <w:rsid w:val="0C8C24F7"/>
    <w:rsid w:val="0C8D04BE"/>
    <w:rsid w:val="0C9141BA"/>
    <w:rsid w:val="0C994C14"/>
    <w:rsid w:val="0CA91CAC"/>
    <w:rsid w:val="0CAB2EAE"/>
    <w:rsid w:val="0CC17C52"/>
    <w:rsid w:val="0CCE72BA"/>
    <w:rsid w:val="0CD40E99"/>
    <w:rsid w:val="0CDB3870"/>
    <w:rsid w:val="0CDD25C3"/>
    <w:rsid w:val="0CF26C99"/>
    <w:rsid w:val="0CFE4601"/>
    <w:rsid w:val="0D237A7E"/>
    <w:rsid w:val="0D2B0DB5"/>
    <w:rsid w:val="0D2D4C08"/>
    <w:rsid w:val="0D4A34D1"/>
    <w:rsid w:val="0D5E5F82"/>
    <w:rsid w:val="0D621C7D"/>
    <w:rsid w:val="0D7A67F4"/>
    <w:rsid w:val="0D7F59BD"/>
    <w:rsid w:val="0D916AF2"/>
    <w:rsid w:val="0D9F6E66"/>
    <w:rsid w:val="0DAD01C0"/>
    <w:rsid w:val="0DB41737"/>
    <w:rsid w:val="0DD5031B"/>
    <w:rsid w:val="0DDC7AB4"/>
    <w:rsid w:val="0DE64FFD"/>
    <w:rsid w:val="0DF74513"/>
    <w:rsid w:val="0DFE341A"/>
    <w:rsid w:val="0DFF47F2"/>
    <w:rsid w:val="0E045665"/>
    <w:rsid w:val="0E1A5BEB"/>
    <w:rsid w:val="0E2B09FE"/>
    <w:rsid w:val="0E464FCF"/>
    <w:rsid w:val="0E4C71A9"/>
    <w:rsid w:val="0E523139"/>
    <w:rsid w:val="0E563CA1"/>
    <w:rsid w:val="0E5A2810"/>
    <w:rsid w:val="0E73034D"/>
    <w:rsid w:val="0E8257DF"/>
    <w:rsid w:val="0E8536A2"/>
    <w:rsid w:val="0E887DD3"/>
    <w:rsid w:val="0EA54D63"/>
    <w:rsid w:val="0EA9344C"/>
    <w:rsid w:val="0EC52855"/>
    <w:rsid w:val="0EC57F43"/>
    <w:rsid w:val="0EC77A92"/>
    <w:rsid w:val="0ECC1DD2"/>
    <w:rsid w:val="0EE12E5B"/>
    <w:rsid w:val="0EE47BF4"/>
    <w:rsid w:val="0EEE56EB"/>
    <w:rsid w:val="0EF374D1"/>
    <w:rsid w:val="0EF66812"/>
    <w:rsid w:val="0EFE3455"/>
    <w:rsid w:val="0F125E4D"/>
    <w:rsid w:val="0F13775A"/>
    <w:rsid w:val="0F31799A"/>
    <w:rsid w:val="0F331FBE"/>
    <w:rsid w:val="0F394507"/>
    <w:rsid w:val="0F3A34D9"/>
    <w:rsid w:val="0F4035AA"/>
    <w:rsid w:val="0F5F45FE"/>
    <w:rsid w:val="0F693536"/>
    <w:rsid w:val="0F74588D"/>
    <w:rsid w:val="0F7B6853"/>
    <w:rsid w:val="0F7C0EC8"/>
    <w:rsid w:val="0F8D3585"/>
    <w:rsid w:val="0F921360"/>
    <w:rsid w:val="0F993F6A"/>
    <w:rsid w:val="0F9A112B"/>
    <w:rsid w:val="0FBF6787"/>
    <w:rsid w:val="0FCC66BE"/>
    <w:rsid w:val="0FCD3553"/>
    <w:rsid w:val="0FD0094D"/>
    <w:rsid w:val="0FF6093C"/>
    <w:rsid w:val="100A7BA3"/>
    <w:rsid w:val="100C11F9"/>
    <w:rsid w:val="100E45FA"/>
    <w:rsid w:val="10172A20"/>
    <w:rsid w:val="10262C63"/>
    <w:rsid w:val="102D52B3"/>
    <w:rsid w:val="104F439A"/>
    <w:rsid w:val="10582E9D"/>
    <w:rsid w:val="105B22CB"/>
    <w:rsid w:val="10683359"/>
    <w:rsid w:val="106D0BFD"/>
    <w:rsid w:val="106D2F64"/>
    <w:rsid w:val="10850A97"/>
    <w:rsid w:val="10991E27"/>
    <w:rsid w:val="109B0D17"/>
    <w:rsid w:val="10B244F7"/>
    <w:rsid w:val="10B63710"/>
    <w:rsid w:val="10BD3AA2"/>
    <w:rsid w:val="10CA706C"/>
    <w:rsid w:val="10F10820"/>
    <w:rsid w:val="10F90377"/>
    <w:rsid w:val="111341EE"/>
    <w:rsid w:val="11150E50"/>
    <w:rsid w:val="111C2F7A"/>
    <w:rsid w:val="11200538"/>
    <w:rsid w:val="11364A6A"/>
    <w:rsid w:val="11366ED6"/>
    <w:rsid w:val="113A4DAC"/>
    <w:rsid w:val="114856A6"/>
    <w:rsid w:val="11496EC2"/>
    <w:rsid w:val="115521CA"/>
    <w:rsid w:val="11645C4A"/>
    <w:rsid w:val="11665CA1"/>
    <w:rsid w:val="116752E1"/>
    <w:rsid w:val="117E7BE8"/>
    <w:rsid w:val="11874F5B"/>
    <w:rsid w:val="1188466F"/>
    <w:rsid w:val="119806F2"/>
    <w:rsid w:val="119C4486"/>
    <w:rsid w:val="11AA6999"/>
    <w:rsid w:val="11C10120"/>
    <w:rsid w:val="11C13CB9"/>
    <w:rsid w:val="11C71E40"/>
    <w:rsid w:val="11D010D8"/>
    <w:rsid w:val="11D25478"/>
    <w:rsid w:val="11E71006"/>
    <w:rsid w:val="11E86A3A"/>
    <w:rsid w:val="11FA50C6"/>
    <w:rsid w:val="122C2707"/>
    <w:rsid w:val="123553DF"/>
    <w:rsid w:val="12357539"/>
    <w:rsid w:val="123C051C"/>
    <w:rsid w:val="12415B32"/>
    <w:rsid w:val="12433167"/>
    <w:rsid w:val="124B691D"/>
    <w:rsid w:val="1251186F"/>
    <w:rsid w:val="125C296C"/>
    <w:rsid w:val="12716B5E"/>
    <w:rsid w:val="12767C93"/>
    <w:rsid w:val="127741A2"/>
    <w:rsid w:val="127811D7"/>
    <w:rsid w:val="12887C05"/>
    <w:rsid w:val="12931BD0"/>
    <w:rsid w:val="12BF610F"/>
    <w:rsid w:val="12CE33E2"/>
    <w:rsid w:val="12E149D5"/>
    <w:rsid w:val="12EE06F0"/>
    <w:rsid w:val="12F327F4"/>
    <w:rsid w:val="12FE3A23"/>
    <w:rsid w:val="13340E8C"/>
    <w:rsid w:val="133718B3"/>
    <w:rsid w:val="134419BE"/>
    <w:rsid w:val="136559E9"/>
    <w:rsid w:val="137E7FDD"/>
    <w:rsid w:val="138163AA"/>
    <w:rsid w:val="13883C53"/>
    <w:rsid w:val="13901EF2"/>
    <w:rsid w:val="139132E8"/>
    <w:rsid w:val="13951726"/>
    <w:rsid w:val="13AC4CD3"/>
    <w:rsid w:val="13B11191"/>
    <w:rsid w:val="13B47801"/>
    <w:rsid w:val="13B53FF6"/>
    <w:rsid w:val="13BD40F7"/>
    <w:rsid w:val="13E6621A"/>
    <w:rsid w:val="13EE2C38"/>
    <w:rsid w:val="13FB6CB1"/>
    <w:rsid w:val="14051002"/>
    <w:rsid w:val="140D4508"/>
    <w:rsid w:val="14132784"/>
    <w:rsid w:val="141D612B"/>
    <w:rsid w:val="14396509"/>
    <w:rsid w:val="14575AE1"/>
    <w:rsid w:val="14596876"/>
    <w:rsid w:val="147028DC"/>
    <w:rsid w:val="14802DE2"/>
    <w:rsid w:val="14814062"/>
    <w:rsid w:val="14887A48"/>
    <w:rsid w:val="14924373"/>
    <w:rsid w:val="1496243B"/>
    <w:rsid w:val="14B53F4E"/>
    <w:rsid w:val="14B71FC3"/>
    <w:rsid w:val="14CD28D8"/>
    <w:rsid w:val="14DA7DAC"/>
    <w:rsid w:val="14DD2C3C"/>
    <w:rsid w:val="14F20D0A"/>
    <w:rsid w:val="151B1BDB"/>
    <w:rsid w:val="153F078B"/>
    <w:rsid w:val="154047C7"/>
    <w:rsid w:val="156A4E79"/>
    <w:rsid w:val="156B2B7E"/>
    <w:rsid w:val="1571729B"/>
    <w:rsid w:val="157F0B29"/>
    <w:rsid w:val="158B3076"/>
    <w:rsid w:val="15977BC9"/>
    <w:rsid w:val="159B26C7"/>
    <w:rsid w:val="159D5D78"/>
    <w:rsid w:val="15A53DE8"/>
    <w:rsid w:val="15AD22FD"/>
    <w:rsid w:val="15BC35D5"/>
    <w:rsid w:val="15C667B6"/>
    <w:rsid w:val="15F81247"/>
    <w:rsid w:val="16087E1D"/>
    <w:rsid w:val="16212CBB"/>
    <w:rsid w:val="162A73B3"/>
    <w:rsid w:val="16583BA8"/>
    <w:rsid w:val="166E1962"/>
    <w:rsid w:val="16842BCA"/>
    <w:rsid w:val="16937E96"/>
    <w:rsid w:val="169E4C30"/>
    <w:rsid w:val="169E79F7"/>
    <w:rsid w:val="16B1514E"/>
    <w:rsid w:val="16B70595"/>
    <w:rsid w:val="16BD1E81"/>
    <w:rsid w:val="16C36A0A"/>
    <w:rsid w:val="16C77949"/>
    <w:rsid w:val="16DD179D"/>
    <w:rsid w:val="16E22671"/>
    <w:rsid w:val="16F329F2"/>
    <w:rsid w:val="16FA6160"/>
    <w:rsid w:val="16FB47B8"/>
    <w:rsid w:val="16FD49C4"/>
    <w:rsid w:val="17123F41"/>
    <w:rsid w:val="17190D87"/>
    <w:rsid w:val="17371F7B"/>
    <w:rsid w:val="173B3498"/>
    <w:rsid w:val="17424826"/>
    <w:rsid w:val="17514A69"/>
    <w:rsid w:val="17701D14"/>
    <w:rsid w:val="17735226"/>
    <w:rsid w:val="17834AF8"/>
    <w:rsid w:val="179027E4"/>
    <w:rsid w:val="17965F4F"/>
    <w:rsid w:val="17A713EB"/>
    <w:rsid w:val="17A8278D"/>
    <w:rsid w:val="17B11E7F"/>
    <w:rsid w:val="17B13963"/>
    <w:rsid w:val="17B144D9"/>
    <w:rsid w:val="17BE16AC"/>
    <w:rsid w:val="17C53B6B"/>
    <w:rsid w:val="17D27300"/>
    <w:rsid w:val="17F32CA0"/>
    <w:rsid w:val="17FD17FB"/>
    <w:rsid w:val="18191A47"/>
    <w:rsid w:val="182040FE"/>
    <w:rsid w:val="182B7359"/>
    <w:rsid w:val="183471DC"/>
    <w:rsid w:val="18467F04"/>
    <w:rsid w:val="184C5E89"/>
    <w:rsid w:val="1865316C"/>
    <w:rsid w:val="186C48D3"/>
    <w:rsid w:val="187B13DB"/>
    <w:rsid w:val="187E5D01"/>
    <w:rsid w:val="18807E18"/>
    <w:rsid w:val="189750C9"/>
    <w:rsid w:val="18992EA0"/>
    <w:rsid w:val="189F624C"/>
    <w:rsid w:val="18A23A0A"/>
    <w:rsid w:val="18A24E51"/>
    <w:rsid w:val="18A46A4A"/>
    <w:rsid w:val="18AC3BA4"/>
    <w:rsid w:val="18DD76B6"/>
    <w:rsid w:val="18EB6D72"/>
    <w:rsid w:val="18ED07C2"/>
    <w:rsid w:val="18F338FE"/>
    <w:rsid w:val="18FE477D"/>
    <w:rsid w:val="191725FC"/>
    <w:rsid w:val="191D725F"/>
    <w:rsid w:val="19311E5E"/>
    <w:rsid w:val="194A1F0C"/>
    <w:rsid w:val="1956519A"/>
    <w:rsid w:val="195C21FE"/>
    <w:rsid w:val="195F7FBB"/>
    <w:rsid w:val="197965D6"/>
    <w:rsid w:val="19895014"/>
    <w:rsid w:val="199270CB"/>
    <w:rsid w:val="19990617"/>
    <w:rsid w:val="199B1709"/>
    <w:rsid w:val="199D5F29"/>
    <w:rsid w:val="19AA0461"/>
    <w:rsid w:val="19BB266E"/>
    <w:rsid w:val="19C45854"/>
    <w:rsid w:val="19C57049"/>
    <w:rsid w:val="19E07E15"/>
    <w:rsid w:val="19E11A43"/>
    <w:rsid w:val="19E51499"/>
    <w:rsid w:val="19F17E3E"/>
    <w:rsid w:val="19F75672"/>
    <w:rsid w:val="19F9724D"/>
    <w:rsid w:val="1A110DAE"/>
    <w:rsid w:val="1A1C66C0"/>
    <w:rsid w:val="1A24065A"/>
    <w:rsid w:val="1A2521DD"/>
    <w:rsid w:val="1A4207AB"/>
    <w:rsid w:val="1A42393B"/>
    <w:rsid w:val="1A46462D"/>
    <w:rsid w:val="1A485D08"/>
    <w:rsid w:val="1A5A452D"/>
    <w:rsid w:val="1A5D7CE6"/>
    <w:rsid w:val="1A772CB8"/>
    <w:rsid w:val="1A8D169B"/>
    <w:rsid w:val="1A9E2970"/>
    <w:rsid w:val="1AA64C6D"/>
    <w:rsid w:val="1AAD45DE"/>
    <w:rsid w:val="1AB81606"/>
    <w:rsid w:val="1AC22240"/>
    <w:rsid w:val="1AD6247B"/>
    <w:rsid w:val="1AE24E86"/>
    <w:rsid w:val="1AFA18D9"/>
    <w:rsid w:val="1B0378E5"/>
    <w:rsid w:val="1B046F80"/>
    <w:rsid w:val="1B0E7B94"/>
    <w:rsid w:val="1B1A1616"/>
    <w:rsid w:val="1B1F358D"/>
    <w:rsid w:val="1B23273D"/>
    <w:rsid w:val="1B2C1A7B"/>
    <w:rsid w:val="1B302973"/>
    <w:rsid w:val="1B32070E"/>
    <w:rsid w:val="1B3267B5"/>
    <w:rsid w:val="1B40161D"/>
    <w:rsid w:val="1B441859"/>
    <w:rsid w:val="1B51720E"/>
    <w:rsid w:val="1B6606B1"/>
    <w:rsid w:val="1B6F0009"/>
    <w:rsid w:val="1B9A2D31"/>
    <w:rsid w:val="1B9B5D1B"/>
    <w:rsid w:val="1B9F3F11"/>
    <w:rsid w:val="1BAC1941"/>
    <w:rsid w:val="1BAE1444"/>
    <w:rsid w:val="1BB1629F"/>
    <w:rsid w:val="1BB24D8E"/>
    <w:rsid w:val="1BC17CE4"/>
    <w:rsid w:val="1BD82D3E"/>
    <w:rsid w:val="1BE063BC"/>
    <w:rsid w:val="1BE428CB"/>
    <w:rsid w:val="1BED0CC6"/>
    <w:rsid w:val="1C03434F"/>
    <w:rsid w:val="1C093A59"/>
    <w:rsid w:val="1C2E3309"/>
    <w:rsid w:val="1C42634A"/>
    <w:rsid w:val="1C5E7925"/>
    <w:rsid w:val="1C674752"/>
    <w:rsid w:val="1C695525"/>
    <w:rsid w:val="1C6D1E4C"/>
    <w:rsid w:val="1C7C02ED"/>
    <w:rsid w:val="1C7D6E1F"/>
    <w:rsid w:val="1C8B74AE"/>
    <w:rsid w:val="1C8D333F"/>
    <w:rsid w:val="1C8E7BC6"/>
    <w:rsid w:val="1C99183D"/>
    <w:rsid w:val="1C9B764B"/>
    <w:rsid w:val="1CA11CAB"/>
    <w:rsid w:val="1CC070E5"/>
    <w:rsid w:val="1CC23D13"/>
    <w:rsid w:val="1CC35527"/>
    <w:rsid w:val="1CCB26FC"/>
    <w:rsid w:val="1CCE690E"/>
    <w:rsid w:val="1CD64CCD"/>
    <w:rsid w:val="1CD952F7"/>
    <w:rsid w:val="1CEA4DA2"/>
    <w:rsid w:val="1CF4153E"/>
    <w:rsid w:val="1CF979F5"/>
    <w:rsid w:val="1CFD070F"/>
    <w:rsid w:val="1CFF3325"/>
    <w:rsid w:val="1D051F08"/>
    <w:rsid w:val="1D100F23"/>
    <w:rsid w:val="1D1F4CC2"/>
    <w:rsid w:val="1D284C0D"/>
    <w:rsid w:val="1D3A7D4E"/>
    <w:rsid w:val="1D3D5D97"/>
    <w:rsid w:val="1D3F1E45"/>
    <w:rsid w:val="1D44403B"/>
    <w:rsid w:val="1D4567B9"/>
    <w:rsid w:val="1D5F6196"/>
    <w:rsid w:val="1D6132A5"/>
    <w:rsid w:val="1D6A5788"/>
    <w:rsid w:val="1D8773D9"/>
    <w:rsid w:val="1D8E56D5"/>
    <w:rsid w:val="1D9679F2"/>
    <w:rsid w:val="1D982608"/>
    <w:rsid w:val="1DB56725"/>
    <w:rsid w:val="1DC142F4"/>
    <w:rsid w:val="1DD87A76"/>
    <w:rsid w:val="1DDE4B7D"/>
    <w:rsid w:val="1DDF33A9"/>
    <w:rsid w:val="1DE40BAC"/>
    <w:rsid w:val="1DE64650"/>
    <w:rsid w:val="1DEA5F7B"/>
    <w:rsid w:val="1E0041BB"/>
    <w:rsid w:val="1E153CFF"/>
    <w:rsid w:val="1E156D3E"/>
    <w:rsid w:val="1E177085"/>
    <w:rsid w:val="1E204787"/>
    <w:rsid w:val="1E2301EE"/>
    <w:rsid w:val="1E396257"/>
    <w:rsid w:val="1E3E0829"/>
    <w:rsid w:val="1E4D585F"/>
    <w:rsid w:val="1E4E3AB1"/>
    <w:rsid w:val="1E4E43C7"/>
    <w:rsid w:val="1E526071"/>
    <w:rsid w:val="1E6D0ADF"/>
    <w:rsid w:val="1E7A43DA"/>
    <w:rsid w:val="1E8A260F"/>
    <w:rsid w:val="1E8E1D90"/>
    <w:rsid w:val="1EAD4B85"/>
    <w:rsid w:val="1EB63404"/>
    <w:rsid w:val="1EB92499"/>
    <w:rsid w:val="1EBB1886"/>
    <w:rsid w:val="1EC93367"/>
    <w:rsid w:val="1EE84C59"/>
    <w:rsid w:val="1EEE2A8B"/>
    <w:rsid w:val="1EFA7794"/>
    <w:rsid w:val="1EFF7A7D"/>
    <w:rsid w:val="1F0249E5"/>
    <w:rsid w:val="1F0439D9"/>
    <w:rsid w:val="1F101E33"/>
    <w:rsid w:val="1F121578"/>
    <w:rsid w:val="1F233086"/>
    <w:rsid w:val="1F2C5655"/>
    <w:rsid w:val="1F4370C6"/>
    <w:rsid w:val="1F475959"/>
    <w:rsid w:val="1F4F0FE5"/>
    <w:rsid w:val="1F503858"/>
    <w:rsid w:val="1F525822"/>
    <w:rsid w:val="1F5A2C9B"/>
    <w:rsid w:val="1F5D0377"/>
    <w:rsid w:val="1F69491A"/>
    <w:rsid w:val="1F73424A"/>
    <w:rsid w:val="1F780F7F"/>
    <w:rsid w:val="1F7F7C9A"/>
    <w:rsid w:val="1F8D23B7"/>
    <w:rsid w:val="1FA6651F"/>
    <w:rsid w:val="1FA70785"/>
    <w:rsid w:val="1FCB30B3"/>
    <w:rsid w:val="1FCD3604"/>
    <w:rsid w:val="1FD47FE6"/>
    <w:rsid w:val="1FE7539E"/>
    <w:rsid w:val="1FF54587"/>
    <w:rsid w:val="1FFB37C4"/>
    <w:rsid w:val="1FFF1224"/>
    <w:rsid w:val="200241B7"/>
    <w:rsid w:val="200D2C44"/>
    <w:rsid w:val="2020322B"/>
    <w:rsid w:val="202A40A9"/>
    <w:rsid w:val="20390732"/>
    <w:rsid w:val="203D202F"/>
    <w:rsid w:val="203E7B55"/>
    <w:rsid w:val="20494604"/>
    <w:rsid w:val="20580C17"/>
    <w:rsid w:val="205A309E"/>
    <w:rsid w:val="205D7CC4"/>
    <w:rsid w:val="20671BE0"/>
    <w:rsid w:val="206B2294"/>
    <w:rsid w:val="20703EF3"/>
    <w:rsid w:val="2072760A"/>
    <w:rsid w:val="20730DF0"/>
    <w:rsid w:val="207E43F5"/>
    <w:rsid w:val="208D3113"/>
    <w:rsid w:val="208E0782"/>
    <w:rsid w:val="20963CB8"/>
    <w:rsid w:val="209B4FA7"/>
    <w:rsid w:val="20A16A8F"/>
    <w:rsid w:val="20A81A1B"/>
    <w:rsid w:val="20B07FB6"/>
    <w:rsid w:val="20B646FB"/>
    <w:rsid w:val="20C13741"/>
    <w:rsid w:val="20CA51AA"/>
    <w:rsid w:val="20D57A49"/>
    <w:rsid w:val="20DB24B2"/>
    <w:rsid w:val="20F8207E"/>
    <w:rsid w:val="21336064"/>
    <w:rsid w:val="213B74B1"/>
    <w:rsid w:val="21424702"/>
    <w:rsid w:val="2146601E"/>
    <w:rsid w:val="215A2310"/>
    <w:rsid w:val="218B08D6"/>
    <w:rsid w:val="219E6AFD"/>
    <w:rsid w:val="21A03B20"/>
    <w:rsid w:val="21AC014A"/>
    <w:rsid w:val="21BA1FF8"/>
    <w:rsid w:val="21D7200F"/>
    <w:rsid w:val="21DE318A"/>
    <w:rsid w:val="21E2262C"/>
    <w:rsid w:val="21EE202E"/>
    <w:rsid w:val="21EF5B80"/>
    <w:rsid w:val="22270C90"/>
    <w:rsid w:val="222D1C2F"/>
    <w:rsid w:val="22576990"/>
    <w:rsid w:val="225B6E26"/>
    <w:rsid w:val="226374F5"/>
    <w:rsid w:val="22731A8B"/>
    <w:rsid w:val="228D6B72"/>
    <w:rsid w:val="22A079F6"/>
    <w:rsid w:val="22AB7021"/>
    <w:rsid w:val="22AE2B47"/>
    <w:rsid w:val="22CD6979"/>
    <w:rsid w:val="22DB78DD"/>
    <w:rsid w:val="22E5075C"/>
    <w:rsid w:val="22E95DA2"/>
    <w:rsid w:val="22F47480"/>
    <w:rsid w:val="231A5A68"/>
    <w:rsid w:val="23217EE6"/>
    <w:rsid w:val="23263E4C"/>
    <w:rsid w:val="233E1ADC"/>
    <w:rsid w:val="234C3FD3"/>
    <w:rsid w:val="23533536"/>
    <w:rsid w:val="235A31C5"/>
    <w:rsid w:val="235B2553"/>
    <w:rsid w:val="235B50E3"/>
    <w:rsid w:val="235C25E1"/>
    <w:rsid w:val="23607B99"/>
    <w:rsid w:val="236C420F"/>
    <w:rsid w:val="236E19AF"/>
    <w:rsid w:val="237905F0"/>
    <w:rsid w:val="23886444"/>
    <w:rsid w:val="238A7CFD"/>
    <w:rsid w:val="23981042"/>
    <w:rsid w:val="23A93537"/>
    <w:rsid w:val="23AA169B"/>
    <w:rsid w:val="23B81222"/>
    <w:rsid w:val="23B8412B"/>
    <w:rsid w:val="23C01FE4"/>
    <w:rsid w:val="23C0648B"/>
    <w:rsid w:val="23D57302"/>
    <w:rsid w:val="23DE1C48"/>
    <w:rsid w:val="240210CD"/>
    <w:rsid w:val="240B4861"/>
    <w:rsid w:val="240C7E90"/>
    <w:rsid w:val="240D7F6A"/>
    <w:rsid w:val="24146435"/>
    <w:rsid w:val="24156E1F"/>
    <w:rsid w:val="243F7F8D"/>
    <w:rsid w:val="24486E7E"/>
    <w:rsid w:val="24566581"/>
    <w:rsid w:val="249266C1"/>
    <w:rsid w:val="24986A57"/>
    <w:rsid w:val="2498708B"/>
    <w:rsid w:val="24BF09F7"/>
    <w:rsid w:val="24C44D62"/>
    <w:rsid w:val="24C80AF2"/>
    <w:rsid w:val="24D82A4B"/>
    <w:rsid w:val="24D8568D"/>
    <w:rsid w:val="24E364DF"/>
    <w:rsid w:val="24EF70EE"/>
    <w:rsid w:val="24F237C4"/>
    <w:rsid w:val="24F5632A"/>
    <w:rsid w:val="250749B9"/>
    <w:rsid w:val="251D70D7"/>
    <w:rsid w:val="25237B49"/>
    <w:rsid w:val="25267270"/>
    <w:rsid w:val="252A1911"/>
    <w:rsid w:val="252D1E19"/>
    <w:rsid w:val="252D53FE"/>
    <w:rsid w:val="252E7FBF"/>
    <w:rsid w:val="253D5B5E"/>
    <w:rsid w:val="255A0F8D"/>
    <w:rsid w:val="25633B48"/>
    <w:rsid w:val="2596272F"/>
    <w:rsid w:val="2596532A"/>
    <w:rsid w:val="25A01B64"/>
    <w:rsid w:val="25AC1E88"/>
    <w:rsid w:val="25AC5FAB"/>
    <w:rsid w:val="25BA0B64"/>
    <w:rsid w:val="25C30878"/>
    <w:rsid w:val="25CB6F61"/>
    <w:rsid w:val="25D356FB"/>
    <w:rsid w:val="25D968EE"/>
    <w:rsid w:val="25E37A76"/>
    <w:rsid w:val="25EC2D81"/>
    <w:rsid w:val="26103D41"/>
    <w:rsid w:val="263223B6"/>
    <w:rsid w:val="264E1BE1"/>
    <w:rsid w:val="26591B10"/>
    <w:rsid w:val="266507DE"/>
    <w:rsid w:val="26663CB7"/>
    <w:rsid w:val="266D2A60"/>
    <w:rsid w:val="266F6CBA"/>
    <w:rsid w:val="26760134"/>
    <w:rsid w:val="267847D8"/>
    <w:rsid w:val="26827560"/>
    <w:rsid w:val="268F74E9"/>
    <w:rsid w:val="2697301F"/>
    <w:rsid w:val="26B12B51"/>
    <w:rsid w:val="26BB38E0"/>
    <w:rsid w:val="26BF6B19"/>
    <w:rsid w:val="26C14CC5"/>
    <w:rsid w:val="26C22E0F"/>
    <w:rsid w:val="26CF1507"/>
    <w:rsid w:val="26CF59AB"/>
    <w:rsid w:val="26DA05CF"/>
    <w:rsid w:val="26E02938"/>
    <w:rsid w:val="26F535EB"/>
    <w:rsid w:val="26FB7F3F"/>
    <w:rsid w:val="27037402"/>
    <w:rsid w:val="270F2BFA"/>
    <w:rsid w:val="272331E3"/>
    <w:rsid w:val="272A309F"/>
    <w:rsid w:val="272A6819"/>
    <w:rsid w:val="272B731D"/>
    <w:rsid w:val="272E37DE"/>
    <w:rsid w:val="27317FFE"/>
    <w:rsid w:val="274D77A9"/>
    <w:rsid w:val="275614C6"/>
    <w:rsid w:val="275A5725"/>
    <w:rsid w:val="27616827"/>
    <w:rsid w:val="276A0E5C"/>
    <w:rsid w:val="276A6FE4"/>
    <w:rsid w:val="277057A2"/>
    <w:rsid w:val="27772C2F"/>
    <w:rsid w:val="27807D89"/>
    <w:rsid w:val="278361FB"/>
    <w:rsid w:val="278636E0"/>
    <w:rsid w:val="27A214FC"/>
    <w:rsid w:val="27B356CF"/>
    <w:rsid w:val="27B73A25"/>
    <w:rsid w:val="27C94E78"/>
    <w:rsid w:val="27D12F0E"/>
    <w:rsid w:val="27D72057"/>
    <w:rsid w:val="280022F6"/>
    <w:rsid w:val="281A4A03"/>
    <w:rsid w:val="281A74B4"/>
    <w:rsid w:val="281B7A45"/>
    <w:rsid w:val="28233405"/>
    <w:rsid w:val="282D316D"/>
    <w:rsid w:val="285C19A4"/>
    <w:rsid w:val="28604493"/>
    <w:rsid w:val="287D7103"/>
    <w:rsid w:val="28824C0D"/>
    <w:rsid w:val="288832D9"/>
    <w:rsid w:val="28A3777E"/>
    <w:rsid w:val="28AB1AFF"/>
    <w:rsid w:val="28B77414"/>
    <w:rsid w:val="28C94133"/>
    <w:rsid w:val="28EC2844"/>
    <w:rsid w:val="28EF2E65"/>
    <w:rsid w:val="290046D9"/>
    <w:rsid w:val="29042546"/>
    <w:rsid w:val="290513C9"/>
    <w:rsid w:val="290F0EC2"/>
    <w:rsid w:val="29206EB8"/>
    <w:rsid w:val="292B79F8"/>
    <w:rsid w:val="293A798A"/>
    <w:rsid w:val="294E780E"/>
    <w:rsid w:val="2956536C"/>
    <w:rsid w:val="29595666"/>
    <w:rsid w:val="295E6DEB"/>
    <w:rsid w:val="297024DF"/>
    <w:rsid w:val="29742B45"/>
    <w:rsid w:val="298400EF"/>
    <w:rsid w:val="29874881"/>
    <w:rsid w:val="29923DEA"/>
    <w:rsid w:val="29A87415"/>
    <w:rsid w:val="29B027D0"/>
    <w:rsid w:val="29C105C6"/>
    <w:rsid w:val="29C22A0D"/>
    <w:rsid w:val="29C46456"/>
    <w:rsid w:val="29C521CE"/>
    <w:rsid w:val="29CB4156"/>
    <w:rsid w:val="29D349EF"/>
    <w:rsid w:val="29E325E0"/>
    <w:rsid w:val="29FE7A63"/>
    <w:rsid w:val="2A253A0C"/>
    <w:rsid w:val="2A257690"/>
    <w:rsid w:val="2A2E29E8"/>
    <w:rsid w:val="2A31612A"/>
    <w:rsid w:val="2A335FF2"/>
    <w:rsid w:val="2A3E4FA9"/>
    <w:rsid w:val="2A452503"/>
    <w:rsid w:val="2A465D9B"/>
    <w:rsid w:val="2A631F4D"/>
    <w:rsid w:val="2A67567F"/>
    <w:rsid w:val="2A6B59EA"/>
    <w:rsid w:val="2A6C506A"/>
    <w:rsid w:val="2A741417"/>
    <w:rsid w:val="2A856E92"/>
    <w:rsid w:val="2A8D3382"/>
    <w:rsid w:val="2A910BF0"/>
    <w:rsid w:val="2A9A4646"/>
    <w:rsid w:val="2A9B5B9E"/>
    <w:rsid w:val="2A9C2D39"/>
    <w:rsid w:val="2AB769B8"/>
    <w:rsid w:val="2AC15035"/>
    <w:rsid w:val="2AC6629F"/>
    <w:rsid w:val="2ADD283E"/>
    <w:rsid w:val="2ADE5E1B"/>
    <w:rsid w:val="2AE07716"/>
    <w:rsid w:val="2AFA0282"/>
    <w:rsid w:val="2B037224"/>
    <w:rsid w:val="2B073965"/>
    <w:rsid w:val="2B0D0850"/>
    <w:rsid w:val="2B381D70"/>
    <w:rsid w:val="2B466337"/>
    <w:rsid w:val="2B537AF6"/>
    <w:rsid w:val="2B7078A9"/>
    <w:rsid w:val="2B7268BB"/>
    <w:rsid w:val="2B8112CB"/>
    <w:rsid w:val="2B851325"/>
    <w:rsid w:val="2B8F1B40"/>
    <w:rsid w:val="2B9224E6"/>
    <w:rsid w:val="2B950382"/>
    <w:rsid w:val="2B98280F"/>
    <w:rsid w:val="2BA936A8"/>
    <w:rsid w:val="2BBF67BB"/>
    <w:rsid w:val="2BC2788C"/>
    <w:rsid w:val="2BCD43E6"/>
    <w:rsid w:val="2BDB446C"/>
    <w:rsid w:val="2BDE6C68"/>
    <w:rsid w:val="2BEA0B91"/>
    <w:rsid w:val="2BEC2B5B"/>
    <w:rsid w:val="2BF12D6F"/>
    <w:rsid w:val="2BF7620E"/>
    <w:rsid w:val="2C091BC0"/>
    <w:rsid w:val="2C0A72E6"/>
    <w:rsid w:val="2C12290F"/>
    <w:rsid w:val="2C130423"/>
    <w:rsid w:val="2C1F0E07"/>
    <w:rsid w:val="2C315A5A"/>
    <w:rsid w:val="2C317985"/>
    <w:rsid w:val="2C396270"/>
    <w:rsid w:val="2C414DD2"/>
    <w:rsid w:val="2C485376"/>
    <w:rsid w:val="2C4B1C25"/>
    <w:rsid w:val="2C605937"/>
    <w:rsid w:val="2C8842E6"/>
    <w:rsid w:val="2CA248AA"/>
    <w:rsid w:val="2CA3160E"/>
    <w:rsid w:val="2CA43AE2"/>
    <w:rsid w:val="2CBC6D61"/>
    <w:rsid w:val="2CC60DAB"/>
    <w:rsid w:val="2CE22AC8"/>
    <w:rsid w:val="2CE31969"/>
    <w:rsid w:val="2D031C87"/>
    <w:rsid w:val="2D093909"/>
    <w:rsid w:val="2D401235"/>
    <w:rsid w:val="2D420860"/>
    <w:rsid w:val="2D424A86"/>
    <w:rsid w:val="2D456FA0"/>
    <w:rsid w:val="2D833D2F"/>
    <w:rsid w:val="2D861AAD"/>
    <w:rsid w:val="2D9E56F5"/>
    <w:rsid w:val="2DA87E31"/>
    <w:rsid w:val="2DAA673E"/>
    <w:rsid w:val="2DAD51FD"/>
    <w:rsid w:val="2DB94CBF"/>
    <w:rsid w:val="2DD24DC5"/>
    <w:rsid w:val="2DEE2BBA"/>
    <w:rsid w:val="2DF84AE8"/>
    <w:rsid w:val="2DFD774B"/>
    <w:rsid w:val="2E0A3CE7"/>
    <w:rsid w:val="2E1B5108"/>
    <w:rsid w:val="2E233A93"/>
    <w:rsid w:val="2E2366BF"/>
    <w:rsid w:val="2E31104A"/>
    <w:rsid w:val="2E3A0D95"/>
    <w:rsid w:val="2E3F51C4"/>
    <w:rsid w:val="2E4516FE"/>
    <w:rsid w:val="2E4A494A"/>
    <w:rsid w:val="2E60446C"/>
    <w:rsid w:val="2E647AEF"/>
    <w:rsid w:val="2E652751"/>
    <w:rsid w:val="2E6532B3"/>
    <w:rsid w:val="2E667F96"/>
    <w:rsid w:val="2E680C5E"/>
    <w:rsid w:val="2E6A71C3"/>
    <w:rsid w:val="2E6D22B7"/>
    <w:rsid w:val="2E734E6D"/>
    <w:rsid w:val="2E745206"/>
    <w:rsid w:val="2E7A032A"/>
    <w:rsid w:val="2E7D7A9A"/>
    <w:rsid w:val="2E80417F"/>
    <w:rsid w:val="2E8226AB"/>
    <w:rsid w:val="2E9901E9"/>
    <w:rsid w:val="2E9A57EF"/>
    <w:rsid w:val="2EA73092"/>
    <w:rsid w:val="2EBF6447"/>
    <w:rsid w:val="2EC03892"/>
    <w:rsid w:val="2ED56A51"/>
    <w:rsid w:val="2EDE2C2F"/>
    <w:rsid w:val="2EEA15D4"/>
    <w:rsid w:val="2EEF6719"/>
    <w:rsid w:val="2EF02945"/>
    <w:rsid w:val="2F061558"/>
    <w:rsid w:val="2F194847"/>
    <w:rsid w:val="2F1E302B"/>
    <w:rsid w:val="2F28027F"/>
    <w:rsid w:val="2F2A269A"/>
    <w:rsid w:val="2F382227"/>
    <w:rsid w:val="2F3A11F4"/>
    <w:rsid w:val="2F3C2DCA"/>
    <w:rsid w:val="2F4A0F8A"/>
    <w:rsid w:val="2F631386"/>
    <w:rsid w:val="2F7E7A40"/>
    <w:rsid w:val="2F85678C"/>
    <w:rsid w:val="2F9128C7"/>
    <w:rsid w:val="2FB04682"/>
    <w:rsid w:val="2FBC6918"/>
    <w:rsid w:val="2FCA6D0F"/>
    <w:rsid w:val="2FD065E6"/>
    <w:rsid w:val="2FD874C4"/>
    <w:rsid w:val="2FD96870"/>
    <w:rsid w:val="2FDC75EF"/>
    <w:rsid w:val="2FE54091"/>
    <w:rsid w:val="30164FFE"/>
    <w:rsid w:val="30186282"/>
    <w:rsid w:val="302046B8"/>
    <w:rsid w:val="30283608"/>
    <w:rsid w:val="3040114F"/>
    <w:rsid w:val="30484D87"/>
    <w:rsid w:val="304E047D"/>
    <w:rsid w:val="30580BC9"/>
    <w:rsid w:val="305D13F9"/>
    <w:rsid w:val="305E1E35"/>
    <w:rsid w:val="30647B39"/>
    <w:rsid w:val="306D53A7"/>
    <w:rsid w:val="306E2477"/>
    <w:rsid w:val="307153DD"/>
    <w:rsid w:val="30803A61"/>
    <w:rsid w:val="30826799"/>
    <w:rsid w:val="30A47041"/>
    <w:rsid w:val="30B34476"/>
    <w:rsid w:val="30B518F6"/>
    <w:rsid w:val="30BB30B9"/>
    <w:rsid w:val="30CD4304"/>
    <w:rsid w:val="30D552BC"/>
    <w:rsid w:val="30E93565"/>
    <w:rsid w:val="30EE49AB"/>
    <w:rsid w:val="310E0E7D"/>
    <w:rsid w:val="310F3B05"/>
    <w:rsid w:val="311A5A74"/>
    <w:rsid w:val="311C64B1"/>
    <w:rsid w:val="311E2ED7"/>
    <w:rsid w:val="312215F8"/>
    <w:rsid w:val="31356105"/>
    <w:rsid w:val="31417683"/>
    <w:rsid w:val="314A1958"/>
    <w:rsid w:val="315619EE"/>
    <w:rsid w:val="31572766"/>
    <w:rsid w:val="315C449C"/>
    <w:rsid w:val="3161139B"/>
    <w:rsid w:val="31673068"/>
    <w:rsid w:val="31692558"/>
    <w:rsid w:val="31833FF5"/>
    <w:rsid w:val="318B45AC"/>
    <w:rsid w:val="31AB5635"/>
    <w:rsid w:val="31B77AA4"/>
    <w:rsid w:val="31B82709"/>
    <w:rsid w:val="31BD63F5"/>
    <w:rsid w:val="31CA6E32"/>
    <w:rsid w:val="31CE4696"/>
    <w:rsid w:val="31D05482"/>
    <w:rsid w:val="31D7474D"/>
    <w:rsid w:val="31F77B64"/>
    <w:rsid w:val="32000A51"/>
    <w:rsid w:val="320D3728"/>
    <w:rsid w:val="321A2FCE"/>
    <w:rsid w:val="322A7F39"/>
    <w:rsid w:val="32400B34"/>
    <w:rsid w:val="324F70C7"/>
    <w:rsid w:val="32527F37"/>
    <w:rsid w:val="3256204F"/>
    <w:rsid w:val="32696723"/>
    <w:rsid w:val="327F64D7"/>
    <w:rsid w:val="32810E27"/>
    <w:rsid w:val="328D2531"/>
    <w:rsid w:val="32941963"/>
    <w:rsid w:val="3294300A"/>
    <w:rsid w:val="329D070B"/>
    <w:rsid w:val="329E6876"/>
    <w:rsid w:val="32A5498C"/>
    <w:rsid w:val="32B32E5E"/>
    <w:rsid w:val="32C53A9B"/>
    <w:rsid w:val="32C86ACB"/>
    <w:rsid w:val="32CC7242"/>
    <w:rsid w:val="32CF3D71"/>
    <w:rsid w:val="32D61E6F"/>
    <w:rsid w:val="32D8384A"/>
    <w:rsid w:val="32DB5D16"/>
    <w:rsid w:val="32E71C2B"/>
    <w:rsid w:val="32FC00E3"/>
    <w:rsid w:val="332D412C"/>
    <w:rsid w:val="333015F2"/>
    <w:rsid w:val="334B6320"/>
    <w:rsid w:val="33576B0C"/>
    <w:rsid w:val="33580915"/>
    <w:rsid w:val="335A5504"/>
    <w:rsid w:val="3398670F"/>
    <w:rsid w:val="339B70EA"/>
    <w:rsid w:val="339B7340"/>
    <w:rsid w:val="33A53974"/>
    <w:rsid w:val="33CA1DA1"/>
    <w:rsid w:val="33D72DCC"/>
    <w:rsid w:val="33D934D4"/>
    <w:rsid w:val="33E419BE"/>
    <w:rsid w:val="33EF5F2B"/>
    <w:rsid w:val="33F1083D"/>
    <w:rsid w:val="33FA0877"/>
    <w:rsid w:val="33FE2F6A"/>
    <w:rsid w:val="340E07E5"/>
    <w:rsid w:val="34117BB8"/>
    <w:rsid w:val="34235BF7"/>
    <w:rsid w:val="342735F4"/>
    <w:rsid w:val="343839CB"/>
    <w:rsid w:val="343F7EBF"/>
    <w:rsid w:val="344233E9"/>
    <w:rsid w:val="34431889"/>
    <w:rsid w:val="34497186"/>
    <w:rsid w:val="34527549"/>
    <w:rsid w:val="345A7E87"/>
    <w:rsid w:val="345F6A9C"/>
    <w:rsid w:val="3476081D"/>
    <w:rsid w:val="34961D7D"/>
    <w:rsid w:val="349D25AB"/>
    <w:rsid w:val="349E2EFC"/>
    <w:rsid w:val="34A66A7B"/>
    <w:rsid w:val="34AE6BFF"/>
    <w:rsid w:val="34C3500D"/>
    <w:rsid w:val="34CE2DFE"/>
    <w:rsid w:val="34D526E0"/>
    <w:rsid w:val="34E37E7E"/>
    <w:rsid w:val="351A3F46"/>
    <w:rsid w:val="351E1929"/>
    <w:rsid w:val="35370519"/>
    <w:rsid w:val="35386696"/>
    <w:rsid w:val="354A3651"/>
    <w:rsid w:val="354C4B4C"/>
    <w:rsid w:val="3550415A"/>
    <w:rsid w:val="3568020D"/>
    <w:rsid w:val="3576260B"/>
    <w:rsid w:val="3586724C"/>
    <w:rsid w:val="35895110"/>
    <w:rsid w:val="358C5FA8"/>
    <w:rsid w:val="359C114E"/>
    <w:rsid w:val="359E083B"/>
    <w:rsid w:val="35A33F40"/>
    <w:rsid w:val="35A77929"/>
    <w:rsid w:val="35C15DF1"/>
    <w:rsid w:val="35DB1359"/>
    <w:rsid w:val="35ED56E8"/>
    <w:rsid w:val="360559ED"/>
    <w:rsid w:val="36074A7F"/>
    <w:rsid w:val="360F52F8"/>
    <w:rsid w:val="36117B96"/>
    <w:rsid w:val="36204C24"/>
    <w:rsid w:val="36290A57"/>
    <w:rsid w:val="362C142B"/>
    <w:rsid w:val="364B78E9"/>
    <w:rsid w:val="36794AE4"/>
    <w:rsid w:val="368D0818"/>
    <w:rsid w:val="368E0C09"/>
    <w:rsid w:val="36923549"/>
    <w:rsid w:val="36A2746C"/>
    <w:rsid w:val="36B75FBF"/>
    <w:rsid w:val="36BD0C45"/>
    <w:rsid w:val="36C30F1F"/>
    <w:rsid w:val="36D56C08"/>
    <w:rsid w:val="36E70768"/>
    <w:rsid w:val="36EF1910"/>
    <w:rsid w:val="36F14E0E"/>
    <w:rsid w:val="36F34D9D"/>
    <w:rsid w:val="36FD633F"/>
    <w:rsid w:val="36FE6E76"/>
    <w:rsid w:val="370B3A5B"/>
    <w:rsid w:val="3711192B"/>
    <w:rsid w:val="372D6939"/>
    <w:rsid w:val="37450E59"/>
    <w:rsid w:val="3745652D"/>
    <w:rsid w:val="376C68FE"/>
    <w:rsid w:val="379F3DB1"/>
    <w:rsid w:val="37A67129"/>
    <w:rsid w:val="37A95636"/>
    <w:rsid w:val="37CE5A50"/>
    <w:rsid w:val="37D30788"/>
    <w:rsid w:val="37E00298"/>
    <w:rsid w:val="37E8044B"/>
    <w:rsid w:val="37F81428"/>
    <w:rsid w:val="38306DED"/>
    <w:rsid w:val="38364D45"/>
    <w:rsid w:val="383B252E"/>
    <w:rsid w:val="38427E42"/>
    <w:rsid w:val="385C4BC4"/>
    <w:rsid w:val="38724D83"/>
    <w:rsid w:val="387306F0"/>
    <w:rsid w:val="387B78CA"/>
    <w:rsid w:val="387F0BE3"/>
    <w:rsid w:val="38862621"/>
    <w:rsid w:val="388760E5"/>
    <w:rsid w:val="388B19AC"/>
    <w:rsid w:val="38A763BA"/>
    <w:rsid w:val="38AC4F89"/>
    <w:rsid w:val="38B302F9"/>
    <w:rsid w:val="38C15FDF"/>
    <w:rsid w:val="38C70290"/>
    <w:rsid w:val="38D1110E"/>
    <w:rsid w:val="38DF36FB"/>
    <w:rsid w:val="38EE329A"/>
    <w:rsid w:val="38F12CD3"/>
    <w:rsid w:val="38F7599B"/>
    <w:rsid w:val="38F94775"/>
    <w:rsid w:val="38FA53E4"/>
    <w:rsid w:val="390C4398"/>
    <w:rsid w:val="391F4474"/>
    <w:rsid w:val="392230FF"/>
    <w:rsid w:val="3926257F"/>
    <w:rsid w:val="39277747"/>
    <w:rsid w:val="392971ED"/>
    <w:rsid w:val="39325651"/>
    <w:rsid w:val="39342404"/>
    <w:rsid w:val="39351524"/>
    <w:rsid w:val="393B0FC1"/>
    <w:rsid w:val="393B7A88"/>
    <w:rsid w:val="393F22FB"/>
    <w:rsid w:val="39477AEF"/>
    <w:rsid w:val="395C11BA"/>
    <w:rsid w:val="395D40E3"/>
    <w:rsid w:val="39734323"/>
    <w:rsid w:val="39737EC8"/>
    <w:rsid w:val="397B4D2C"/>
    <w:rsid w:val="397D4DF2"/>
    <w:rsid w:val="398137B6"/>
    <w:rsid w:val="398B5761"/>
    <w:rsid w:val="399E18C7"/>
    <w:rsid w:val="39A11EF4"/>
    <w:rsid w:val="39B154C0"/>
    <w:rsid w:val="39B36DC8"/>
    <w:rsid w:val="39B44FE6"/>
    <w:rsid w:val="39BC1ADD"/>
    <w:rsid w:val="39D403DC"/>
    <w:rsid w:val="39D76BF8"/>
    <w:rsid w:val="39E75B9B"/>
    <w:rsid w:val="39E84962"/>
    <w:rsid w:val="3A1626B6"/>
    <w:rsid w:val="3A176FF5"/>
    <w:rsid w:val="3A2044C5"/>
    <w:rsid w:val="3A2679A6"/>
    <w:rsid w:val="3A2F691D"/>
    <w:rsid w:val="3A6260EA"/>
    <w:rsid w:val="3A6B651B"/>
    <w:rsid w:val="3A7901D7"/>
    <w:rsid w:val="3A872856"/>
    <w:rsid w:val="3A8A3C6B"/>
    <w:rsid w:val="3A927AD3"/>
    <w:rsid w:val="3AAC1982"/>
    <w:rsid w:val="3AC5753A"/>
    <w:rsid w:val="3AD83FD0"/>
    <w:rsid w:val="3AEE519D"/>
    <w:rsid w:val="3B042FCA"/>
    <w:rsid w:val="3B05532F"/>
    <w:rsid w:val="3B19005A"/>
    <w:rsid w:val="3B1C005F"/>
    <w:rsid w:val="3B3763D1"/>
    <w:rsid w:val="3B4D2873"/>
    <w:rsid w:val="3B576FD4"/>
    <w:rsid w:val="3B6B5968"/>
    <w:rsid w:val="3B78439C"/>
    <w:rsid w:val="3B9160FE"/>
    <w:rsid w:val="3B981DD4"/>
    <w:rsid w:val="3B9F2DF8"/>
    <w:rsid w:val="3BA01860"/>
    <w:rsid w:val="3BAA0EC7"/>
    <w:rsid w:val="3BAA3C0E"/>
    <w:rsid w:val="3BBA7D64"/>
    <w:rsid w:val="3BD91A6F"/>
    <w:rsid w:val="3BDD7356"/>
    <w:rsid w:val="3C000AA1"/>
    <w:rsid w:val="3C0246BB"/>
    <w:rsid w:val="3C2327E1"/>
    <w:rsid w:val="3C2F6E1E"/>
    <w:rsid w:val="3C3E521E"/>
    <w:rsid w:val="3C401B3A"/>
    <w:rsid w:val="3C4C649C"/>
    <w:rsid w:val="3C4F49CE"/>
    <w:rsid w:val="3C4F64BA"/>
    <w:rsid w:val="3C991F43"/>
    <w:rsid w:val="3C9B1C38"/>
    <w:rsid w:val="3CCF629A"/>
    <w:rsid w:val="3CD80613"/>
    <w:rsid w:val="3CDA245A"/>
    <w:rsid w:val="3CDB38B1"/>
    <w:rsid w:val="3CE454BE"/>
    <w:rsid w:val="3CE8111C"/>
    <w:rsid w:val="3CEB3C34"/>
    <w:rsid w:val="3CF34204"/>
    <w:rsid w:val="3CF67B10"/>
    <w:rsid w:val="3D033860"/>
    <w:rsid w:val="3D1619C3"/>
    <w:rsid w:val="3D1E06B7"/>
    <w:rsid w:val="3D226FA8"/>
    <w:rsid w:val="3D263E9D"/>
    <w:rsid w:val="3D7B3D3F"/>
    <w:rsid w:val="3D892D43"/>
    <w:rsid w:val="3D8D43A3"/>
    <w:rsid w:val="3D91297D"/>
    <w:rsid w:val="3DBC05DF"/>
    <w:rsid w:val="3DBF59D9"/>
    <w:rsid w:val="3DC079A3"/>
    <w:rsid w:val="3DC24FFD"/>
    <w:rsid w:val="3DC45EC6"/>
    <w:rsid w:val="3DCC459A"/>
    <w:rsid w:val="3DD05D97"/>
    <w:rsid w:val="3DE4551F"/>
    <w:rsid w:val="3DE92462"/>
    <w:rsid w:val="3DEC564C"/>
    <w:rsid w:val="3E023997"/>
    <w:rsid w:val="3E09134A"/>
    <w:rsid w:val="3E0C2BE9"/>
    <w:rsid w:val="3E1179B8"/>
    <w:rsid w:val="3E135E56"/>
    <w:rsid w:val="3E241CE0"/>
    <w:rsid w:val="3E242D81"/>
    <w:rsid w:val="3E2F4838"/>
    <w:rsid w:val="3E3E2941"/>
    <w:rsid w:val="3E554DF2"/>
    <w:rsid w:val="3E5977CE"/>
    <w:rsid w:val="3E5C0E7B"/>
    <w:rsid w:val="3E6056B7"/>
    <w:rsid w:val="3E6671CB"/>
    <w:rsid w:val="3E6B2235"/>
    <w:rsid w:val="3E6D7B2B"/>
    <w:rsid w:val="3E895FE7"/>
    <w:rsid w:val="3E954D99"/>
    <w:rsid w:val="3E99522E"/>
    <w:rsid w:val="3EBB3EB5"/>
    <w:rsid w:val="3EDA0523"/>
    <w:rsid w:val="3EF618CF"/>
    <w:rsid w:val="3F0729BE"/>
    <w:rsid w:val="3F3117A7"/>
    <w:rsid w:val="3F3E4777"/>
    <w:rsid w:val="3F585F31"/>
    <w:rsid w:val="3F586A68"/>
    <w:rsid w:val="3F725546"/>
    <w:rsid w:val="3F75355D"/>
    <w:rsid w:val="3F75493D"/>
    <w:rsid w:val="3F812F8E"/>
    <w:rsid w:val="3F8135E5"/>
    <w:rsid w:val="3F8F5E48"/>
    <w:rsid w:val="3F9133A5"/>
    <w:rsid w:val="3F9670E5"/>
    <w:rsid w:val="3F9865CF"/>
    <w:rsid w:val="3FAA5EF6"/>
    <w:rsid w:val="3FB2036D"/>
    <w:rsid w:val="3FB5178A"/>
    <w:rsid w:val="3FB8785C"/>
    <w:rsid w:val="3FCD67D8"/>
    <w:rsid w:val="3FDA6FEE"/>
    <w:rsid w:val="3FDD7EB2"/>
    <w:rsid w:val="40257C3A"/>
    <w:rsid w:val="402D7572"/>
    <w:rsid w:val="40376437"/>
    <w:rsid w:val="403B6C51"/>
    <w:rsid w:val="403E177F"/>
    <w:rsid w:val="405908E6"/>
    <w:rsid w:val="405B7765"/>
    <w:rsid w:val="406267CD"/>
    <w:rsid w:val="407A6407"/>
    <w:rsid w:val="407F63F1"/>
    <w:rsid w:val="40871009"/>
    <w:rsid w:val="40897C94"/>
    <w:rsid w:val="40987D1B"/>
    <w:rsid w:val="40A921C4"/>
    <w:rsid w:val="40C96EF0"/>
    <w:rsid w:val="40D05BE0"/>
    <w:rsid w:val="40D257AC"/>
    <w:rsid w:val="40E40264"/>
    <w:rsid w:val="40F0587F"/>
    <w:rsid w:val="40FE49BF"/>
    <w:rsid w:val="4105423F"/>
    <w:rsid w:val="41186283"/>
    <w:rsid w:val="411912C9"/>
    <w:rsid w:val="411A5DF3"/>
    <w:rsid w:val="411E3F63"/>
    <w:rsid w:val="41222049"/>
    <w:rsid w:val="41340CE7"/>
    <w:rsid w:val="413A2DD4"/>
    <w:rsid w:val="413E145E"/>
    <w:rsid w:val="41573B5A"/>
    <w:rsid w:val="41650DF3"/>
    <w:rsid w:val="416601B4"/>
    <w:rsid w:val="4168625C"/>
    <w:rsid w:val="41817FB9"/>
    <w:rsid w:val="41953014"/>
    <w:rsid w:val="419C377B"/>
    <w:rsid w:val="41B415CD"/>
    <w:rsid w:val="41B63EF8"/>
    <w:rsid w:val="41D1217F"/>
    <w:rsid w:val="41D61543"/>
    <w:rsid w:val="41D96653"/>
    <w:rsid w:val="41DE6D58"/>
    <w:rsid w:val="41E974A9"/>
    <w:rsid w:val="41FC55A0"/>
    <w:rsid w:val="4200449D"/>
    <w:rsid w:val="42017194"/>
    <w:rsid w:val="42134546"/>
    <w:rsid w:val="423170C2"/>
    <w:rsid w:val="423A3BCC"/>
    <w:rsid w:val="424034F3"/>
    <w:rsid w:val="4247199C"/>
    <w:rsid w:val="424E57D2"/>
    <w:rsid w:val="425177C5"/>
    <w:rsid w:val="42535317"/>
    <w:rsid w:val="425B4D4D"/>
    <w:rsid w:val="425E778D"/>
    <w:rsid w:val="426D00FA"/>
    <w:rsid w:val="427A7683"/>
    <w:rsid w:val="428E5E60"/>
    <w:rsid w:val="42923C28"/>
    <w:rsid w:val="429338D8"/>
    <w:rsid w:val="42AA5F72"/>
    <w:rsid w:val="42B26C49"/>
    <w:rsid w:val="42BE7D53"/>
    <w:rsid w:val="42C53701"/>
    <w:rsid w:val="42CB6967"/>
    <w:rsid w:val="42CC0B85"/>
    <w:rsid w:val="42EB3BFA"/>
    <w:rsid w:val="42F32B61"/>
    <w:rsid w:val="42F36D96"/>
    <w:rsid w:val="42F97BDF"/>
    <w:rsid w:val="42FD2B88"/>
    <w:rsid w:val="43016A94"/>
    <w:rsid w:val="4309153A"/>
    <w:rsid w:val="430B5EE6"/>
    <w:rsid w:val="43156472"/>
    <w:rsid w:val="43291499"/>
    <w:rsid w:val="4331237A"/>
    <w:rsid w:val="433A6FE6"/>
    <w:rsid w:val="43424323"/>
    <w:rsid w:val="43454BD3"/>
    <w:rsid w:val="43480868"/>
    <w:rsid w:val="434D1CD9"/>
    <w:rsid w:val="4350713C"/>
    <w:rsid w:val="43544906"/>
    <w:rsid w:val="435C3154"/>
    <w:rsid w:val="436653E0"/>
    <w:rsid w:val="436E5739"/>
    <w:rsid w:val="43855488"/>
    <w:rsid w:val="439461BD"/>
    <w:rsid w:val="439766B8"/>
    <w:rsid w:val="439B1CB6"/>
    <w:rsid w:val="439C0BAE"/>
    <w:rsid w:val="43B22C20"/>
    <w:rsid w:val="43C33809"/>
    <w:rsid w:val="43C4431A"/>
    <w:rsid w:val="43EF0FE2"/>
    <w:rsid w:val="43F959BD"/>
    <w:rsid w:val="43FB3129"/>
    <w:rsid w:val="43FE4446"/>
    <w:rsid w:val="44005FA5"/>
    <w:rsid w:val="44106D5E"/>
    <w:rsid w:val="4419465E"/>
    <w:rsid w:val="442425F7"/>
    <w:rsid w:val="443A23C3"/>
    <w:rsid w:val="444F55DD"/>
    <w:rsid w:val="4450512E"/>
    <w:rsid w:val="446E0AB0"/>
    <w:rsid w:val="44765B13"/>
    <w:rsid w:val="447E222D"/>
    <w:rsid w:val="448C6831"/>
    <w:rsid w:val="4496320C"/>
    <w:rsid w:val="44A967D6"/>
    <w:rsid w:val="44AE0556"/>
    <w:rsid w:val="44AE6817"/>
    <w:rsid w:val="44B07546"/>
    <w:rsid w:val="44B951CC"/>
    <w:rsid w:val="44BC4CA7"/>
    <w:rsid w:val="44C935E1"/>
    <w:rsid w:val="44CD14E0"/>
    <w:rsid w:val="44CE2158"/>
    <w:rsid w:val="44E50F6B"/>
    <w:rsid w:val="44EB79FC"/>
    <w:rsid w:val="44EC1B24"/>
    <w:rsid w:val="44F170C6"/>
    <w:rsid w:val="44F20B0B"/>
    <w:rsid w:val="450B5747"/>
    <w:rsid w:val="452E5F4C"/>
    <w:rsid w:val="45335887"/>
    <w:rsid w:val="45392515"/>
    <w:rsid w:val="45612018"/>
    <w:rsid w:val="45620E17"/>
    <w:rsid w:val="456D6663"/>
    <w:rsid w:val="457102F0"/>
    <w:rsid w:val="45716C5C"/>
    <w:rsid w:val="45724054"/>
    <w:rsid w:val="45767486"/>
    <w:rsid w:val="45825B38"/>
    <w:rsid w:val="458946E9"/>
    <w:rsid w:val="45A47C0E"/>
    <w:rsid w:val="45B33934"/>
    <w:rsid w:val="45BB5620"/>
    <w:rsid w:val="45BD0FF5"/>
    <w:rsid w:val="45BF33C7"/>
    <w:rsid w:val="45CC785F"/>
    <w:rsid w:val="45D822F8"/>
    <w:rsid w:val="45E73FCE"/>
    <w:rsid w:val="45F132E4"/>
    <w:rsid w:val="45F5160D"/>
    <w:rsid w:val="460348D1"/>
    <w:rsid w:val="460639CB"/>
    <w:rsid w:val="46075DC5"/>
    <w:rsid w:val="460F0DBF"/>
    <w:rsid w:val="46113314"/>
    <w:rsid w:val="46284338"/>
    <w:rsid w:val="46425296"/>
    <w:rsid w:val="464651C9"/>
    <w:rsid w:val="46471C94"/>
    <w:rsid w:val="46474506"/>
    <w:rsid w:val="465313B5"/>
    <w:rsid w:val="46577FD6"/>
    <w:rsid w:val="46584C1D"/>
    <w:rsid w:val="46631B9C"/>
    <w:rsid w:val="46690740"/>
    <w:rsid w:val="466B1152"/>
    <w:rsid w:val="466D40DF"/>
    <w:rsid w:val="46805F22"/>
    <w:rsid w:val="46A87156"/>
    <w:rsid w:val="46B5206F"/>
    <w:rsid w:val="46D955A7"/>
    <w:rsid w:val="46EC6145"/>
    <w:rsid w:val="46EF319A"/>
    <w:rsid w:val="46F661E4"/>
    <w:rsid w:val="47064679"/>
    <w:rsid w:val="47133957"/>
    <w:rsid w:val="472E3796"/>
    <w:rsid w:val="47322E46"/>
    <w:rsid w:val="475C7306"/>
    <w:rsid w:val="47707C60"/>
    <w:rsid w:val="4771705C"/>
    <w:rsid w:val="47772C99"/>
    <w:rsid w:val="47866C1C"/>
    <w:rsid w:val="478B5D9F"/>
    <w:rsid w:val="479B4537"/>
    <w:rsid w:val="47A07E0C"/>
    <w:rsid w:val="47BF006E"/>
    <w:rsid w:val="47C750BC"/>
    <w:rsid w:val="47CF6BC5"/>
    <w:rsid w:val="47F20966"/>
    <w:rsid w:val="48030E30"/>
    <w:rsid w:val="480A4DA7"/>
    <w:rsid w:val="4811293B"/>
    <w:rsid w:val="48127FEB"/>
    <w:rsid w:val="481C6B5B"/>
    <w:rsid w:val="481D7ECC"/>
    <w:rsid w:val="48315726"/>
    <w:rsid w:val="483259FD"/>
    <w:rsid w:val="483F73B5"/>
    <w:rsid w:val="48466E34"/>
    <w:rsid w:val="484A0842"/>
    <w:rsid w:val="48532586"/>
    <w:rsid w:val="48646D25"/>
    <w:rsid w:val="48691363"/>
    <w:rsid w:val="4870272E"/>
    <w:rsid w:val="48880D4A"/>
    <w:rsid w:val="48882CEE"/>
    <w:rsid w:val="489F6C43"/>
    <w:rsid w:val="48AE321A"/>
    <w:rsid w:val="48B14F71"/>
    <w:rsid w:val="48C63C48"/>
    <w:rsid w:val="48C818EA"/>
    <w:rsid w:val="48DB11F5"/>
    <w:rsid w:val="48F95143"/>
    <w:rsid w:val="491E0B8E"/>
    <w:rsid w:val="49200952"/>
    <w:rsid w:val="49283440"/>
    <w:rsid w:val="49417BEA"/>
    <w:rsid w:val="49461C42"/>
    <w:rsid w:val="49584079"/>
    <w:rsid w:val="495D7D5E"/>
    <w:rsid w:val="496F0BFB"/>
    <w:rsid w:val="49706721"/>
    <w:rsid w:val="49725FF6"/>
    <w:rsid w:val="49753687"/>
    <w:rsid w:val="49843F7B"/>
    <w:rsid w:val="499107CF"/>
    <w:rsid w:val="49974CAD"/>
    <w:rsid w:val="499D1F90"/>
    <w:rsid w:val="49A44FE3"/>
    <w:rsid w:val="49AD34D2"/>
    <w:rsid w:val="49D27447"/>
    <w:rsid w:val="49DC7715"/>
    <w:rsid w:val="49DC7FA8"/>
    <w:rsid w:val="49E75510"/>
    <w:rsid w:val="49F171F8"/>
    <w:rsid w:val="49F34F94"/>
    <w:rsid w:val="49F65CD1"/>
    <w:rsid w:val="4A002FC3"/>
    <w:rsid w:val="4A023139"/>
    <w:rsid w:val="4A104207"/>
    <w:rsid w:val="4A153686"/>
    <w:rsid w:val="4A30678E"/>
    <w:rsid w:val="4A3178E7"/>
    <w:rsid w:val="4A4141CC"/>
    <w:rsid w:val="4A531B36"/>
    <w:rsid w:val="4A782EE4"/>
    <w:rsid w:val="4A7B576F"/>
    <w:rsid w:val="4A837617"/>
    <w:rsid w:val="4A87327F"/>
    <w:rsid w:val="4A8C7469"/>
    <w:rsid w:val="4A9E5E94"/>
    <w:rsid w:val="4AC2710C"/>
    <w:rsid w:val="4AE05CA3"/>
    <w:rsid w:val="4AE969E2"/>
    <w:rsid w:val="4AF42423"/>
    <w:rsid w:val="4AF561A9"/>
    <w:rsid w:val="4AFF5FAF"/>
    <w:rsid w:val="4B08477A"/>
    <w:rsid w:val="4B101B9E"/>
    <w:rsid w:val="4B127A52"/>
    <w:rsid w:val="4B156D8C"/>
    <w:rsid w:val="4B1F6935"/>
    <w:rsid w:val="4B2B5001"/>
    <w:rsid w:val="4B352101"/>
    <w:rsid w:val="4B370C82"/>
    <w:rsid w:val="4B5B113B"/>
    <w:rsid w:val="4B6B5250"/>
    <w:rsid w:val="4B6D71B2"/>
    <w:rsid w:val="4B773D97"/>
    <w:rsid w:val="4B8529A6"/>
    <w:rsid w:val="4B901B37"/>
    <w:rsid w:val="4B992E04"/>
    <w:rsid w:val="4BA77E1E"/>
    <w:rsid w:val="4BC13264"/>
    <w:rsid w:val="4BC92236"/>
    <w:rsid w:val="4BEB20C7"/>
    <w:rsid w:val="4BF70A34"/>
    <w:rsid w:val="4BFA20C2"/>
    <w:rsid w:val="4C0F3FD0"/>
    <w:rsid w:val="4C3078F4"/>
    <w:rsid w:val="4C386C8D"/>
    <w:rsid w:val="4C3F29E6"/>
    <w:rsid w:val="4C4A0649"/>
    <w:rsid w:val="4C561281"/>
    <w:rsid w:val="4C6963D4"/>
    <w:rsid w:val="4C76404F"/>
    <w:rsid w:val="4C7E1178"/>
    <w:rsid w:val="4C7E5ECA"/>
    <w:rsid w:val="4C86427C"/>
    <w:rsid w:val="4C876AA5"/>
    <w:rsid w:val="4C8E39E2"/>
    <w:rsid w:val="4C917DBF"/>
    <w:rsid w:val="4C9269AF"/>
    <w:rsid w:val="4C935DA3"/>
    <w:rsid w:val="4CA6069E"/>
    <w:rsid w:val="4CB01AD9"/>
    <w:rsid w:val="4CB1000B"/>
    <w:rsid w:val="4CC0225D"/>
    <w:rsid w:val="4CCC5E39"/>
    <w:rsid w:val="4CE313DC"/>
    <w:rsid w:val="4CE77990"/>
    <w:rsid w:val="4CED51D5"/>
    <w:rsid w:val="4CEE19AB"/>
    <w:rsid w:val="4CFD207A"/>
    <w:rsid w:val="4D094EAC"/>
    <w:rsid w:val="4D0B1ED4"/>
    <w:rsid w:val="4D0E00FB"/>
    <w:rsid w:val="4D176606"/>
    <w:rsid w:val="4D2260A2"/>
    <w:rsid w:val="4D275349"/>
    <w:rsid w:val="4D2C1A4D"/>
    <w:rsid w:val="4D3C194D"/>
    <w:rsid w:val="4D3C3D05"/>
    <w:rsid w:val="4D626317"/>
    <w:rsid w:val="4D63648B"/>
    <w:rsid w:val="4D776DA4"/>
    <w:rsid w:val="4D832852"/>
    <w:rsid w:val="4D92310A"/>
    <w:rsid w:val="4D9724CF"/>
    <w:rsid w:val="4D9B2E74"/>
    <w:rsid w:val="4DBF2F0A"/>
    <w:rsid w:val="4DE33966"/>
    <w:rsid w:val="4DEC4FB0"/>
    <w:rsid w:val="4DED0E5A"/>
    <w:rsid w:val="4DED38FD"/>
    <w:rsid w:val="4DF52447"/>
    <w:rsid w:val="4E075D8A"/>
    <w:rsid w:val="4E0A177F"/>
    <w:rsid w:val="4E0C5424"/>
    <w:rsid w:val="4E151983"/>
    <w:rsid w:val="4E292CC3"/>
    <w:rsid w:val="4E3F1DA0"/>
    <w:rsid w:val="4E406489"/>
    <w:rsid w:val="4E5B3560"/>
    <w:rsid w:val="4E681E95"/>
    <w:rsid w:val="4E771C63"/>
    <w:rsid w:val="4E801CD9"/>
    <w:rsid w:val="4E94445B"/>
    <w:rsid w:val="4EA81539"/>
    <w:rsid w:val="4EAE1C6F"/>
    <w:rsid w:val="4EB21E9E"/>
    <w:rsid w:val="4EB73025"/>
    <w:rsid w:val="4EBE3A8B"/>
    <w:rsid w:val="4EC00FAD"/>
    <w:rsid w:val="4EC57303"/>
    <w:rsid w:val="4EDD5024"/>
    <w:rsid w:val="4EE80B08"/>
    <w:rsid w:val="4F0A02FB"/>
    <w:rsid w:val="4F25137B"/>
    <w:rsid w:val="4F2A7341"/>
    <w:rsid w:val="4F2F4ABE"/>
    <w:rsid w:val="4F391F5E"/>
    <w:rsid w:val="4F3B5D6E"/>
    <w:rsid w:val="4F3D380D"/>
    <w:rsid w:val="4F3E57BE"/>
    <w:rsid w:val="4F4440D3"/>
    <w:rsid w:val="4F5A5825"/>
    <w:rsid w:val="4F8C3B89"/>
    <w:rsid w:val="4F9843DC"/>
    <w:rsid w:val="4FA2360D"/>
    <w:rsid w:val="4FC62A8C"/>
    <w:rsid w:val="4FDF1FB1"/>
    <w:rsid w:val="4FE20F0D"/>
    <w:rsid w:val="4FE51552"/>
    <w:rsid w:val="4FF078F9"/>
    <w:rsid w:val="4FF450E6"/>
    <w:rsid w:val="500C7A62"/>
    <w:rsid w:val="501564BF"/>
    <w:rsid w:val="501B1247"/>
    <w:rsid w:val="502436A2"/>
    <w:rsid w:val="5028099F"/>
    <w:rsid w:val="503B40AD"/>
    <w:rsid w:val="50483F54"/>
    <w:rsid w:val="50504C4B"/>
    <w:rsid w:val="505A64D0"/>
    <w:rsid w:val="507B75D2"/>
    <w:rsid w:val="507D3D9C"/>
    <w:rsid w:val="508414A0"/>
    <w:rsid w:val="5086630E"/>
    <w:rsid w:val="509251CF"/>
    <w:rsid w:val="509C6E7C"/>
    <w:rsid w:val="50A06F09"/>
    <w:rsid w:val="50A2316A"/>
    <w:rsid w:val="50A7524B"/>
    <w:rsid w:val="50B25365"/>
    <w:rsid w:val="50B9199C"/>
    <w:rsid w:val="50EA06A7"/>
    <w:rsid w:val="50F413DD"/>
    <w:rsid w:val="50F64F1D"/>
    <w:rsid w:val="51065647"/>
    <w:rsid w:val="510A2FB8"/>
    <w:rsid w:val="510B5A62"/>
    <w:rsid w:val="51242E37"/>
    <w:rsid w:val="513D513B"/>
    <w:rsid w:val="514447B0"/>
    <w:rsid w:val="514E739A"/>
    <w:rsid w:val="51572BFD"/>
    <w:rsid w:val="516170BA"/>
    <w:rsid w:val="5162104E"/>
    <w:rsid w:val="516B3D61"/>
    <w:rsid w:val="51760CEE"/>
    <w:rsid w:val="518014CC"/>
    <w:rsid w:val="51817ADA"/>
    <w:rsid w:val="51852AB1"/>
    <w:rsid w:val="518A4A2F"/>
    <w:rsid w:val="51900003"/>
    <w:rsid w:val="51925A27"/>
    <w:rsid w:val="519C513B"/>
    <w:rsid w:val="51AA24AB"/>
    <w:rsid w:val="51B521BC"/>
    <w:rsid w:val="51B92E34"/>
    <w:rsid w:val="51C4667D"/>
    <w:rsid w:val="51D10798"/>
    <w:rsid w:val="51E7471B"/>
    <w:rsid w:val="51EA50B1"/>
    <w:rsid w:val="5202523B"/>
    <w:rsid w:val="520F2497"/>
    <w:rsid w:val="52187956"/>
    <w:rsid w:val="522307D5"/>
    <w:rsid w:val="522A0365"/>
    <w:rsid w:val="524022BE"/>
    <w:rsid w:val="52455D32"/>
    <w:rsid w:val="5248023B"/>
    <w:rsid w:val="526A2BA7"/>
    <w:rsid w:val="526C6745"/>
    <w:rsid w:val="5295795B"/>
    <w:rsid w:val="52A06C77"/>
    <w:rsid w:val="52B315EC"/>
    <w:rsid w:val="52B91E35"/>
    <w:rsid w:val="52B9215C"/>
    <w:rsid w:val="52D641A6"/>
    <w:rsid w:val="52DA6749"/>
    <w:rsid w:val="52F42171"/>
    <w:rsid w:val="52FB52AE"/>
    <w:rsid w:val="53087A9C"/>
    <w:rsid w:val="530C5021"/>
    <w:rsid w:val="533047B8"/>
    <w:rsid w:val="53306F9D"/>
    <w:rsid w:val="53464306"/>
    <w:rsid w:val="5352510C"/>
    <w:rsid w:val="53613309"/>
    <w:rsid w:val="53662C69"/>
    <w:rsid w:val="5366661E"/>
    <w:rsid w:val="53727988"/>
    <w:rsid w:val="53746E0E"/>
    <w:rsid w:val="538962C3"/>
    <w:rsid w:val="538F1672"/>
    <w:rsid w:val="53992091"/>
    <w:rsid w:val="53A039CC"/>
    <w:rsid w:val="53A1505A"/>
    <w:rsid w:val="53CA1459"/>
    <w:rsid w:val="53E534E0"/>
    <w:rsid w:val="53FF2E7B"/>
    <w:rsid w:val="54063E08"/>
    <w:rsid w:val="54163E55"/>
    <w:rsid w:val="54264447"/>
    <w:rsid w:val="543437E8"/>
    <w:rsid w:val="5436359E"/>
    <w:rsid w:val="543F794D"/>
    <w:rsid w:val="544F6DE0"/>
    <w:rsid w:val="5457189A"/>
    <w:rsid w:val="545A1FF0"/>
    <w:rsid w:val="545C2B71"/>
    <w:rsid w:val="545C5C67"/>
    <w:rsid w:val="546533AA"/>
    <w:rsid w:val="54663EA5"/>
    <w:rsid w:val="547153CD"/>
    <w:rsid w:val="547571D3"/>
    <w:rsid w:val="54795557"/>
    <w:rsid w:val="547E59F8"/>
    <w:rsid w:val="547F4B0F"/>
    <w:rsid w:val="549B49B6"/>
    <w:rsid w:val="54A52790"/>
    <w:rsid w:val="54B5148C"/>
    <w:rsid w:val="54CC25C1"/>
    <w:rsid w:val="54D9517B"/>
    <w:rsid w:val="54F73313"/>
    <w:rsid w:val="54F80955"/>
    <w:rsid w:val="55124A55"/>
    <w:rsid w:val="551D3A8B"/>
    <w:rsid w:val="551F6B7E"/>
    <w:rsid w:val="552560A4"/>
    <w:rsid w:val="55311255"/>
    <w:rsid w:val="55356D0B"/>
    <w:rsid w:val="55371DDA"/>
    <w:rsid w:val="555170A7"/>
    <w:rsid w:val="55603AEE"/>
    <w:rsid w:val="556212EC"/>
    <w:rsid w:val="5564238C"/>
    <w:rsid w:val="5577067E"/>
    <w:rsid w:val="5587536D"/>
    <w:rsid w:val="55916554"/>
    <w:rsid w:val="559747ED"/>
    <w:rsid w:val="559B174B"/>
    <w:rsid w:val="559E5797"/>
    <w:rsid w:val="55B5364C"/>
    <w:rsid w:val="55CE0CF4"/>
    <w:rsid w:val="55F43710"/>
    <w:rsid w:val="560B209B"/>
    <w:rsid w:val="562130F8"/>
    <w:rsid w:val="56433142"/>
    <w:rsid w:val="56491CFD"/>
    <w:rsid w:val="564927D4"/>
    <w:rsid w:val="5654060E"/>
    <w:rsid w:val="566E483D"/>
    <w:rsid w:val="56772101"/>
    <w:rsid w:val="569315DB"/>
    <w:rsid w:val="56B22A9C"/>
    <w:rsid w:val="56C009DE"/>
    <w:rsid w:val="56CE2B01"/>
    <w:rsid w:val="56DE7BE2"/>
    <w:rsid w:val="57004C7A"/>
    <w:rsid w:val="57147361"/>
    <w:rsid w:val="572355B2"/>
    <w:rsid w:val="57297C8B"/>
    <w:rsid w:val="573D472C"/>
    <w:rsid w:val="576B16A8"/>
    <w:rsid w:val="576B35D3"/>
    <w:rsid w:val="5791722E"/>
    <w:rsid w:val="579D2226"/>
    <w:rsid w:val="57A47FF6"/>
    <w:rsid w:val="57AE68B4"/>
    <w:rsid w:val="57B10A81"/>
    <w:rsid w:val="57B72A76"/>
    <w:rsid w:val="57B94971"/>
    <w:rsid w:val="57B94BE2"/>
    <w:rsid w:val="57BA7212"/>
    <w:rsid w:val="57BB3877"/>
    <w:rsid w:val="57C3426C"/>
    <w:rsid w:val="57CE1F93"/>
    <w:rsid w:val="57D4431F"/>
    <w:rsid w:val="57DA74D5"/>
    <w:rsid w:val="57E54A78"/>
    <w:rsid w:val="57F16679"/>
    <w:rsid w:val="57F20685"/>
    <w:rsid w:val="57FC57DB"/>
    <w:rsid w:val="5814296E"/>
    <w:rsid w:val="58342246"/>
    <w:rsid w:val="58554656"/>
    <w:rsid w:val="585A7D6B"/>
    <w:rsid w:val="58671210"/>
    <w:rsid w:val="588743D1"/>
    <w:rsid w:val="5887701A"/>
    <w:rsid w:val="588D4E2A"/>
    <w:rsid w:val="58A37C2B"/>
    <w:rsid w:val="58C61C3A"/>
    <w:rsid w:val="58C7422F"/>
    <w:rsid w:val="58D87E7E"/>
    <w:rsid w:val="58FF0397"/>
    <w:rsid w:val="59075498"/>
    <w:rsid w:val="5907661B"/>
    <w:rsid w:val="590D32F7"/>
    <w:rsid w:val="59264862"/>
    <w:rsid w:val="59287B0F"/>
    <w:rsid w:val="592919F3"/>
    <w:rsid w:val="592F5CB1"/>
    <w:rsid w:val="5940537B"/>
    <w:rsid w:val="59411541"/>
    <w:rsid w:val="596D68F5"/>
    <w:rsid w:val="597162CA"/>
    <w:rsid w:val="598D2EB8"/>
    <w:rsid w:val="59926B8C"/>
    <w:rsid w:val="599746BF"/>
    <w:rsid w:val="59A61881"/>
    <w:rsid w:val="59AB5BC0"/>
    <w:rsid w:val="59AC66B2"/>
    <w:rsid w:val="59B71030"/>
    <w:rsid w:val="59C0439F"/>
    <w:rsid w:val="59C63F80"/>
    <w:rsid w:val="59C671C0"/>
    <w:rsid w:val="59D060B0"/>
    <w:rsid w:val="59F26D7E"/>
    <w:rsid w:val="5A026A7C"/>
    <w:rsid w:val="5A095AE7"/>
    <w:rsid w:val="5A1F7FD2"/>
    <w:rsid w:val="5A28298D"/>
    <w:rsid w:val="5A3D5A4E"/>
    <w:rsid w:val="5A543E35"/>
    <w:rsid w:val="5A593E7A"/>
    <w:rsid w:val="5A6029F1"/>
    <w:rsid w:val="5A690445"/>
    <w:rsid w:val="5A714597"/>
    <w:rsid w:val="5A773B54"/>
    <w:rsid w:val="5A9730D1"/>
    <w:rsid w:val="5A9A1D59"/>
    <w:rsid w:val="5A9B0079"/>
    <w:rsid w:val="5AAD72D6"/>
    <w:rsid w:val="5ABE2233"/>
    <w:rsid w:val="5AD53671"/>
    <w:rsid w:val="5ADD134B"/>
    <w:rsid w:val="5AE12FDB"/>
    <w:rsid w:val="5AE77486"/>
    <w:rsid w:val="5AE9542F"/>
    <w:rsid w:val="5AFC4A5C"/>
    <w:rsid w:val="5B0758B0"/>
    <w:rsid w:val="5B1B42F3"/>
    <w:rsid w:val="5B266C40"/>
    <w:rsid w:val="5B2D7C32"/>
    <w:rsid w:val="5B3F6809"/>
    <w:rsid w:val="5B6F4DC9"/>
    <w:rsid w:val="5B7D0ABB"/>
    <w:rsid w:val="5B8555F6"/>
    <w:rsid w:val="5B9354D3"/>
    <w:rsid w:val="5B9B50BB"/>
    <w:rsid w:val="5BA03FA1"/>
    <w:rsid w:val="5BA45ACA"/>
    <w:rsid w:val="5BBE2E70"/>
    <w:rsid w:val="5BBE50CA"/>
    <w:rsid w:val="5BC1147D"/>
    <w:rsid w:val="5BC76675"/>
    <w:rsid w:val="5BCF015D"/>
    <w:rsid w:val="5BDF5D95"/>
    <w:rsid w:val="5BEA7B98"/>
    <w:rsid w:val="5BFE7528"/>
    <w:rsid w:val="5C1005A0"/>
    <w:rsid w:val="5C103F57"/>
    <w:rsid w:val="5C1732FF"/>
    <w:rsid w:val="5C1B305D"/>
    <w:rsid w:val="5C2018E1"/>
    <w:rsid w:val="5C281A46"/>
    <w:rsid w:val="5C282848"/>
    <w:rsid w:val="5C2D1A67"/>
    <w:rsid w:val="5C307EC8"/>
    <w:rsid w:val="5C42334D"/>
    <w:rsid w:val="5C436B59"/>
    <w:rsid w:val="5C4D1F01"/>
    <w:rsid w:val="5C4F0906"/>
    <w:rsid w:val="5C577E15"/>
    <w:rsid w:val="5C630009"/>
    <w:rsid w:val="5C7406D5"/>
    <w:rsid w:val="5C796BBD"/>
    <w:rsid w:val="5C7B7847"/>
    <w:rsid w:val="5C8624C4"/>
    <w:rsid w:val="5C98591B"/>
    <w:rsid w:val="5CA314C8"/>
    <w:rsid w:val="5CAC724A"/>
    <w:rsid w:val="5CD72295"/>
    <w:rsid w:val="5CEA6800"/>
    <w:rsid w:val="5CF879ED"/>
    <w:rsid w:val="5CFB0E86"/>
    <w:rsid w:val="5D0E5BDE"/>
    <w:rsid w:val="5D414B26"/>
    <w:rsid w:val="5D415FB3"/>
    <w:rsid w:val="5D586AB3"/>
    <w:rsid w:val="5D740D7D"/>
    <w:rsid w:val="5D746963"/>
    <w:rsid w:val="5D7D7F0B"/>
    <w:rsid w:val="5D8F6B77"/>
    <w:rsid w:val="5D8F6D1E"/>
    <w:rsid w:val="5D927B2A"/>
    <w:rsid w:val="5DA76197"/>
    <w:rsid w:val="5DAE3B04"/>
    <w:rsid w:val="5DB7095E"/>
    <w:rsid w:val="5DB94823"/>
    <w:rsid w:val="5DD2537E"/>
    <w:rsid w:val="5DD970EE"/>
    <w:rsid w:val="5DE81C20"/>
    <w:rsid w:val="5DEA21A7"/>
    <w:rsid w:val="5DEC5CF5"/>
    <w:rsid w:val="5DF022C8"/>
    <w:rsid w:val="5DF836E0"/>
    <w:rsid w:val="5E0639D5"/>
    <w:rsid w:val="5E0A6232"/>
    <w:rsid w:val="5E2467F1"/>
    <w:rsid w:val="5E24689E"/>
    <w:rsid w:val="5E2E777E"/>
    <w:rsid w:val="5E3F1A4D"/>
    <w:rsid w:val="5E524E52"/>
    <w:rsid w:val="5E673B90"/>
    <w:rsid w:val="5E6F431A"/>
    <w:rsid w:val="5E7359CB"/>
    <w:rsid w:val="5E785A05"/>
    <w:rsid w:val="5E7A1A48"/>
    <w:rsid w:val="5E7F3465"/>
    <w:rsid w:val="5E8029B8"/>
    <w:rsid w:val="5E9978C4"/>
    <w:rsid w:val="5EA66A16"/>
    <w:rsid w:val="5EA976A1"/>
    <w:rsid w:val="5EB231FE"/>
    <w:rsid w:val="5EB7311E"/>
    <w:rsid w:val="5EBB593A"/>
    <w:rsid w:val="5EBF3633"/>
    <w:rsid w:val="5EC74A70"/>
    <w:rsid w:val="5ECA3D86"/>
    <w:rsid w:val="5EE4609C"/>
    <w:rsid w:val="5EEB48B7"/>
    <w:rsid w:val="5EF12FA5"/>
    <w:rsid w:val="5F0A4CF2"/>
    <w:rsid w:val="5F1119B5"/>
    <w:rsid w:val="5F1466A2"/>
    <w:rsid w:val="5F180F96"/>
    <w:rsid w:val="5F1A2B43"/>
    <w:rsid w:val="5F332E27"/>
    <w:rsid w:val="5F4179E1"/>
    <w:rsid w:val="5F4D122D"/>
    <w:rsid w:val="5F5E602E"/>
    <w:rsid w:val="5F6071CC"/>
    <w:rsid w:val="5F7C1100"/>
    <w:rsid w:val="5FB837BB"/>
    <w:rsid w:val="5FBF2771"/>
    <w:rsid w:val="5FD703C0"/>
    <w:rsid w:val="5FE34E8A"/>
    <w:rsid w:val="5FEA54BF"/>
    <w:rsid w:val="5FEB2206"/>
    <w:rsid w:val="5FEB3D54"/>
    <w:rsid w:val="5FEE3E15"/>
    <w:rsid w:val="5FEF71E0"/>
    <w:rsid w:val="60220FA6"/>
    <w:rsid w:val="60234096"/>
    <w:rsid w:val="602F6597"/>
    <w:rsid w:val="60362996"/>
    <w:rsid w:val="603F31FC"/>
    <w:rsid w:val="6046338E"/>
    <w:rsid w:val="604D741A"/>
    <w:rsid w:val="60610ABE"/>
    <w:rsid w:val="6061247B"/>
    <w:rsid w:val="606A5A80"/>
    <w:rsid w:val="60802D94"/>
    <w:rsid w:val="609046E9"/>
    <w:rsid w:val="60A72C5D"/>
    <w:rsid w:val="60A96349"/>
    <w:rsid w:val="60AB44A9"/>
    <w:rsid w:val="60C8611C"/>
    <w:rsid w:val="60CC405A"/>
    <w:rsid w:val="60D11D6F"/>
    <w:rsid w:val="60DF3F1A"/>
    <w:rsid w:val="60E41662"/>
    <w:rsid w:val="60E530F9"/>
    <w:rsid w:val="60F9500E"/>
    <w:rsid w:val="61071918"/>
    <w:rsid w:val="6107535B"/>
    <w:rsid w:val="610C6779"/>
    <w:rsid w:val="611C2813"/>
    <w:rsid w:val="611F6F3D"/>
    <w:rsid w:val="61342455"/>
    <w:rsid w:val="61421C10"/>
    <w:rsid w:val="61451319"/>
    <w:rsid w:val="614A2294"/>
    <w:rsid w:val="61742632"/>
    <w:rsid w:val="617F0B87"/>
    <w:rsid w:val="61814121"/>
    <w:rsid w:val="61900069"/>
    <w:rsid w:val="61952D71"/>
    <w:rsid w:val="619F3565"/>
    <w:rsid w:val="61D70C94"/>
    <w:rsid w:val="61D930FF"/>
    <w:rsid w:val="61DA53C6"/>
    <w:rsid w:val="61E215D8"/>
    <w:rsid w:val="61E748DD"/>
    <w:rsid w:val="61ED72A2"/>
    <w:rsid w:val="61F331FC"/>
    <w:rsid w:val="620E233A"/>
    <w:rsid w:val="621B3775"/>
    <w:rsid w:val="62364782"/>
    <w:rsid w:val="6236783E"/>
    <w:rsid w:val="624803BE"/>
    <w:rsid w:val="624D6028"/>
    <w:rsid w:val="625A63D8"/>
    <w:rsid w:val="625E6616"/>
    <w:rsid w:val="626C53C9"/>
    <w:rsid w:val="62714F42"/>
    <w:rsid w:val="62792EC3"/>
    <w:rsid w:val="627A1C89"/>
    <w:rsid w:val="62831765"/>
    <w:rsid w:val="62A7287B"/>
    <w:rsid w:val="62B504B8"/>
    <w:rsid w:val="62BA1FB9"/>
    <w:rsid w:val="62C54F90"/>
    <w:rsid w:val="62E53D85"/>
    <w:rsid w:val="62EE1EAF"/>
    <w:rsid w:val="62EF58E5"/>
    <w:rsid w:val="62F17D3F"/>
    <w:rsid w:val="62FD2201"/>
    <w:rsid w:val="63096E1F"/>
    <w:rsid w:val="63153611"/>
    <w:rsid w:val="632553CC"/>
    <w:rsid w:val="632D7594"/>
    <w:rsid w:val="63506D9A"/>
    <w:rsid w:val="63574534"/>
    <w:rsid w:val="635C01C0"/>
    <w:rsid w:val="635C27BC"/>
    <w:rsid w:val="6368762F"/>
    <w:rsid w:val="636B7DB0"/>
    <w:rsid w:val="6387078A"/>
    <w:rsid w:val="63936F94"/>
    <w:rsid w:val="6394356A"/>
    <w:rsid w:val="639D5F0D"/>
    <w:rsid w:val="639F79E7"/>
    <w:rsid w:val="63A91A74"/>
    <w:rsid w:val="63B53257"/>
    <w:rsid w:val="63C61B2C"/>
    <w:rsid w:val="63D354F9"/>
    <w:rsid w:val="63D40BE9"/>
    <w:rsid w:val="64102431"/>
    <w:rsid w:val="642360A1"/>
    <w:rsid w:val="64371EBE"/>
    <w:rsid w:val="64384B53"/>
    <w:rsid w:val="643A6481"/>
    <w:rsid w:val="64521EF6"/>
    <w:rsid w:val="646147C9"/>
    <w:rsid w:val="646500EB"/>
    <w:rsid w:val="64670A4D"/>
    <w:rsid w:val="646808EA"/>
    <w:rsid w:val="647829C0"/>
    <w:rsid w:val="647D7AE1"/>
    <w:rsid w:val="649B244D"/>
    <w:rsid w:val="64A5243A"/>
    <w:rsid w:val="64A74857"/>
    <w:rsid w:val="64AA0503"/>
    <w:rsid w:val="64C76F07"/>
    <w:rsid w:val="64DF14C9"/>
    <w:rsid w:val="64F531DE"/>
    <w:rsid w:val="64F733FB"/>
    <w:rsid w:val="64FD442E"/>
    <w:rsid w:val="651B533C"/>
    <w:rsid w:val="6527465B"/>
    <w:rsid w:val="65373578"/>
    <w:rsid w:val="654778A5"/>
    <w:rsid w:val="654D4A8A"/>
    <w:rsid w:val="6578453C"/>
    <w:rsid w:val="65892E73"/>
    <w:rsid w:val="65913850"/>
    <w:rsid w:val="65B84DA6"/>
    <w:rsid w:val="65D23F1B"/>
    <w:rsid w:val="65D61E7B"/>
    <w:rsid w:val="65D63464"/>
    <w:rsid w:val="65E25CC5"/>
    <w:rsid w:val="65EF05AF"/>
    <w:rsid w:val="65F71905"/>
    <w:rsid w:val="66000C46"/>
    <w:rsid w:val="662C247A"/>
    <w:rsid w:val="66326EDF"/>
    <w:rsid w:val="66491D7F"/>
    <w:rsid w:val="666135C9"/>
    <w:rsid w:val="66645AD8"/>
    <w:rsid w:val="666557B4"/>
    <w:rsid w:val="668313EA"/>
    <w:rsid w:val="66A55805"/>
    <w:rsid w:val="66B02D6E"/>
    <w:rsid w:val="66B141AA"/>
    <w:rsid w:val="66B9077C"/>
    <w:rsid w:val="66BE4483"/>
    <w:rsid w:val="66BE68C6"/>
    <w:rsid w:val="66E520A5"/>
    <w:rsid w:val="66FA1A26"/>
    <w:rsid w:val="671A0E2B"/>
    <w:rsid w:val="671F124A"/>
    <w:rsid w:val="672253DF"/>
    <w:rsid w:val="67300F54"/>
    <w:rsid w:val="67431B2C"/>
    <w:rsid w:val="67463BA2"/>
    <w:rsid w:val="674E13D6"/>
    <w:rsid w:val="675910DB"/>
    <w:rsid w:val="676C00D0"/>
    <w:rsid w:val="6777277D"/>
    <w:rsid w:val="677A33C6"/>
    <w:rsid w:val="678323FA"/>
    <w:rsid w:val="67A627FC"/>
    <w:rsid w:val="67AC2BC3"/>
    <w:rsid w:val="67C77A02"/>
    <w:rsid w:val="67CE04F9"/>
    <w:rsid w:val="67EF6E35"/>
    <w:rsid w:val="67FB3B20"/>
    <w:rsid w:val="681F6961"/>
    <w:rsid w:val="682A2F0A"/>
    <w:rsid w:val="68386205"/>
    <w:rsid w:val="68427425"/>
    <w:rsid w:val="684D1CB0"/>
    <w:rsid w:val="685279F5"/>
    <w:rsid w:val="685B4CC8"/>
    <w:rsid w:val="685E3EBD"/>
    <w:rsid w:val="68610A2F"/>
    <w:rsid w:val="686E537D"/>
    <w:rsid w:val="6880194F"/>
    <w:rsid w:val="68805514"/>
    <w:rsid w:val="68833EB7"/>
    <w:rsid w:val="68863625"/>
    <w:rsid w:val="68882CE8"/>
    <w:rsid w:val="689002BB"/>
    <w:rsid w:val="68945B24"/>
    <w:rsid w:val="68A4036B"/>
    <w:rsid w:val="68A8259B"/>
    <w:rsid w:val="68B10DA4"/>
    <w:rsid w:val="68B72682"/>
    <w:rsid w:val="68B86F17"/>
    <w:rsid w:val="68BA40E8"/>
    <w:rsid w:val="68C238AD"/>
    <w:rsid w:val="68C277D2"/>
    <w:rsid w:val="68C51E77"/>
    <w:rsid w:val="68D24E37"/>
    <w:rsid w:val="68D945B8"/>
    <w:rsid w:val="68DE33AB"/>
    <w:rsid w:val="68F90596"/>
    <w:rsid w:val="68FD06DD"/>
    <w:rsid w:val="691210A7"/>
    <w:rsid w:val="69141B3A"/>
    <w:rsid w:val="691539D0"/>
    <w:rsid w:val="691E779B"/>
    <w:rsid w:val="69201173"/>
    <w:rsid w:val="692230C9"/>
    <w:rsid w:val="69224EEB"/>
    <w:rsid w:val="69316E2F"/>
    <w:rsid w:val="694E2071"/>
    <w:rsid w:val="69560107"/>
    <w:rsid w:val="69561038"/>
    <w:rsid w:val="695A3D04"/>
    <w:rsid w:val="695D3B85"/>
    <w:rsid w:val="69735746"/>
    <w:rsid w:val="69766163"/>
    <w:rsid w:val="69776C53"/>
    <w:rsid w:val="697A2591"/>
    <w:rsid w:val="697A3B33"/>
    <w:rsid w:val="69812858"/>
    <w:rsid w:val="69956028"/>
    <w:rsid w:val="69991B18"/>
    <w:rsid w:val="699B4C9D"/>
    <w:rsid w:val="69A52698"/>
    <w:rsid w:val="69B7095D"/>
    <w:rsid w:val="69C1523F"/>
    <w:rsid w:val="69C772C7"/>
    <w:rsid w:val="69C8153F"/>
    <w:rsid w:val="69CD030D"/>
    <w:rsid w:val="69D44760"/>
    <w:rsid w:val="69D57F51"/>
    <w:rsid w:val="69D73E56"/>
    <w:rsid w:val="69E7198A"/>
    <w:rsid w:val="6A0732DA"/>
    <w:rsid w:val="6A1112BF"/>
    <w:rsid w:val="6A114F5F"/>
    <w:rsid w:val="6A164324"/>
    <w:rsid w:val="6A2151A2"/>
    <w:rsid w:val="6A450754"/>
    <w:rsid w:val="6A520EC7"/>
    <w:rsid w:val="6A5C176D"/>
    <w:rsid w:val="6A6223D9"/>
    <w:rsid w:val="6A660130"/>
    <w:rsid w:val="6A6A11A8"/>
    <w:rsid w:val="6A716339"/>
    <w:rsid w:val="6A7331CE"/>
    <w:rsid w:val="6A7A021E"/>
    <w:rsid w:val="6A7F1CBD"/>
    <w:rsid w:val="6A9D3793"/>
    <w:rsid w:val="6AA4144F"/>
    <w:rsid w:val="6AAE35B3"/>
    <w:rsid w:val="6AC36842"/>
    <w:rsid w:val="6ACA3A8C"/>
    <w:rsid w:val="6ACD4F01"/>
    <w:rsid w:val="6AE77275"/>
    <w:rsid w:val="6AEC3A7A"/>
    <w:rsid w:val="6AF50688"/>
    <w:rsid w:val="6AF87E20"/>
    <w:rsid w:val="6B0372AC"/>
    <w:rsid w:val="6B134E8B"/>
    <w:rsid w:val="6B163AF5"/>
    <w:rsid w:val="6B322639"/>
    <w:rsid w:val="6B34619F"/>
    <w:rsid w:val="6B3C2787"/>
    <w:rsid w:val="6B670E44"/>
    <w:rsid w:val="6B8C6F93"/>
    <w:rsid w:val="6B924226"/>
    <w:rsid w:val="6B956EDC"/>
    <w:rsid w:val="6B9C3722"/>
    <w:rsid w:val="6B9D6EA6"/>
    <w:rsid w:val="6BAF2F3B"/>
    <w:rsid w:val="6BAF4A30"/>
    <w:rsid w:val="6BB4549C"/>
    <w:rsid w:val="6BC95A17"/>
    <w:rsid w:val="6BC95AC0"/>
    <w:rsid w:val="6BD70344"/>
    <w:rsid w:val="6BE741CA"/>
    <w:rsid w:val="6BF20DF1"/>
    <w:rsid w:val="6C0C3F48"/>
    <w:rsid w:val="6C1332A9"/>
    <w:rsid w:val="6C265204"/>
    <w:rsid w:val="6C29013E"/>
    <w:rsid w:val="6C4E3079"/>
    <w:rsid w:val="6C55259A"/>
    <w:rsid w:val="6C5D448C"/>
    <w:rsid w:val="6C5F5C53"/>
    <w:rsid w:val="6C636C38"/>
    <w:rsid w:val="6C693F75"/>
    <w:rsid w:val="6C6A7252"/>
    <w:rsid w:val="6C6E15EC"/>
    <w:rsid w:val="6C725CB0"/>
    <w:rsid w:val="6C786231"/>
    <w:rsid w:val="6C792618"/>
    <w:rsid w:val="6C8C2BC7"/>
    <w:rsid w:val="6CA9147F"/>
    <w:rsid w:val="6CB3755E"/>
    <w:rsid w:val="6CB43650"/>
    <w:rsid w:val="6CBD65E2"/>
    <w:rsid w:val="6CBF48EB"/>
    <w:rsid w:val="6CC7230F"/>
    <w:rsid w:val="6CC94F9E"/>
    <w:rsid w:val="6CEB5F3B"/>
    <w:rsid w:val="6CF700E3"/>
    <w:rsid w:val="6CFC5418"/>
    <w:rsid w:val="6D0C71EF"/>
    <w:rsid w:val="6D1D7AC1"/>
    <w:rsid w:val="6D2E08C8"/>
    <w:rsid w:val="6D341D7C"/>
    <w:rsid w:val="6D375872"/>
    <w:rsid w:val="6D505D9E"/>
    <w:rsid w:val="6D5C0C0F"/>
    <w:rsid w:val="6D6369AB"/>
    <w:rsid w:val="6D6C09C2"/>
    <w:rsid w:val="6D6F3BBE"/>
    <w:rsid w:val="6D7208D2"/>
    <w:rsid w:val="6D7E3D4B"/>
    <w:rsid w:val="6D834DB2"/>
    <w:rsid w:val="6D854800"/>
    <w:rsid w:val="6D9C47B6"/>
    <w:rsid w:val="6DA01E2A"/>
    <w:rsid w:val="6DA93E1F"/>
    <w:rsid w:val="6DB34098"/>
    <w:rsid w:val="6DB545B6"/>
    <w:rsid w:val="6DCA1912"/>
    <w:rsid w:val="6DCA32A3"/>
    <w:rsid w:val="6DD34A93"/>
    <w:rsid w:val="6DE02FB4"/>
    <w:rsid w:val="6DF720F0"/>
    <w:rsid w:val="6DF81154"/>
    <w:rsid w:val="6E0454FB"/>
    <w:rsid w:val="6E2B6C5E"/>
    <w:rsid w:val="6E366386"/>
    <w:rsid w:val="6E4E6189"/>
    <w:rsid w:val="6E514CED"/>
    <w:rsid w:val="6E535698"/>
    <w:rsid w:val="6E67506E"/>
    <w:rsid w:val="6E6935BC"/>
    <w:rsid w:val="6E7541C7"/>
    <w:rsid w:val="6E8B61D2"/>
    <w:rsid w:val="6E8E2CF2"/>
    <w:rsid w:val="6E9A3775"/>
    <w:rsid w:val="6E9C573F"/>
    <w:rsid w:val="6EA07C82"/>
    <w:rsid w:val="6EA85FBA"/>
    <w:rsid w:val="6EAC3EF7"/>
    <w:rsid w:val="6EB563D5"/>
    <w:rsid w:val="6EC66318"/>
    <w:rsid w:val="6ECD5FFE"/>
    <w:rsid w:val="6ED71197"/>
    <w:rsid w:val="6ED92677"/>
    <w:rsid w:val="6EDD0974"/>
    <w:rsid w:val="6EED7D49"/>
    <w:rsid w:val="6EF41FF8"/>
    <w:rsid w:val="6F040265"/>
    <w:rsid w:val="6F103A37"/>
    <w:rsid w:val="6F1928EC"/>
    <w:rsid w:val="6F225983"/>
    <w:rsid w:val="6F454939"/>
    <w:rsid w:val="6F4E0CB0"/>
    <w:rsid w:val="6F6C4F83"/>
    <w:rsid w:val="6F9B59C4"/>
    <w:rsid w:val="6FAA79B8"/>
    <w:rsid w:val="6FBC74E2"/>
    <w:rsid w:val="6FBE1712"/>
    <w:rsid w:val="6FC57A24"/>
    <w:rsid w:val="6FCC795E"/>
    <w:rsid w:val="6FFC5590"/>
    <w:rsid w:val="700003E3"/>
    <w:rsid w:val="703D085C"/>
    <w:rsid w:val="703D0B3D"/>
    <w:rsid w:val="704105D3"/>
    <w:rsid w:val="705931BC"/>
    <w:rsid w:val="70694304"/>
    <w:rsid w:val="706D1DD0"/>
    <w:rsid w:val="706E30B6"/>
    <w:rsid w:val="70724304"/>
    <w:rsid w:val="7078259F"/>
    <w:rsid w:val="707B4764"/>
    <w:rsid w:val="70843CDC"/>
    <w:rsid w:val="70844E8C"/>
    <w:rsid w:val="70856B87"/>
    <w:rsid w:val="708661E4"/>
    <w:rsid w:val="70B23743"/>
    <w:rsid w:val="70B30B1E"/>
    <w:rsid w:val="70B53307"/>
    <w:rsid w:val="70BE0F18"/>
    <w:rsid w:val="70C458EB"/>
    <w:rsid w:val="70D527EE"/>
    <w:rsid w:val="70D67C08"/>
    <w:rsid w:val="70DC681D"/>
    <w:rsid w:val="70DF36C1"/>
    <w:rsid w:val="70F62AC3"/>
    <w:rsid w:val="70F85702"/>
    <w:rsid w:val="71016293"/>
    <w:rsid w:val="712D6B22"/>
    <w:rsid w:val="712E248A"/>
    <w:rsid w:val="713E02B9"/>
    <w:rsid w:val="71487089"/>
    <w:rsid w:val="715B5300"/>
    <w:rsid w:val="715B56E9"/>
    <w:rsid w:val="717007BD"/>
    <w:rsid w:val="717C0AAC"/>
    <w:rsid w:val="71815DA7"/>
    <w:rsid w:val="71875AE8"/>
    <w:rsid w:val="718D531F"/>
    <w:rsid w:val="71A65D79"/>
    <w:rsid w:val="71A65F75"/>
    <w:rsid w:val="71AE27D3"/>
    <w:rsid w:val="71B763EC"/>
    <w:rsid w:val="71D27F8A"/>
    <w:rsid w:val="71D7083C"/>
    <w:rsid w:val="72012D7B"/>
    <w:rsid w:val="720A5298"/>
    <w:rsid w:val="72140B3D"/>
    <w:rsid w:val="721A5B23"/>
    <w:rsid w:val="72211530"/>
    <w:rsid w:val="72232FCF"/>
    <w:rsid w:val="722E1642"/>
    <w:rsid w:val="723961CB"/>
    <w:rsid w:val="72553024"/>
    <w:rsid w:val="725B5CCC"/>
    <w:rsid w:val="728E6BE1"/>
    <w:rsid w:val="72AD3978"/>
    <w:rsid w:val="72D069E5"/>
    <w:rsid w:val="72F166AD"/>
    <w:rsid w:val="72F303D3"/>
    <w:rsid w:val="72FB01B0"/>
    <w:rsid w:val="730147FF"/>
    <w:rsid w:val="73122968"/>
    <w:rsid w:val="731247C1"/>
    <w:rsid w:val="731F5D5E"/>
    <w:rsid w:val="732B52E4"/>
    <w:rsid w:val="732F7310"/>
    <w:rsid w:val="733A5B2D"/>
    <w:rsid w:val="733D4129"/>
    <w:rsid w:val="733F467C"/>
    <w:rsid w:val="7340516D"/>
    <w:rsid w:val="735C27CC"/>
    <w:rsid w:val="735D2B55"/>
    <w:rsid w:val="73611638"/>
    <w:rsid w:val="736160E2"/>
    <w:rsid w:val="7365594F"/>
    <w:rsid w:val="737D5512"/>
    <w:rsid w:val="737F2C7C"/>
    <w:rsid w:val="739B6045"/>
    <w:rsid w:val="73BC1920"/>
    <w:rsid w:val="73C324D7"/>
    <w:rsid w:val="73C51AD5"/>
    <w:rsid w:val="73D068F6"/>
    <w:rsid w:val="73DD0270"/>
    <w:rsid w:val="73FB3E22"/>
    <w:rsid w:val="74055E73"/>
    <w:rsid w:val="74184B1D"/>
    <w:rsid w:val="741E793C"/>
    <w:rsid w:val="74223A6E"/>
    <w:rsid w:val="74271B75"/>
    <w:rsid w:val="74281F91"/>
    <w:rsid w:val="743D0A6A"/>
    <w:rsid w:val="74441EEB"/>
    <w:rsid w:val="745C3444"/>
    <w:rsid w:val="745E0E59"/>
    <w:rsid w:val="745E3944"/>
    <w:rsid w:val="74702C8E"/>
    <w:rsid w:val="74753029"/>
    <w:rsid w:val="747A6A6F"/>
    <w:rsid w:val="747E1443"/>
    <w:rsid w:val="748D3604"/>
    <w:rsid w:val="748D7C10"/>
    <w:rsid w:val="74AE118C"/>
    <w:rsid w:val="74B265BE"/>
    <w:rsid w:val="74BD593D"/>
    <w:rsid w:val="74C26191"/>
    <w:rsid w:val="74C50E20"/>
    <w:rsid w:val="74D4546F"/>
    <w:rsid w:val="74DC649B"/>
    <w:rsid w:val="74E74C12"/>
    <w:rsid w:val="74EE0377"/>
    <w:rsid w:val="74EE4B37"/>
    <w:rsid w:val="74EF608F"/>
    <w:rsid w:val="74FC6F38"/>
    <w:rsid w:val="74FF6DBF"/>
    <w:rsid w:val="75226393"/>
    <w:rsid w:val="75322959"/>
    <w:rsid w:val="75336452"/>
    <w:rsid w:val="754049AC"/>
    <w:rsid w:val="75474A3A"/>
    <w:rsid w:val="757A7474"/>
    <w:rsid w:val="7588717A"/>
    <w:rsid w:val="758E5037"/>
    <w:rsid w:val="75910862"/>
    <w:rsid w:val="75A76510"/>
    <w:rsid w:val="75B9737F"/>
    <w:rsid w:val="75BB3953"/>
    <w:rsid w:val="75BE1AD0"/>
    <w:rsid w:val="75CD4430"/>
    <w:rsid w:val="75DE5BC4"/>
    <w:rsid w:val="75E14A34"/>
    <w:rsid w:val="75E9124B"/>
    <w:rsid w:val="75F12A5B"/>
    <w:rsid w:val="76116A13"/>
    <w:rsid w:val="761172E0"/>
    <w:rsid w:val="761A43FC"/>
    <w:rsid w:val="7635099D"/>
    <w:rsid w:val="763B6AA7"/>
    <w:rsid w:val="764A1B3C"/>
    <w:rsid w:val="766C2C32"/>
    <w:rsid w:val="767063FA"/>
    <w:rsid w:val="7683284D"/>
    <w:rsid w:val="768F16E6"/>
    <w:rsid w:val="76942DB1"/>
    <w:rsid w:val="76974875"/>
    <w:rsid w:val="76996F03"/>
    <w:rsid w:val="76A2766B"/>
    <w:rsid w:val="76C15E9D"/>
    <w:rsid w:val="76C61836"/>
    <w:rsid w:val="76C938A8"/>
    <w:rsid w:val="76D01228"/>
    <w:rsid w:val="76D212C1"/>
    <w:rsid w:val="76DC2AE6"/>
    <w:rsid w:val="76DD7184"/>
    <w:rsid w:val="770F6630"/>
    <w:rsid w:val="77191516"/>
    <w:rsid w:val="77192D11"/>
    <w:rsid w:val="771F27E2"/>
    <w:rsid w:val="773A03B0"/>
    <w:rsid w:val="77411120"/>
    <w:rsid w:val="774F0D7F"/>
    <w:rsid w:val="775D6736"/>
    <w:rsid w:val="775E63BD"/>
    <w:rsid w:val="77607F64"/>
    <w:rsid w:val="776609A8"/>
    <w:rsid w:val="77683244"/>
    <w:rsid w:val="77762421"/>
    <w:rsid w:val="77823D86"/>
    <w:rsid w:val="778F779B"/>
    <w:rsid w:val="779524DF"/>
    <w:rsid w:val="77A02AF5"/>
    <w:rsid w:val="77B379F2"/>
    <w:rsid w:val="77B56B1F"/>
    <w:rsid w:val="77D150FB"/>
    <w:rsid w:val="77DA0F0B"/>
    <w:rsid w:val="77DC095A"/>
    <w:rsid w:val="77DE4A2F"/>
    <w:rsid w:val="77F37187"/>
    <w:rsid w:val="78012DA4"/>
    <w:rsid w:val="78072C3C"/>
    <w:rsid w:val="780F09F4"/>
    <w:rsid w:val="781B4249"/>
    <w:rsid w:val="7841291D"/>
    <w:rsid w:val="78412EB3"/>
    <w:rsid w:val="7845150D"/>
    <w:rsid w:val="78636D15"/>
    <w:rsid w:val="786C7EB5"/>
    <w:rsid w:val="786F6960"/>
    <w:rsid w:val="78723CC3"/>
    <w:rsid w:val="789143F5"/>
    <w:rsid w:val="7897559F"/>
    <w:rsid w:val="789F2417"/>
    <w:rsid w:val="78A90480"/>
    <w:rsid w:val="78B359C3"/>
    <w:rsid w:val="78B7253D"/>
    <w:rsid w:val="78C7311D"/>
    <w:rsid w:val="78C97CE0"/>
    <w:rsid w:val="78D06479"/>
    <w:rsid w:val="78D06B71"/>
    <w:rsid w:val="78E268EA"/>
    <w:rsid w:val="78E35D19"/>
    <w:rsid w:val="78E80C4F"/>
    <w:rsid w:val="78F03B36"/>
    <w:rsid w:val="78F256F3"/>
    <w:rsid w:val="78F91EC8"/>
    <w:rsid w:val="78FD3ABD"/>
    <w:rsid w:val="79055C6B"/>
    <w:rsid w:val="790728DB"/>
    <w:rsid w:val="7911177C"/>
    <w:rsid w:val="794A110F"/>
    <w:rsid w:val="794D1760"/>
    <w:rsid w:val="794E5888"/>
    <w:rsid w:val="79502E75"/>
    <w:rsid w:val="795D3744"/>
    <w:rsid w:val="79657719"/>
    <w:rsid w:val="799C71B2"/>
    <w:rsid w:val="799F0137"/>
    <w:rsid w:val="79B42D0A"/>
    <w:rsid w:val="79BF15DC"/>
    <w:rsid w:val="7A0515D5"/>
    <w:rsid w:val="7A0F5F41"/>
    <w:rsid w:val="7A1D2509"/>
    <w:rsid w:val="7A364017"/>
    <w:rsid w:val="7A5275FA"/>
    <w:rsid w:val="7A534061"/>
    <w:rsid w:val="7A536997"/>
    <w:rsid w:val="7A557038"/>
    <w:rsid w:val="7A63535D"/>
    <w:rsid w:val="7A665885"/>
    <w:rsid w:val="7A753062"/>
    <w:rsid w:val="7A7A1B64"/>
    <w:rsid w:val="7A7C5CA5"/>
    <w:rsid w:val="7A8265E1"/>
    <w:rsid w:val="7A8A28F0"/>
    <w:rsid w:val="7AA21E38"/>
    <w:rsid w:val="7AA80767"/>
    <w:rsid w:val="7AA91EC4"/>
    <w:rsid w:val="7ABC0B3A"/>
    <w:rsid w:val="7ADD3367"/>
    <w:rsid w:val="7AE30252"/>
    <w:rsid w:val="7AE45421"/>
    <w:rsid w:val="7AF014A1"/>
    <w:rsid w:val="7AFB1CAE"/>
    <w:rsid w:val="7B024B7C"/>
    <w:rsid w:val="7B1743CD"/>
    <w:rsid w:val="7B2D1921"/>
    <w:rsid w:val="7B3959B5"/>
    <w:rsid w:val="7B3968E6"/>
    <w:rsid w:val="7B48320A"/>
    <w:rsid w:val="7B544068"/>
    <w:rsid w:val="7B615D46"/>
    <w:rsid w:val="7B686D42"/>
    <w:rsid w:val="7B7D59C9"/>
    <w:rsid w:val="7B80466F"/>
    <w:rsid w:val="7B841746"/>
    <w:rsid w:val="7B8721DB"/>
    <w:rsid w:val="7B9064EF"/>
    <w:rsid w:val="7B971768"/>
    <w:rsid w:val="7BA15131"/>
    <w:rsid w:val="7BA4501A"/>
    <w:rsid w:val="7BAB3172"/>
    <w:rsid w:val="7BAD0B7B"/>
    <w:rsid w:val="7BB9664E"/>
    <w:rsid w:val="7BDA2086"/>
    <w:rsid w:val="7BDF3E1D"/>
    <w:rsid w:val="7BEA20A3"/>
    <w:rsid w:val="7BF22E42"/>
    <w:rsid w:val="7BF62608"/>
    <w:rsid w:val="7C0160DE"/>
    <w:rsid w:val="7C0F744D"/>
    <w:rsid w:val="7C181D18"/>
    <w:rsid w:val="7C3522B8"/>
    <w:rsid w:val="7C5D7986"/>
    <w:rsid w:val="7C6551D4"/>
    <w:rsid w:val="7C6C5AC7"/>
    <w:rsid w:val="7C741AA9"/>
    <w:rsid w:val="7C896BD7"/>
    <w:rsid w:val="7C914409"/>
    <w:rsid w:val="7CA221E8"/>
    <w:rsid w:val="7CA24759"/>
    <w:rsid w:val="7CC6544B"/>
    <w:rsid w:val="7CCD2FB8"/>
    <w:rsid w:val="7CD178CA"/>
    <w:rsid w:val="7CD84A58"/>
    <w:rsid w:val="7CE341F0"/>
    <w:rsid w:val="7CF06932"/>
    <w:rsid w:val="7CF31EB1"/>
    <w:rsid w:val="7CFE7CE4"/>
    <w:rsid w:val="7D0239FF"/>
    <w:rsid w:val="7D052701"/>
    <w:rsid w:val="7D0A5F6A"/>
    <w:rsid w:val="7D1178DB"/>
    <w:rsid w:val="7D155655"/>
    <w:rsid w:val="7D2544AB"/>
    <w:rsid w:val="7D2A660C"/>
    <w:rsid w:val="7D343BEC"/>
    <w:rsid w:val="7D3823A1"/>
    <w:rsid w:val="7D40198C"/>
    <w:rsid w:val="7D4923C3"/>
    <w:rsid w:val="7D496F45"/>
    <w:rsid w:val="7D5E40CD"/>
    <w:rsid w:val="7D6A2AC3"/>
    <w:rsid w:val="7D80170D"/>
    <w:rsid w:val="7D8E1766"/>
    <w:rsid w:val="7DA9420C"/>
    <w:rsid w:val="7DB71AAA"/>
    <w:rsid w:val="7DC05E8D"/>
    <w:rsid w:val="7DCB00D2"/>
    <w:rsid w:val="7DCD56F2"/>
    <w:rsid w:val="7DE030E9"/>
    <w:rsid w:val="7DE454F0"/>
    <w:rsid w:val="7DF22C07"/>
    <w:rsid w:val="7DFE6DCF"/>
    <w:rsid w:val="7E096221"/>
    <w:rsid w:val="7E0F648B"/>
    <w:rsid w:val="7E1117C4"/>
    <w:rsid w:val="7E1420A0"/>
    <w:rsid w:val="7E1C7D03"/>
    <w:rsid w:val="7E244E09"/>
    <w:rsid w:val="7E280EEB"/>
    <w:rsid w:val="7E3B0BE2"/>
    <w:rsid w:val="7E3B2954"/>
    <w:rsid w:val="7E437523"/>
    <w:rsid w:val="7E4808A8"/>
    <w:rsid w:val="7E514FEC"/>
    <w:rsid w:val="7E6C3705"/>
    <w:rsid w:val="7E7E76A4"/>
    <w:rsid w:val="7E8458A8"/>
    <w:rsid w:val="7E8F6A79"/>
    <w:rsid w:val="7E92054F"/>
    <w:rsid w:val="7E970337"/>
    <w:rsid w:val="7E990599"/>
    <w:rsid w:val="7E9A50CB"/>
    <w:rsid w:val="7EA122E9"/>
    <w:rsid w:val="7EAB44C8"/>
    <w:rsid w:val="7EAF2A70"/>
    <w:rsid w:val="7EBE229E"/>
    <w:rsid w:val="7ECD3E76"/>
    <w:rsid w:val="7ED44A81"/>
    <w:rsid w:val="7F001CE7"/>
    <w:rsid w:val="7F08297D"/>
    <w:rsid w:val="7F0F5953"/>
    <w:rsid w:val="7F2B0553"/>
    <w:rsid w:val="7F327110"/>
    <w:rsid w:val="7F38019E"/>
    <w:rsid w:val="7F3F1987"/>
    <w:rsid w:val="7F706E59"/>
    <w:rsid w:val="7F71407E"/>
    <w:rsid w:val="7F7C1C04"/>
    <w:rsid w:val="7F7E679B"/>
    <w:rsid w:val="7F802886"/>
    <w:rsid w:val="7F8F384D"/>
    <w:rsid w:val="7F935CCC"/>
    <w:rsid w:val="7F9C7362"/>
    <w:rsid w:val="7F9F6F9D"/>
    <w:rsid w:val="7FB803EA"/>
    <w:rsid w:val="7FC76E03"/>
    <w:rsid w:val="7FD34134"/>
    <w:rsid w:val="7FE47E50"/>
    <w:rsid w:val="7FFC2978"/>
    <w:rsid w:val="7FFF371F"/>
    <w:rsid w:val="7FFF78DC"/>
  </w:rsids>
  <w:docVars>
    <w:docVar w:name="commondata" w:val="eyJoZGlkIjoiOWI5MmEzNDM0ODI0OGFmMzM3MmU2Y2M5Y2JkMmZkOD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qFormat="1"/>
    <w:lsdException w:name="Body Text First Indent 2" w:semiHidden="0" w:uiPriority="0" w:unhideWhenUsed="0" w:qFormat="1"/>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4"/>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uiPriority w:val="99"/>
    <w:qFormat/>
    <w:pPr>
      <w:keepNext/>
      <w:overflowPunct w:val="0"/>
      <w:snapToGrid w:val="0"/>
      <w:spacing w:line="240" w:lineRule="auto"/>
      <w:ind w:left="0" w:firstLine="0"/>
      <w:jc w:val="center"/>
      <w:outlineLvl w:val="0"/>
    </w:pPr>
    <w:rPr>
      <w:rFonts w:ascii="Times New Roman" w:eastAsia="黑体" w:hAnsi="Times New Roman"/>
      <w:color w:val="000000"/>
      <w:kern w:val="44"/>
      <w:sz w:val="30"/>
      <w:szCs w:val="30"/>
    </w:rPr>
  </w:style>
  <w:style w:type="paragraph" w:styleId="Heading2">
    <w:name w:val="heading 2"/>
    <w:basedOn w:val="Normal"/>
    <w:next w:val="Normal"/>
    <w:qFormat/>
    <w:pPr>
      <w:spacing w:before="100" w:beforeAutospacing="1" w:after="10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uiPriority w:val="9"/>
    <w:qFormat/>
    <w:pPr>
      <w:keepNext/>
      <w:keepLines/>
      <w:adjustRightInd w:val="0"/>
      <w:snapToGrid w:val="0"/>
      <w:spacing w:line="360" w:lineRule="auto"/>
      <w:ind w:firstLine="420" w:firstLineChars="200"/>
      <w:jc w:val="left"/>
      <w:outlineLvl w:val="2"/>
    </w:pPr>
    <w:rPr>
      <w:b/>
      <w:sz w:val="24"/>
    </w:rPr>
  </w:style>
  <w:style w:type="paragraph" w:styleId="Heading4">
    <w:name w:val="heading 4"/>
    <w:basedOn w:val="Normal"/>
    <w:next w:val="Normal"/>
    <w:qFormat/>
    <w:pPr>
      <w:keepNext/>
      <w:keepLines/>
      <w:numPr>
        <w:ilvl w:val="3"/>
        <w:numId w:val="1"/>
      </w:numPr>
      <w:spacing w:beforeLines="0" w:beforeAutospacing="0" w:afterLines="0" w:afterAutospacing="0" w:line="360" w:lineRule="auto"/>
      <w:ind w:left="850" w:hanging="850" w:firstLineChars="0"/>
      <w:outlineLvl w:val="3"/>
    </w:pPr>
    <w:rPr>
      <w:rFonts w:ascii="Times New Roman" w:eastAsia="宋体" w:hAnsi="Times New Roman"/>
      <w:b/>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basedOn w:val="Normal"/>
    <w:next w:val="BodyText"/>
    <w:qFormat/>
    <w:pPr>
      <w:ind w:firstLine="420" w:firstLineChars="200"/>
    </w:pPr>
  </w:style>
  <w:style w:type="paragraph" w:styleId="BodyText">
    <w:name w:val="Body Text"/>
    <w:basedOn w:val="Normal"/>
    <w:next w:val="Normal"/>
    <w:link w:val="a0"/>
    <w:qFormat/>
    <w:pPr>
      <w:widowControl/>
      <w:snapToGrid w:val="0"/>
      <w:spacing w:before="60" w:after="160" w:line="259" w:lineRule="auto"/>
      <w:ind w:right="113"/>
    </w:pPr>
    <w:rPr>
      <w:kern w:val="0"/>
      <w:sz w:val="18"/>
      <w:szCs w:val="20"/>
    </w:rPr>
  </w:style>
  <w:style w:type="paragraph" w:styleId="Caption">
    <w:name w:val="caption"/>
    <w:basedOn w:val="Normal"/>
    <w:next w:val="Normal"/>
    <w:qFormat/>
    <w:rPr>
      <w:rFonts w:ascii="Cambria" w:eastAsia="黑体" w:hAnsi="Cambria"/>
      <w:sz w:val="20"/>
      <w:szCs w:val="20"/>
    </w:rPr>
  </w:style>
  <w:style w:type="paragraph" w:styleId="CommentText">
    <w:name w:val="annotation text"/>
    <w:basedOn w:val="Normal"/>
    <w:link w:val="a1"/>
    <w:semiHidden/>
    <w:qFormat/>
    <w:pPr>
      <w:jc w:val="left"/>
    </w:pPr>
    <w:rPr>
      <w:kern w:val="0"/>
      <w:sz w:val="24"/>
      <w:szCs w:val="20"/>
    </w:rPr>
  </w:style>
  <w:style w:type="paragraph" w:styleId="BodyTextIndent">
    <w:name w:val="Body Text Indent"/>
    <w:basedOn w:val="Normal"/>
    <w:next w:val="BodyTextFirstIndent2"/>
    <w:link w:val="a2"/>
    <w:qFormat/>
    <w:pPr>
      <w:spacing w:after="120"/>
      <w:ind w:left="420" w:leftChars="200"/>
    </w:pPr>
    <w:rPr>
      <w:kern w:val="0"/>
      <w:sz w:val="24"/>
      <w:szCs w:val="20"/>
    </w:rPr>
  </w:style>
  <w:style w:type="paragraph" w:styleId="BodyTextFirstIndent2">
    <w:name w:val="Body Text First Indent 2"/>
    <w:basedOn w:val="Normal"/>
    <w:next w:val="Normal"/>
    <w:qFormat/>
    <w:pPr>
      <w:adjustRightInd/>
      <w:ind w:firstLine="420" w:firstLineChars="200"/>
      <w:textAlignment w:val="auto"/>
    </w:pPr>
    <w:rPr>
      <w:rFonts w:ascii="Times New Roman"/>
      <w:spacing w:val="0"/>
      <w:kern w:val="2"/>
    </w:rPr>
  </w:style>
  <w:style w:type="paragraph" w:styleId="PlainText">
    <w:name w:val="Plain Text"/>
    <w:basedOn w:val="Normal"/>
    <w:next w:val="Normal"/>
    <w:qFormat/>
    <w:rPr>
      <w:rFonts w:ascii="宋体" w:hAnsi="Courier New"/>
      <w:szCs w:val="21"/>
    </w:rPr>
  </w:style>
  <w:style w:type="paragraph" w:styleId="Date">
    <w:name w:val="Date"/>
    <w:basedOn w:val="Normal"/>
    <w:next w:val="Normal"/>
    <w:link w:val="10"/>
    <w:qFormat/>
    <w:pPr>
      <w:ind w:left="100" w:leftChars="2500"/>
    </w:pPr>
    <w:rPr>
      <w:kern w:val="0"/>
      <w:sz w:val="24"/>
      <w:szCs w:val="20"/>
    </w:rPr>
  </w:style>
  <w:style w:type="paragraph" w:styleId="BodyTextIndent2">
    <w:name w:val="Body Text Indent 2"/>
    <w:basedOn w:val="Normal"/>
    <w:next w:val="a"/>
    <w:qFormat/>
    <w:pPr>
      <w:spacing w:line="360" w:lineRule="auto"/>
      <w:ind w:firstLine="420" w:firstLineChars="200"/>
    </w:pPr>
    <w:rPr>
      <w:rFonts w:ascii="Times New Roman" w:eastAsia="宋体" w:hAnsi="Times New Roman"/>
      <w:sz w:val="28"/>
      <w:szCs w:val="20"/>
    </w:rPr>
  </w:style>
  <w:style w:type="paragraph" w:customStyle="1" w:styleId="a">
    <w:name w:val="表格文字"/>
    <w:basedOn w:val="Normal"/>
    <w:next w:val="Normal"/>
    <w:qFormat/>
    <w:pPr>
      <w:tabs>
        <w:tab w:val="left" w:pos="-2848"/>
      </w:tabs>
      <w:jc w:val="center"/>
    </w:pPr>
    <w:rPr>
      <w:position w:val="-10"/>
      <w:szCs w:val="20"/>
    </w:rPr>
  </w:style>
  <w:style w:type="paragraph" w:styleId="BalloonText">
    <w:name w:val="Balloon Text"/>
    <w:basedOn w:val="Normal"/>
    <w:link w:val="a3"/>
    <w:semiHidden/>
    <w:qFormat/>
    <w:rPr>
      <w:kern w:val="0"/>
      <w:sz w:val="18"/>
      <w:szCs w:val="20"/>
    </w:rPr>
  </w:style>
  <w:style w:type="paragraph" w:styleId="Footer">
    <w:name w:val="footer"/>
    <w:basedOn w:val="Normal"/>
    <w:link w:val="11"/>
    <w:uiPriority w:val="99"/>
    <w:qFormat/>
    <w:pPr>
      <w:tabs>
        <w:tab w:val="center" w:pos="4153"/>
        <w:tab w:val="right" w:pos="8306"/>
      </w:tabs>
      <w:snapToGrid w:val="0"/>
      <w:jc w:val="left"/>
    </w:pPr>
    <w:rPr>
      <w:kern w:val="0"/>
      <w:sz w:val="18"/>
      <w:szCs w:val="20"/>
    </w:rPr>
  </w:style>
  <w:style w:type="paragraph" w:styleId="Header">
    <w:name w:val="header"/>
    <w:basedOn w:val="Normal"/>
    <w:link w:val="a4"/>
    <w:qFormat/>
    <w:pPr>
      <w:pBdr>
        <w:bottom w:val="single" w:sz="6" w:space="1" w:color="auto"/>
      </w:pBdr>
      <w:tabs>
        <w:tab w:val="center" w:pos="4153"/>
        <w:tab w:val="right" w:pos="8306"/>
      </w:tabs>
      <w:snapToGrid w:val="0"/>
      <w:jc w:val="center"/>
    </w:pPr>
    <w:rPr>
      <w:kern w:val="0"/>
      <w:sz w:val="18"/>
      <w:szCs w:val="20"/>
    </w:rPr>
  </w:style>
  <w:style w:type="paragraph" w:styleId="TOC1">
    <w:name w:val="toc 1"/>
    <w:basedOn w:val="Normal"/>
    <w:next w:val="Normal"/>
    <w:qFormat/>
  </w:style>
  <w:style w:type="paragraph" w:styleId="BodyText2">
    <w:name w:val="Body Text 2"/>
    <w:basedOn w:val="Normal"/>
    <w:qFormat/>
    <w:pPr>
      <w:spacing w:after="120" w:line="480" w:lineRule="auto"/>
    </w:pPr>
  </w:style>
  <w:style w:type="paragraph" w:styleId="NormalWeb">
    <w:name w:val="Normal (Web)"/>
    <w:basedOn w:val="Normal"/>
    <w:link w:val="a5"/>
    <w:qFormat/>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a6"/>
    <w:semiHidden/>
    <w:qFormat/>
    <w:rPr>
      <w:b/>
      <w:sz w:val="24"/>
      <w:szCs w:val="20"/>
    </w:rPr>
  </w:style>
  <w:style w:type="paragraph" w:styleId="BodyTextFirstIndent">
    <w:name w:val="Body Text First Indent"/>
    <w:basedOn w:val="Normal"/>
    <w:next w:val="Normal"/>
    <w:uiPriority w:val="99"/>
    <w:unhideWhenUsed/>
    <w:qFormat/>
    <w:pPr>
      <w:ind w:firstLine="420" w:firstLineChars="100"/>
    </w:pPr>
    <w:rPr>
      <w:kern w:val="2"/>
      <w:szCs w:val="24"/>
    </w:rPr>
  </w:style>
  <w:style w:type="table" w:styleId="TableGrid">
    <w:name w:val="Table Grid"/>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PageNumber">
    <w:name w:val="page number"/>
    <w:qFormat/>
  </w:style>
  <w:style w:type="character" w:styleId="Hyperlink">
    <w:name w:val="Hyperlink"/>
    <w:qFormat/>
    <w:rPr>
      <w:color w:val="0000FF"/>
      <w:u w:val="single"/>
    </w:rPr>
  </w:style>
  <w:style w:type="character" w:styleId="CommentReference">
    <w:name w:val="annotation reference"/>
    <w:semiHidden/>
    <w:qFormat/>
    <w:rPr>
      <w:sz w:val="21"/>
    </w:rPr>
  </w:style>
  <w:style w:type="paragraph" w:customStyle="1" w:styleId="CH">
    <w:name w:val="CH二级标"/>
    <w:basedOn w:val="Normal"/>
    <w:qFormat/>
    <w:pPr>
      <w:numPr>
        <w:ilvl w:val="1"/>
        <w:numId w:val="2"/>
      </w:numPr>
      <w:tabs>
        <w:tab w:val="left" w:pos="0"/>
      </w:tabs>
      <w:ind w:left="567" w:hanging="567" w:firstLineChars="0"/>
      <w:outlineLvl w:val="1"/>
    </w:pPr>
    <w:rPr>
      <w:rFonts w:ascii="Times New Roman" w:eastAsia="宋体" w:hAnsi="Times New Roman"/>
      <w:b/>
      <w:bCs/>
      <w:sz w:val="32"/>
      <w:szCs w:val="32"/>
    </w:rPr>
  </w:style>
  <w:style w:type="paragraph" w:customStyle="1" w:styleId="CH0">
    <w:name w:val="CH表头"/>
    <w:basedOn w:val="yt"/>
    <w:next w:val="yt"/>
    <w:qFormat/>
    <w:pPr>
      <w:numPr>
        <w:ilvl w:val="3"/>
        <w:numId w:val="3"/>
      </w:numPr>
      <w:tabs>
        <w:tab w:val="left" w:pos="0"/>
      </w:tabs>
      <w:spacing w:line="240" w:lineRule="auto"/>
      <w:ind w:left="569" w:hanging="569" w:firstLineChars="0"/>
      <w:jc w:val="center"/>
    </w:pPr>
    <w:rPr>
      <w:rFonts w:ascii="Times New Roman" w:eastAsia="宋体" w:hAnsi="Times New Roman" w:cs="Times New Roman"/>
      <w:b/>
      <w:bCs/>
      <w:color w:val="000000"/>
      <w:sz w:val="21"/>
      <w:szCs w:val="21"/>
      <w:lang w:val="zh-TW" w:eastAsia="zh-TW"/>
    </w:rPr>
  </w:style>
  <w:style w:type="paragraph" w:customStyle="1" w:styleId="yt">
    <w:name w:val="yt正文"/>
    <w:basedOn w:val="NormalIndent"/>
    <w:next w:val="BodyTextIndent2"/>
    <w:link w:val="ytChar"/>
    <w:qFormat/>
    <w:pPr>
      <w:spacing w:line="360" w:lineRule="auto"/>
      <w:ind w:firstLine="200"/>
    </w:pPr>
    <w:rPr>
      <w:rFonts w:ascii="Times New Roman" w:eastAsia="宋体" w:hAnsi="Times New Roman"/>
      <w:sz w:val="24"/>
    </w:rPr>
  </w:style>
  <w:style w:type="paragraph" w:customStyle="1" w:styleId="CH1">
    <w:name w:val="CH正文"/>
    <w:basedOn w:val="Normal"/>
    <w:qFormat/>
    <w:pPr>
      <w:spacing w:line="360" w:lineRule="auto"/>
      <w:ind w:firstLine="720" w:firstLineChars="200"/>
    </w:pPr>
    <w:rPr>
      <w:rFonts w:ascii="Times New Roman" w:eastAsia="宋体" w:hAnsi="Times New Roman" w:cs="Times New Roman"/>
      <w:sz w:val="24"/>
    </w:rPr>
  </w:style>
  <w:style w:type="paragraph" w:customStyle="1" w:styleId="CH2">
    <w:name w:val="CH表内"/>
    <w:basedOn w:val="Normal"/>
    <w:link w:val="CHChar"/>
    <w:qFormat/>
    <w:pPr>
      <w:tabs>
        <w:tab w:val="left" w:pos="0"/>
      </w:tabs>
      <w:spacing w:line="240" w:lineRule="auto"/>
      <w:ind w:firstLine="0" w:firstLineChars="0"/>
      <w:jc w:val="center"/>
    </w:pPr>
    <w:rPr>
      <w:rFonts w:ascii="Times New Roman" w:eastAsia="宋体" w:hAnsi="Times New Roman"/>
      <w:sz w:val="21"/>
      <w:szCs w:val="21"/>
    </w:rPr>
  </w:style>
  <w:style w:type="paragraph" w:customStyle="1" w:styleId="CXY">
    <w:name w:val="CXY一级标"/>
    <w:basedOn w:val="Normal"/>
    <w:qFormat/>
    <w:pPr>
      <w:numPr>
        <w:ilvl w:val="0"/>
        <w:numId w:val="4"/>
      </w:numPr>
      <w:tabs>
        <w:tab w:val="left" w:pos="0"/>
      </w:tabs>
      <w:spacing w:line="480" w:lineRule="auto"/>
      <w:ind w:left="397" w:hanging="397" w:firstLineChars="0"/>
      <w:jc w:val="center"/>
      <w:outlineLvl w:val="0"/>
    </w:pPr>
    <w:rPr>
      <w:rFonts w:ascii="Times New Roman" w:eastAsia="宋体" w:hAnsi="Times New Roman" w:cs="Times New Roman"/>
      <w:b/>
      <w:bCs/>
      <w:sz w:val="36"/>
      <w:szCs w:val="36"/>
    </w:rPr>
  </w:style>
  <w:style w:type="paragraph" w:customStyle="1" w:styleId="CXY0">
    <w:name w:val="CXY表头"/>
    <w:basedOn w:val="Normal"/>
    <w:qFormat/>
    <w:pPr>
      <w:numPr>
        <w:ilvl w:val="3"/>
        <w:numId w:val="5"/>
      </w:numPr>
      <w:tabs>
        <w:tab w:val="left" w:pos="0"/>
      </w:tabs>
      <w:spacing w:line="240" w:lineRule="auto"/>
      <w:ind w:left="567" w:hanging="567" w:firstLineChars="0"/>
      <w:jc w:val="center"/>
    </w:pPr>
    <w:rPr>
      <w:rFonts w:ascii="Times New Roman" w:eastAsia="宋体" w:hAnsi="Times New Roman"/>
      <w:b/>
      <w:bCs/>
      <w:color w:val="000000"/>
      <w:sz w:val="21"/>
      <w:szCs w:val="21"/>
      <w:lang w:val="zh-TW" w:eastAsia="zh-TW"/>
    </w:rPr>
  </w:style>
  <w:style w:type="paragraph" w:customStyle="1" w:styleId="CXY1">
    <w:name w:val="CXY表内"/>
    <w:basedOn w:val="Normal"/>
    <w:qFormat/>
    <w:pPr>
      <w:tabs>
        <w:tab w:val="left" w:pos="0"/>
      </w:tabs>
      <w:spacing w:line="240" w:lineRule="auto"/>
      <w:ind w:firstLine="0" w:firstLineChars="0"/>
      <w:jc w:val="center"/>
    </w:pPr>
    <w:rPr>
      <w:rFonts w:ascii="Times New Roman" w:eastAsia="宋体" w:hAnsi="Times New Roman" w:cs="Times New Roman"/>
      <w:sz w:val="21"/>
      <w:szCs w:val="21"/>
    </w:rPr>
  </w:style>
  <w:style w:type="paragraph" w:customStyle="1" w:styleId="CXY2">
    <w:name w:val="CXY图标"/>
    <w:basedOn w:val="Normal"/>
    <w:qFormat/>
    <w:pPr>
      <w:numPr>
        <w:ilvl w:val="4"/>
        <w:numId w:val="6"/>
      </w:numPr>
      <w:tabs>
        <w:tab w:val="left" w:pos="0"/>
        <w:tab w:val="left" w:pos="105"/>
      </w:tabs>
      <w:spacing w:line="240" w:lineRule="auto"/>
      <w:ind w:left="567" w:hanging="567" w:firstLineChars="0"/>
      <w:jc w:val="center"/>
    </w:pPr>
    <w:rPr>
      <w:rFonts w:ascii="Times New Roman" w:eastAsia="宋体" w:hAnsi="Times New Roman" w:cs="Times New Roman"/>
      <w:b/>
      <w:bCs/>
      <w:sz w:val="21"/>
      <w:szCs w:val="21"/>
    </w:rPr>
  </w:style>
  <w:style w:type="paragraph" w:customStyle="1" w:styleId="CXY3">
    <w:name w:val="CXY四级标"/>
    <w:basedOn w:val="Normal"/>
    <w:next w:val="Normal"/>
    <w:qFormat/>
    <w:pPr>
      <w:keepNext/>
      <w:keepLines/>
      <w:numPr>
        <w:ilvl w:val="5"/>
        <w:numId w:val="5"/>
      </w:numPr>
      <w:spacing w:line="360" w:lineRule="auto"/>
      <w:ind w:left="1134" w:hanging="1134" w:firstLineChars="0"/>
      <w:contextualSpacing/>
      <w:jc w:val="left"/>
      <w:outlineLvl w:val="3"/>
    </w:pPr>
    <w:rPr>
      <w:rFonts w:ascii="Times New Roman" w:eastAsia="宋体" w:hAnsi="Times New Roman" w:cstheme="minorBidi"/>
      <w:b/>
      <w:bCs/>
      <w:color w:val="auto"/>
      <w:szCs w:val="24"/>
    </w:rPr>
  </w:style>
  <w:style w:type="paragraph" w:customStyle="1" w:styleId="CXY4">
    <w:name w:val="CXY 正文"/>
    <w:basedOn w:val="Normal"/>
    <w:link w:val="CXYChar"/>
    <w:qFormat/>
    <w:pPr>
      <w:spacing w:line="360" w:lineRule="auto"/>
      <w:ind w:firstLine="723" w:firstLineChars="200"/>
    </w:pPr>
    <w:rPr>
      <w:rFonts w:ascii="Times New Roman" w:eastAsia="宋体" w:hAnsi="Times New Roman" w:cs="Times New Roman" w:hint="eastAsia"/>
      <w:sz w:val="24"/>
    </w:rPr>
  </w:style>
  <w:style w:type="paragraph" w:customStyle="1" w:styleId="Default1">
    <w:name w:val="Default1"/>
    <w:next w:val="Normal"/>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15">
    <w:name w:val="样式 正文文本缩进 + 行距: 1.5 倍行距"/>
    <w:basedOn w:val="BodyTextIndent"/>
    <w:qFormat/>
    <w:pPr>
      <w:tabs>
        <w:tab w:val="left" w:pos="3420"/>
      </w:tabs>
      <w:spacing w:line="360" w:lineRule="auto"/>
      <w:ind w:left="90" w:firstLine="560" w:leftChars="32"/>
    </w:pPr>
    <w:rPr>
      <w:rFonts w:cs="宋体"/>
    </w:rPr>
  </w:style>
  <w:style w:type="paragraph" w:customStyle="1" w:styleId="Default">
    <w:name w:val="Default"/>
    <w:basedOn w:val="1"/>
    <w:next w:val="BodyTextFirstIndent2"/>
    <w:qFormat/>
    <w:pPr>
      <w:widowControl w:val="0"/>
      <w:autoSpaceDE w:val="0"/>
      <w:autoSpaceDN w:val="0"/>
      <w:adjustRightInd w:val="0"/>
    </w:pPr>
    <w:rPr>
      <w:rFonts w:ascii="宋体" w:eastAsia="宋体" w:hAnsi="Calibri" w:cs="宋体"/>
      <w:color w:val="000000"/>
      <w:sz w:val="24"/>
      <w:szCs w:val="24"/>
      <w:lang w:val="en-US" w:eastAsia="zh-CN" w:bidi="ar-SA"/>
    </w:rPr>
  </w:style>
  <w:style w:type="paragraph" w:customStyle="1" w:styleId="1">
    <w:name w:val="批注文字1"/>
    <w:qFormat/>
    <w:pPr>
      <w:widowControl w:val="0"/>
    </w:pPr>
    <w:rPr>
      <w:rFonts w:ascii="Times New Roman" w:eastAsia="宋体" w:hAnsi="Times New Roman" w:cs="Times New Roman"/>
      <w:color w:val="000000"/>
      <w:kern w:val="2"/>
      <w:sz w:val="21"/>
      <w:szCs w:val="24"/>
      <w:lang w:val="en-US" w:eastAsia="zh-CN" w:bidi="ar-SA"/>
    </w:rPr>
  </w:style>
  <w:style w:type="character" w:customStyle="1" w:styleId="a0">
    <w:name w:val="正文文本 字符"/>
    <w:link w:val="BodyText"/>
    <w:qFormat/>
    <w:rPr>
      <w:sz w:val="18"/>
    </w:rPr>
  </w:style>
  <w:style w:type="character" w:customStyle="1" w:styleId="a1">
    <w:name w:val="批注文字 字符"/>
    <w:link w:val="CommentText"/>
    <w:qFormat/>
    <w:rPr>
      <w:rFonts w:ascii="Times New Roman" w:eastAsia="宋体" w:hAnsi="Times New Roman"/>
      <w:sz w:val="24"/>
    </w:rPr>
  </w:style>
  <w:style w:type="character" w:customStyle="1" w:styleId="a2">
    <w:name w:val="正文文本缩进 字符"/>
    <w:link w:val="BodyTextIndent"/>
    <w:semiHidden/>
    <w:qFormat/>
    <w:rPr>
      <w:rFonts w:ascii="Times New Roman" w:eastAsia="宋体" w:hAnsi="Times New Roman"/>
      <w:sz w:val="24"/>
    </w:rPr>
  </w:style>
  <w:style w:type="character" w:customStyle="1" w:styleId="10">
    <w:name w:val="日期 字符1"/>
    <w:link w:val="Date"/>
    <w:qFormat/>
    <w:rPr>
      <w:rFonts w:ascii="Times New Roman" w:eastAsia="宋体" w:hAnsi="Times New Roman"/>
      <w:sz w:val="24"/>
    </w:rPr>
  </w:style>
  <w:style w:type="character" w:customStyle="1" w:styleId="a3">
    <w:name w:val="批注框文本 字符"/>
    <w:link w:val="BalloonText"/>
    <w:semiHidden/>
    <w:qFormat/>
    <w:rPr>
      <w:rFonts w:ascii="Times New Roman" w:eastAsia="宋体" w:hAnsi="Times New Roman"/>
      <w:sz w:val="18"/>
    </w:rPr>
  </w:style>
  <w:style w:type="character" w:customStyle="1" w:styleId="11">
    <w:name w:val="页脚 字符1"/>
    <w:link w:val="Footer"/>
    <w:uiPriority w:val="99"/>
    <w:qFormat/>
    <w:rPr>
      <w:sz w:val="18"/>
    </w:rPr>
  </w:style>
  <w:style w:type="character" w:customStyle="1" w:styleId="a4">
    <w:name w:val="页眉 字符"/>
    <w:link w:val="Header"/>
    <w:qFormat/>
    <w:rPr>
      <w:sz w:val="18"/>
    </w:rPr>
  </w:style>
  <w:style w:type="character" w:customStyle="1" w:styleId="a5">
    <w:name w:val="普通(网站) 字符"/>
    <w:link w:val="NormalWeb"/>
    <w:qFormat/>
    <w:rPr>
      <w:rFonts w:ascii="宋体" w:eastAsia="宋体" w:hAnsi="宋体"/>
      <w:sz w:val="24"/>
    </w:rPr>
  </w:style>
  <w:style w:type="character" w:customStyle="1" w:styleId="a6">
    <w:name w:val="批注主题 字符"/>
    <w:link w:val="CommentSubject"/>
    <w:semiHidden/>
    <w:qFormat/>
    <w:rPr>
      <w:rFonts w:ascii="Times New Roman" w:eastAsia="宋体" w:hAnsi="Times New Roman"/>
      <w:b/>
      <w:kern w:val="2"/>
      <w:sz w:val="24"/>
    </w:rPr>
  </w:style>
  <w:style w:type="character" w:customStyle="1" w:styleId="ytChar">
    <w:name w:val="yt正文 Char"/>
    <w:link w:val="yt"/>
    <w:qFormat/>
    <w:rPr>
      <w:rFonts w:ascii="Times New Roman" w:eastAsia="宋体" w:hAnsi="Times New Roman"/>
      <w:sz w:val="24"/>
    </w:rPr>
  </w:style>
  <w:style w:type="character" w:customStyle="1" w:styleId="CHChar">
    <w:name w:val="CH表内 Char"/>
    <w:link w:val="CH2"/>
    <w:qFormat/>
    <w:rPr>
      <w:rFonts w:ascii="Times New Roman" w:eastAsia="宋体" w:hAnsi="Times New Roman"/>
      <w:sz w:val="21"/>
      <w:szCs w:val="21"/>
    </w:rPr>
  </w:style>
  <w:style w:type="character" w:customStyle="1" w:styleId="CXYChar">
    <w:name w:val="CXY 正文 Char"/>
    <w:link w:val="CXY4"/>
    <w:qFormat/>
    <w:rPr>
      <w:rFonts w:ascii="Times New Roman" w:eastAsia="宋体" w:hAnsi="Times New Roman" w:cs="Times New Roman" w:hint="eastAsia"/>
      <w:sz w:val="24"/>
    </w:rPr>
  </w:style>
  <w:style w:type="paragraph" w:customStyle="1" w:styleId="xl27">
    <w:name w:val="xl27"/>
    <w:basedOn w:val="Normal"/>
    <w:qFormat/>
    <w:pPr>
      <w:widowControl/>
      <w:pBdr>
        <w:bottom w:val="single" w:sz="12" w:space="0" w:color="auto"/>
      </w:pBdr>
      <w:spacing w:before="100" w:after="100"/>
      <w:jc w:val="center"/>
    </w:pPr>
    <w:rPr>
      <w:rFonts w:ascii="宋体" w:hAnsi="宋体"/>
      <w:kern w:val="0"/>
      <w:szCs w:val="20"/>
    </w:rPr>
  </w:style>
  <w:style w:type="character" w:customStyle="1" w:styleId="a7">
    <w:name w:val="页脚 字符"/>
    <w:uiPriority w:val="99"/>
    <w:qFormat/>
  </w:style>
  <w:style w:type="character" w:customStyle="1" w:styleId="a8">
    <w:name w:val="日期 字符"/>
    <w:semiHidden/>
    <w:qFormat/>
    <w:rPr>
      <w:rFonts w:ascii="Times New Roman" w:eastAsia="宋体" w:hAnsi="Times New Roman"/>
      <w:sz w:val="24"/>
    </w:rPr>
  </w:style>
  <w:style w:type="character" w:customStyle="1" w:styleId="20150529">
    <w:name w:val="表格标题20150529"/>
    <w:qFormat/>
    <w:rPr>
      <w:rFonts w:ascii="Times New Roman" w:eastAsia="仿宋_GB2312" w:hAnsi="Times New Roman" w:cs="Times New Roman" w:hint="default"/>
      <w:b/>
      <w:bCs/>
      <w:snapToGrid w:val="0"/>
      <w:color w:val="000000"/>
      <w:spacing w:val="4"/>
      <w:kern w:val="0"/>
      <w:sz w:val="24"/>
      <w:szCs w:val="24"/>
    </w:rPr>
  </w:style>
  <w:style w:type="character" w:customStyle="1" w:styleId="12">
    <w:name w:val="正文文本 字符1"/>
    <w:semiHidden/>
    <w:qFormat/>
    <w:rPr>
      <w:rFonts w:ascii="Times New Roman" w:eastAsia="宋体" w:hAnsi="Times New Roman"/>
      <w:sz w:val="24"/>
    </w:rPr>
  </w:style>
  <w:style w:type="character" w:customStyle="1" w:styleId="font51">
    <w:name w:val="font51"/>
    <w:qFormat/>
    <w:rPr>
      <w:rFonts w:ascii="Times New Roman" w:hAnsi="Times New Roman" w:cs="Times New Roman" w:hint="default"/>
      <w:color w:val="000000"/>
      <w:sz w:val="21"/>
      <w:szCs w:val="21"/>
      <w:u w:val="none"/>
    </w:rPr>
  </w:style>
  <w:style w:type="character" w:customStyle="1" w:styleId="CHChar0">
    <w:name w:val="CH表头 Char"/>
    <w:link w:val="yt0"/>
    <w:qFormat/>
    <w:rPr>
      <w:rFonts w:eastAsia="黑体"/>
      <w:b/>
      <w:bCs/>
      <w:sz w:val="30"/>
      <w:szCs w:val="30"/>
    </w:rPr>
  </w:style>
  <w:style w:type="paragraph" w:customStyle="1" w:styleId="yt0">
    <w:name w:val="yt章节"/>
    <w:basedOn w:val="yt"/>
    <w:next w:val="yt"/>
    <w:link w:val="CHChar0"/>
    <w:qFormat/>
    <w:pPr>
      <w:numPr>
        <w:ilvl w:val="0"/>
        <w:numId w:val="7"/>
      </w:numPr>
      <w:spacing w:line="360" w:lineRule="auto"/>
      <w:ind w:left="425" w:hanging="425" w:firstLineChars="0"/>
      <w:jc w:val="center"/>
    </w:pPr>
    <w:rPr>
      <w:rFonts w:eastAsia="黑体"/>
      <w:b/>
      <w:bCs/>
      <w:sz w:val="30"/>
      <w:szCs w:val="30"/>
    </w:rPr>
  </w:style>
  <w:style w:type="character" w:customStyle="1" w:styleId="Char">
    <w:name w:val="报告正文 Char"/>
    <w:link w:val="a9"/>
    <w:qFormat/>
    <w:rPr>
      <w:sz w:val="24"/>
    </w:rPr>
  </w:style>
  <w:style w:type="paragraph" w:customStyle="1" w:styleId="a9">
    <w:name w:val="报告正文"/>
    <w:basedOn w:val="Normal"/>
    <w:link w:val="Char"/>
    <w:qFormat/>
    <w:pPr>
      <w:spacing w:line="360" w:lineRule="auto"/>
      <w:ind w:firstLine="482"/>
    </w:pPr>
    <w:rPr>
      <w:sz w:val="24"/>
    </w:rPr>
  </w:style>
  <w:style w:type="character" w:customStyle="1" w:styleId="ytChar0">
    <w:name w:val="yt表头 Char"/>
    <w:link w:val="yt1"/>
    <w:qFormat/>
    <w:rPr>
      <w:rFonts w:ascii="Times New Roman" w:eastAsia="宋体" w:hAnsi="Times New Roman"/>
      <w:b/>
      <w:szCs w:val="21"/>
    </w:rPr>
  </w:style>
  <w:style w:type="paragraph" w:customStyle="1" w:styleId="yt1">
    <w:name w:val="yt表头"/>
    <w:basedOn w:val="Normal"/>
    <w:next w:val="yt"/>
    <w:link w:val="ytChar0"/>
    <w:qFormat/>
    <w:pPr>
      <w:numPr>
        <w:ilvl w:val="3"/>
        <w:numId w:val="7"/>
      </w:numPr>
      <w:ind w:left="0" w:firstLine="0"/>
      <w:jc w:val="center"/>
    </w:pPr>
    <w:rPr>
      <w:rFonts w:ascii="Times New Roman" w:eastAsia="宋体" w:hAnsi="Times New Roman"/>
      <w:b/>
      <w:szCs w:val="21"/>
    </w:rPr>
  </w:style>
  <w:style w:type="character" w:customStyle="1" w:styleId="Char0">
    <w:name w:val="表格 Char"/>
    <w:link w:val="a10"/>
    <w:qFormat/>
    <w:rPr>
      <w:rFonts w:ascii="宋体" w:eastAsia="宋体" w:hAnsi="宋体"/>
      <w:sz w:val="21"/>
      <w:szCs w:val="21"/>
    </w:rPr>
  </w:style>
  <w:style w:type="paragraph" w:customStyle="1" w:styleId="a10">
    <w:name w:val="表格"/>
    <w:basedOn w:val="Normal"/>
    <w:next w:val="Normal"/>
    <w:link w:val="Char0"/>
    <w:qFormat/>
    <w:pPr>
      <w:adjustRightInd w:val="0"/>
      <w:snapToGrid w:val="0"/>
      <w:spacing w:line="240" w:lineRule="auto"/>
      <w:jc w:val="center"/>
    </w:pPr>
    <w:rPr>
      <w:rFonts w:ascii="宋体" w:eastAsia="宋体" w:hAnsi="宋体"/>
      <w:kern w:val="0"/>
      <w:szCs w:val="21"/>
    </w:rPr>
  </w:style>
  <w:style w:type="character" w:customStyle="1" w:styleId="a11">
    <w:name w:val="二标"/>
    <w:qFormat/>
    <w:rPr>
      <w:rFonts w:ascii="Times New Roman" w:eastAsia="宋体" w:hAnsi="Times New Roman"/>
      <w:b/>
      <w:sz w:val="28"/>
    </w:rPr>
  </w:style>
  <w:style w:type="character" w:customStyle="1" w:styleId="ytChar1">
    <w:name w:val="yt图标 Char"/>
    <w:link w:val="yt2"/>
    <w:qFormat/>
    <w:rPr>
      <w:rFonts w:ascii="Times New Roman" w:eastAsia="宋体" w:hAnsi="Times New Roman"/>
      <w:b/>
      <w:szCs w:val="21"/>
    </w:rPr>
  </w:style>
  <w:style w:type="paragraph" w:customStyle="1" w:styleId="yt2">
    <w:name w:val="yt图标"/>
    <w:basedOn w:val="NormalIndent"/>
    <w:link w:val="ytChar1"/>
    <w:qFormat/>
    <w:pPr>
      <w:numPr>
        <w:ilvl w:val="4"/>
        <w:numId w:val="7"/>
      </w:numPr>
      <w:ind w:left="283" w:hanging="283" w:firstLineChars="0"/>
      <w:jc w:val="center"/>
    </w:pPr>
    <w:rPr>
      <w:rFonts w:ascii="Times New Roman" w:eastAsia="宋体" w:hAnsi="Times New Roman"/>
      <w:b/>
      <w:szCs w:val="21"/>
    </w:rPr>
  </w:style>
  <w:style w:type="character" w:customStyle="1" w:styleId="ytChar2">
    <w:name w:val="yt表内 Char"/>
    <w:link w:val="yt3"/>
    <w:qFormat/>
    <w:rPr>
      <w:sz w:val="21"/>
      <w:szCs w:val="21"/>
    </w:rPr>
  </w:style>
  <w:style w:type="paragraph" w:customStyle="1" w:styleId="yt3">
    <w:name w:val="yt表内"/>
    <w:basedOn w:val="yt"/>
    <w:next w:val="yt"/>
    <w:link w:val="ytChar2"/>
    <w:qFormat/>
    <w:pPr>
      <w:spacing w:line="240" w:lineRule="atLeast"/>
      <w:ind w:firstLine="0" w:firstLineChars="0"/>
      <w:jc w:val="center"/>
    </w:pPr>
    <w:rPr>
      <w:sz w:val="21"/>
      <w:szCs w:val="21"/>
    </w:rPr>
  </w:style>
  <w:style w:type="character" w:customStyle="1" w:styleId="13">
    <w:name w:val="批注文字 字符1"/>
    <w:semiHidden/>
    <w:qFormat/>
    <w:rPr>
      <w:rFonts w:ascii="Times New Roman" w:eastAsia="宋体" w:hAnsi="Times New Roman"/>
      <w:sz w:val="24"/>
    </w:rPr>
  </w:style>
  <w:style w:type="paragraph" w:customStyle="1" w:styleId="23">
    <w:name w:val="样式 文本正文 + 首行缩进:  2 字符3"/>
    <w:basedOn w:val="a12"/>
    <w:qFormat/>
    <w:pPr>
      <w:ind w:firstLine="496"/>
    </w:pPr>
    <w:rPr>
      <w:kern w:val="21"/>
    </w:rPr>
  </w:style>
  <w:style w:type="paragraph" w:customStyle="1" w:styleId="a12">
    <w:name w:val="文本正文"/>
    <w:basedOn w:val="Normal"/>
    <w:qFormat/>
    <w:pPr>
      <w:autoSpaceDE w:val="0"/>
      <w:autoSpaceDN w:val="0"/>
      <w:adjustRightInd w:val="0"/>
      <w:spacing w:line="360" w:lineRule="auto"/>
      <w:ind w:firstLine="200" w:firstLineChars="200"/>
      <w:textAlignment w:val="baseline"/>
    </w:pPr>
    <w:rPr>
      <w:rFonts w:ascii="宋体" w:hAnsi="宋体"/>
      <w:snapToGrid w:val="0"/>
      <w:color w:val="000000"/>
      <w:spacing w:val="4"/>
      <w:kern w:val="18"/>
      <w:sz w:val="24"/>
    </w:rPr>
  </w:style>
  <w:style w:type="paragraph" w:customStyle="1" w:styleId="201108242">
    <w:name w:val="样式 正文20110824 + 宋体 首行缩进:  2 字符"/>
    <w:basedOn w:val="Normal"/>
    <w:uiPriority w:val="99"/>
    <w:qFormat/>
    <w:pPr>
      <w:spacing w:line="360" w:lineRule="auto"/>
      <w:ind w:firstLine="200" w:firstLineChars="200"/>
    </w:pPr>
    <w:rPr>
      <w:color w:val="000000"/>
      <w:sz w:val="24"/>
      <w:szCs w:val="20"/>
    </w:rPr>
  </w:style>
  <w:style w:type="paragraph" w:customStyle="1" w:styleId="a13">
    <w:name w:val="表内正文"/>
    <w:next w:val="Normal"/>
    <w:qFormat/>
    <w:pPr>
      <w:adjustRightInd w:val="0"/>
      <w:snapToGrid w:val="0"/>
      <w:jc w:val="center"/>
    </w:pPr>
    <w:rPr>
      <w:rFonts w:ascii="Times New Roman" w:eastAsia="宋体" w:hAnsi="Times New Roman" w:cs="Times New Roman"/>
      <w:sz w:val="21"/>
      <w:lang w:val="en-US" w:eastAsia="zh-CN" w:bidi="ar-SA"/>
    </w:rPr>
  </w:style>
  <w:style w:type="paragraph" w:customStyle="1" w:styleId="150">
    <w:name w:val="样式 小四 行距: 1.5 倍行距"/>
    <w:basedOn w:val="Normal"/>
    <w:qFormat/>
    <w:pPr>
      <w:ind w:firstLine="480" w:firstLineChars="200"/>
    </w:pPr>
    <w:rPr>
      <w:rFonts w:cs="宋体"/>
    </w:rPr>
  </w:style>
  <w:style w:type="paragraph" w:customStyle="1" w:styleId="2">
    <w:name w:val="样式 标题 2"/>
    <w:qFormat/>
    <w:pPr>
      <w:keepNext/>
      <w:keepLines/>
      <w:widowControl w:val="0"/>
      <w:spacing w:before="50" w:after="50" w:line="413" w:lineRule="auto"/>
      <w:jc w:val="both"/>
      <w:outlineLvl w:val="1"/>
    </w:pPr>
    <w:rPr>
      <w:rFonts w:ascii="Arial" w:eastAsia="黑体" w:hAnsi="Arial" w:cs="Times New Roman"/>
      <w:b/>
      <w:kern w:val="2"/>
      <w:sz w:val="32"/>
      <w:szCs w:val="28"/>
      <w:lang w:val="en-US" w:eastAsia="zh-CN" w:bidi="ar-SA"/>
    </w:rPr>
  </w:style>
  <w:style w:type="paragraph" w:customStyle="1" w:styleId="a14">
    <w:name w:val="一般正文"/>
    <w:basedOn w:val="Normal"/>
    <w:qFormat/>
    <w:pPr>
      <w:snapToGrid w:val="0"/>
      <w:spacing w:line="360" w:lineRule="auto"/>
      <w:ind w:firstLine="420" w:firstLineChars="200"/>
      <w:jc w:val="left"/>
    </w:pPr>
    <w:rPr>
      <w:rFonts w:ascii="Times New Roman" w:eastAsia="宋体" w:hAnsi="Times New Roman"/>
    </w:rPr>
  </w:style>
  <w:style w:type="paragraph" w:customStyle="1" w:styleId="TableParagraph">
    <w:name w:val="Table Paragraph"/>
    <w:basedOn w:val="Normal"/>
    <w:uiPriority w:val="1"/>
    <w:qFormat/>
    <w:pPr>
      <w:autoSpaceDE w:val="0"/>
      <w:autoSpaceDN w:val="0"/>
      <w:jc w:val="left"/>
    </w:pPr>
    <w:rPr>
      <w:rFonts w:ascii="宋体" w:hAnsi="宋体" w:cs="宋体"/>
      <w:kern w:val="0"/>
      <w:sz w:val="22"/>
      <w:szCs w:val="22"/>
      <w:lang w:val="zh-CN" w:bidi="zh-CN"/>
    </w:rPr>
  </w:style>
  <w:style w:type="paragraph" w:customStyle="1" w:styleId="BG">
    <w:name w:val="BG"/>
    <w:basedOn w:val="Normal"/>
    <w:uiPriority w:val="99"/>
    <w:unhideWhenUsed/>
    <w:qFormat/>
    <w:pPr>
      <w:snapToGrid w:val="0"/>
      <w:jc w:val="center"/>
    </w:pPr>
  </w:style>
  <w:style w:type="paragraph" w:customStyle="1" w:styleId="Style3">
    <w:name w:val="_Style 3"/>
    <w:basedOn w:val="Normal"/>
    <w:uiPriority w:val="34"/>
    <w:qFormat/>
    <w:pPr>
      <w:adjustRightInd w:val="0"/>
      <w:snapToGrid w:val="0"/>
      <w:jc w:val="center"/>
    </w:pPr>
  </w:style>
  <w:style w:type="paragraph" w:customStyle="1" w:styleId="14">
    <w:name w:val="无间隔1"/>
    <w:uiPriority w:val="1"/>
    <w:qFormat/>
    <w:rPr>
      <w:rFonts w:ascii="Times New Roman" w:eastAsia="Times New Roman" w:hAnsi="Times New Roman" w:cs="Times New Roman"/>
      <w:sz w:val="22"/>
      <w:szCs w:val="22"/>
      <w:lang w:val="en-US" w:eastAsia="zh-CN" w:bidi="ar-SA"/>
    </w:rPr>
  </w:style>
  <w:style w:type="paragraph" w:customStyle="1" w:styleId="20">
    <w:name w:val="普通(网站)2"/>
    <w:basedOn w:val="Normal"/>
    <w:qFormat/>
    <w:pPr>
      <w:widowControl/>
      <w:spacing w:before="100" w:beforeAutospacing="1" w:after="100" w:afterAutospacing="1"/>
      <w:jc w:val="left"/>
    </w:pPr>
    <w:rPr>
      <w:rFonts w:ascii="宋体" w:hAnsi="宋体"/>
      <w:sz w:val="24"/>
      <w:szCs w:val="20"/>
    </w:rPr>
  </w:style>
  <w:style w:type="paragraph" w:customStyle="1" w:styleId="CharCharCharCharCharCharCharCharCharCharCharCharCharCharCharCharCharCharCharCharChar">
    <w:name w:val=" Char Char Char Char Char Char Char Char Char Char Char Char Char Char Char Char Char Char Char Char Char"/>
    <w:basedOn w:val="Normal"/>
    <w:qFormat/>
    <w:pPr>
      <w:autoSpaceDE/>
      <w:autoSpaceDN/>
      <w:snapToGrid/>
      <w:spacing w:line="240" w:lineRule="auto"/>
      <w:ind w:firstLine="0"/>
    </w:pPr>
    <w:rPr>
      <w:rFonts w:eastAsia="宋体"/>
      <w:snapToGrid/>
      <w:kern w:val="2"/>
      <w:sz w:val="21"/>
      <w:szCs w:val="24"/>
    </w:rPr>
  </w:style>
  <w:style w:type="paragraph" w:customStyle="1" w:styleId="a15">
    <w:name w:val="表头样"/>
    <w:basedOn w:val="Normal"/>
    <w:qFormat/>
    <w:pPr>
      <w:spacing w:beforeLines="50"/>
      <w:jc w:val="center"/>
    </w:pPr>
    <w:rPr>
      <w:rFonts w:ascii="Times New Roman" w:hAnsi="Times New Roman"/>
      <w:b/>
    </w:rPr>
  </w:style>
  <w:style w:type="paragraph" w:customStyle="1" w:styleId="a16">
    <w:name w:val="表格文本"/>
    <w:basedOn w:val="Normal"/>
    <w:qFormat/>
    <w:pPr>
      <w:adjustRightInd w:val="0"/>
      <w:snapToGrid w:val="0"/>
      <w:jc w:val="center"/>
    </w:pPr>
    <w:rPr>
      <w:szCs w:val="21"/>
    </w:rPr>
  </w:style>
  <w:style w:type="paragraph" w:customStyle="1" w:styleId="Char1">
    <w:name w:val="表格正文 Char"/>
    <w:basedOn w:val="Normal"/>
    <w:next w:val="Normal"/>
    <w:semiHidden/>
    <w:qFormat/>
    <w:pPr>
      <w:snapToGrid w:val="0"/>
      <w:spacing w:line="240" w:lineRule="auto"/>
      <w:jc w:val="center"/>
    </w:pPr>
    <w:rPr>
      <w:rFonts w:ascii="宋体"/>
      <w:snapToGrid w:val="0"/>
      <w:spacing w:val="4"/>
      <w:w w:val="90"/>
      <w:sz w:val="24"/>
      <w:szCs w:val="24"/>
    </w:rPr>
  </w:style>
  <w:style w:type="paragraph" w:customStyle="1" w:styleId="-">
    <w:name w:val="罗-表格"/>
    <w:basedOn w:val="Normal"/>
    <w:uiPriority w:val="99"/>
    <w:unhideWhenUsed/>
    <w:qFormat/>
    <w:pPr>
      <w:spacing w:line="240" w:lineRule="auto"/>
      <w:jc w:val="center"/>
    </w:p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20110920">
    <w:name w:val="正文20110920"/>
    <w:basedOn w:val="201108242"/>
    <w:uiPriority w:val="99"/>
    <w:qFormat/>
    <w:pPr>
      <w:ind w:firstLine="480"/>
    </w:pPr>
  </w:style>
  <w:style w:type="paragraph" w:customStyle="1" w:styleId="D">
    <w:name w:val="D图表"/>
    <w:basedOn w:val="Normal"/>
    <w:qFormat/>
    <w:pPr>
      <w:spacing w:before="120" w:after="120"/>
      <w:jc w:val="center"/>
    </w:pPr>
    <w:rPr>
      <w:b/>
      <w:szCs w:val="21"/>
    </w:rPr>
  </w:style>
  <w:style w:type="paragraph" w:customStyle="1" w:styleId="a17">
    <w:name w:val="+"/>
    <w:basedOn w:val="Normal"/>
    <w:qFormat/>
    <w:pPr>
      <w:adjustRightInd w:val="0"/>
      <w:snapToGrid w:val="0"/>
      <w:spacing w:line="360" w:lineRule="auto"/>
      <w:ind w:firstLine="420" w:firstLineChars="200"/>
      <w:jc w:val="left"/>
    </w:pPr>
    <w:rPr>
      <w:rFonts w:ascii="Times New Roman" w:hAnsi="Times New Roman"/>
      <w:kern w:val="0"/>
      <w:sz w:val="24"/>
      <w:szCs w:val="24"/>
    </w:rPr>
  </w:style>
  <w:style w:type="paragraph" w:customStyle="1" w:styleId="16">
    <w:name w:val="正文1"/>
    <w:basedOn w:val="Normal"/>
    <w:qFormat/>
    <w:pPr>
      <w:widowControl/>
      <w:pBdr>
        <w:top w:val="none" w:sz="0" w:space="1" w:color="auto"/>
        <w:left w:val="none" w:sz="0" w:space="4" w:color="auto"/>
        <w:bottom w:val="none" w:sz="0" w:space="1" w:color="auto"/>
        <w:right w:val="none" w:sz="0" w:space="4" w:color="auto"/>
      </w:pBdr>
      <w:autoSpaceDE w:val="0"/>
      <w:autoSpaceDN w:val="0"/>
      <w:adjustRightInd w:val="0"/>
      <w:snapToGrid w:val="0"/>
      <w:spacing w:line="360" w:lineRule="auto"/>
      <w:ind w:firstLine="420" w:firstLineChars="200"/>
      <w:jc w:val="left"/>
    </w:pPr>
    <w:rPr>
      <w:kern w:val="0"/>
      <w:sz w:val="24"/>
    </w:rPr>
  </w:style>
  <w:style w:type="paragraph" w:customStyle="1" w:styleId="a18">
    <w:name w:val="正文（小四）"/>
    <w:basedOn w:val="Normal"/>
    <w:qFormat/>
    <w:pPr>
      <w:widowControl/>
      <w:spacing w:line="360" w:lineRule="auto"/>
      <w:ind w:firstLine="200" w:firstLineChars="200"/>
    </w:pPr>
    <w:rPr>
      <w:sz w:val="24"/>
    </w:rPr>
  </w:style>
  <w:style w:type="paragraph" w:customStyle="1" w:styleId="21">
    <w:name w:val="正文 首行缩进:  2 字符"/>
    <w:basedOn w:val="Normal"/>
    <w:uiPriority w:val="99"/>
    <w:qFormat/>
    <w:pPr>
      <w:ind w:firstLine="579" w:firstLineChars="200"/>
    </w:pPr>
    <w:rPr>
      <w:rFonts w:cs="宋体"/>
    </w:rPr>
  </w:style>
  <w:style w:type="paragraph" w:customStyle="1" w:styleId="22">
    <w:name w:val="正文2"/>
    <w:basedOn w:val="Normal"/>
    <w:qFormat/>
    <w:pPr>
      <w:adjustRightInd w:val="0"/>
      <w:spacing w:line="360" w:lineRule="auto"/>
      <w:ind w:firstLine="480" w:firstLineChars="200"/>
      <w:textAlignment w:val="baseline"/>
    </w:pPr>
    <w:rPr>
      <w:rFonts w:ascii="宋体" w:hAnsi="宋体" w:cs="宋体"/>
      <w:kern w:val="21"/>
      <w:sz w:val="24"/>
    </w:rPr>
  </w:style>
  <w:style w:type="paragraph" w:customStyle="1" w:styleId="a19">
    <w:name w:val="文本"/>
    <w:basedOn w:val="Normal"/>
    <w:qFormat/>
    <w:pPr>
      <w:spacing w:line="360" w:lineRule="auto"/>
      <w:ind w:firstLine="480" w:firstLineChars="200"/>
    </w:pPr>
    <w:rPr>
      <w:sz w:val="24"/>
    </w:rPr>
  </w:style>
  <w:style w:type="paragraph" w:customStyle="1" w:styleId="a20">
    <w:name w:val="正文样式"/>
    <w:basedOn w:val="Normal"/>
    <w:qFormat/>
    <w:pPr>
      <w:spacing w:line="360" w:lineRule="auto"/>
      <w:ind w:right="0" w:firstLine="480" w:firstLineChars="200"/>
    </w:pPr>
    <w:rPr>
      <w:rFonts w:ascii="Times New Roman" w:eastAsia="宋体" w:hAnsi="Times New Roman"/>
      <w:sz w:val="24"/>
    </w:rPr>
  </w:style>
  <w:style w:type="paragraph" w:customStyle="1" w:styleId="a21">
    <w:name w:val="表格样式"/>
    <w:basedOn w:val="Normal"/>
    <w:qFormat/>
    <w:pPr>
      <w:spacing w:line="240" w:lineRule="auto"/>
      <w:ind w:firstLine="0" w:firstLineChars="0"/>
      <w:jc w:val="center"/>
    </w:pPr>
    <w:rPr>
      <w:rFonts w:ascii="Times New Roman" w:hAnsi="Times New Roman"/>
      <w:sz w:val="21"/>
      <w:szCs w:val="21"/>
    </w:rPr>
  </w:style>
  <w:style w:type="paragraph" w:customStyle="1" w:styleId="a22">
    <w:name w:val="环书三"/>
    <w:basedOn w:val="Heading3"/>
    <w:qFormat/>
    <w:pPr>
      <w:keepNext w:val="0"/>
      <w:keepLines w:val="0"/>
      <w:tabs>
        <w:tab w:val="left" w:pos="420"/>
      </w:tabs>
      <w:spacing w:after="78" w:afterLines="25"/>
    </w:pPr>
  </w:style>
  <w:style w:type="paragraph" w:customStyle="1" w:styleId="a23">
    <w:name w:val="表格内容"/>
    <w:basedOn w:val="Normal"/>
    <w:next w:val="Normal"/>
    <w:qFormat/>
    <w:pPr>
      <w:adjustRightInd w:val="0"/>
      <w:spacing w:line="240" w:lineRule="auto"/>
      <w:jc w:val="left"/>
      <w:textAlignment w:val="baseline"/>
    </w:pPr>
    <w:rPr>
      <w:rFonts w:ascii="宋体" w:eastAsia="宋体" w:hAnsi="宋体"/>
      <w:snapToGrid w:val="0"/>
      <w:color w:val="000000"/>
      <w:kern w:val="0"/>
      <w:sz w:val="21"/>
      <w:szCs w:val="21"/>
    </w:rPr>
  </w:style>
  <w:style w:type="paragraph" w:customStyle="1" w:styleId="05F">
    <w:name w:val="05F凡式正文"/>
    <w:basedOn w:val="Normal"/>
    <w:qFormat/>
    <w:pPr>
      <w:spacing w:line="360" w:lineRule="auto"/>
      <w:ind w:firstLine="720" w:firstLineChars="200"/>
    </w:pPr>
    <w:rPr>
      <w:kern w:val="0"/>
      <w:sz w:val="24"/>
      <w:szCs w:val="20"/>
    </w:rPr>
  </w:style>
  <w:style w:type="paragraph" w:customStyle="1" w:styleId="01">
    <w:name w:val="正文01"/>
    <w:basedOn w:val="Normal"/>
    <w:qFormat/>
    <w:pPr>
      <w:adjustRightInd w:val="0"/>
      <w:snapToGrid w:val="0"/>
      <w:spacing w:line="360" w:lineRule="auto"/>
      <w:ind w:firstLine="200" w:firstLineChars="200"/>
    </w:pPr>
    <w:rPr>
      <w:sz w:val="24"/>
    </w:rPr>
  </w:style>
  <w:style w:type="table" w:customStyle="1" w:styleId="A24">
    <w:name w:val="A表格样式"/>
    <w:basedOn w:val="TableNormal"/>
    <w:qFormat/>
    <w:pPr>
      <w:widowControl w:val="0"/>
      <w:jc w:val="center"/>
    </w:pPr>
    <w:rPr>
      <w:rFonts w:ascii="Times New Roman" w:eastAsia="宋体" w:hAnsi="Times New Roman" w:cs="Times New Roman"/>
      <w:kern w:val="0"/>
      <w:szCs w:val="20"/>
    </w:rPr>
    <w:tblPr>
      <w:tblBorders>
        <w:top w:val="single" w:sz="12" w:space="0" w:color="000000"/>
        <w:bottom w:val="single" w:sz="12" w:space="0" w:color="000000"/>
        <w:insideH w:val="single" w:sz="4" w:space="0" w:color="auto"/>
        <w:insideV w:val="single" w:sz="4" w:space="0" w:color="auto"/>
      </w:tblBorders>
      <w:tblCellMar>
        <w:left w:w="0" w:type="dxa"/>
        <w:right w:w="0" w:type="dxa"/>
      </w:tblCellMar>
    </w:tblPr>
    <w:tcPr>
      <w:vAlign w:val="center"/>
    </w:tcPr>
    <w:tblStylePr w:type="firstRow">
      <w:rPr>
        <w:b/>
      </w:rPr>
    </w:tblStylePr>
  </w:style>
  <w:style w:type="character" w:customStyle="1" w:styleId="font61">
    <w:name w:val="font61"/>
    <w:basedOn w:val="DefaultParagraphFont"/>
    <w:qFormat/>
    <w:rPr>
      <w:rFonts w:ascii="Times New Roman" w:hAnsi="Times New Roman" w:cs="Times New Roman" w:hint="default"/>
      <w:color w:val="000000"/>
      <w:sz w:val="21"/>
      <w:szCs w:val="21"/>
      <w:u w:val="none"/>
      <w:vertAlign w:val="superscript"/>
    </w:rPr>
  </w:style>
  <w:style w:type="paragraph" w:customStyle="1" w:styleId="YT4">
    <w:name w:val="YT表内"/>
    <w:basedOn w:val="yt"/>
    <w:qFormat/>
    <w:pPr>
      <w:spacing w:line="240" w:lineRule="atLeast"/>
      <w:ind w:firstLine="0" w:firstLineChars="0"/>
      <w:jc w:val="center"/>
    </w:pPr>
    <w:rPr>
      <w:rFonts w:ascii="Times New Roman" w:hAnsi="Times New Roman"/>
      <w:sz w:val="21"/>
      <w:szCs w:val="21"/>
    </w:rPr>
  </w:style>
  <w:style w:type="paragraph" w:customStyle="1" w:styleId="2Char">
    <w:name w:val="正文首行缩进2个字 Char"/>
    <w:basedOn w:val="Normal"/>
    <w:qFormat/>
    <w:pPr>
      <w:ind w:firstLine="480" w:firstLineChars="200"/>
    </w:pPr>
    <w:rPr>
      <w:rFonts w:eastAsia="楷体"/>
      <w:sz w:val="24"/>
    </w:rPr>
  </w:style>
  <w:style w:type="paragraph" w:customStyle="1" w:styleId="a25">
    <w:name w:val="环评表格"/>
    <w:basedOn w:val="Normal"/>
    <w:qFormat/>
    <w:pPr>
      <w:adjustRightInd w:val="0"/>
      <w:snapToGrid w:val="0"/>
      <w:spacing w:line="240" w:lineRule="auto"/>
      <w:ind w:firstLine="0" w:firstLineChars="0"/>
      <w:jc w:val="center"/>
    </w:pPr>
    <w:rPr>
      <w:rFonts w:ascii="Times New Roman" w:hAnsi="Times New Roman"/>
      <w:szCs w:val="21"/>
    </w:rPr>
  </w:style>
  <w:style w:type="paragraph" w:customStyle="1" w:styleId="a26">
    <w:name w:val="表格正文"/>
    <w:basedOn w:val="1"/>
    <w:next w:val="Normal"/>
    <w:qFormat/>
    <w:pPr>
      <w:jc w:val="center"/>
    </w:pPr>
    <w:rPr>
      <w:szCs w:val="21"/>
    </w:rPr>
  </w:style>
  <w:style w:type="paragraph" w:customStyle="1" w:styleId="lgg">
    <w:name w:val="lgg表格内文字"/>
    <w:basedOn w:val="Normal"/>
    <w:qFormat/>
    <w:pPr>
      <w:keepNext/>
      <w:keepLines/>
      <w:snapToGrid w:val="0"/>
      <w:jc w:val="center"/>
    </w:pPr>
    <w:rPr>
      <w:bCs/>
      <w:szCs w:val="32"/>
    </w:rPr>
  </w:style>
  <w:style w:type="paragraph" w:customStyle="1" w:styleId="0">
    <w:name w:val="0"/>
    <w:basedOn w:val="Normal"/>
    <w:qFormat/>
    <w:pPr>
      <w:widowControl/>
      <w:spacing w:before="100" w:beforeAutospacing="1" w:after="100" w:afterAutospacing="1"/>
      <w:jc w:val="left"/>
    </w:pPr>
    <w:rPr>
      <w:rFonts w:ascii="宋体" w:hAnsi="宋体" w:cs="宋体"/>
      <w:kern w:val="0"/>
      <w:sz w:val="24"/>
    </w:rPr>
  </w:style>
  <w:style w:type="paragraph" w:customStyle="1" w:styleId="a27">
    <w:name w:val="表头"/>
    <w:basedOn w:val="Caption"/>
    <w:next w:val="yt"/>
    <w:qFormat/>
    <w:pPr>
      <w:numPr>
        <w:ilvl w:val="6"/>
        <w:numId w:val="8"/>
      </w:numPr>
      <w:adjustRightInd w:val="0"/>
      <w:snapToGrid w:val="0"/>
      <w:spacing w:line="240" w:lineRule="auto"/>
      <w:ind w:left="1298" w:hanging="1298"/>
    </w:pPr>
    <w:rPr>
      <w:rFonts w:eastAsia="宋体" w:cs="Times New Roman"/>
      <w:bCs/>
    </w:rPr>
  </w:style>
  <w:style w:type="paragraph" w:customStyle="1" w:styleId="A28">
    <w:name w:val="A表内"/>
    <w:basedOn w:val="Normal"/>
    <w:qFormat/>
    <w:pPr>
      <w:spacing w:line="0" w:lineRule="atLeast"/>
      <w:jc w:val="center"/>
    </w:pPr>
    <w:rPr>
      <w:rFonts w:cs="宋体"/>
      <w:szCs w:val="20"/>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a29">
    <w:name w:val="环评表名"/>
    <w:basedOn w:val="PlainText"/>
    <w:qFormat/>
    <w:pPr>
      <w:adjustRightInd w:val="0"/>
      <w:spacing w:line="400" w:lineRule="exact"/>
      <w:jc w:val="center"/>
    </w:pPr>
    <w:rPr>
      <w:rFonts w:ascii="Times New Roman" w:eastAsia="黑体" w:hAnsi="Times New Roman" w:cs="Times New Roman"/>
      <w:sz w:val="24"/>
    </w:rPr>
  </w:style>
  <w:style w:type="paragraph" w:customStyle="1" w:styleId="-0">
    <w:name w:val="环评报告表新版-表格内容"/>
    <w:basedOn w:val="TableParagraph"/>
    <w:uiPriority w:val="1"/>
    <w:qFormat/>
    <w:pPr>
      <w:spacing w:line="360" w:lineRule="exact"/>
      <w:jc w:val="center"/>
    </w:pPr>
    <w:rPr>
      <w:rFonts w:ascii="Times New Roman" w:eastAsia="宋体" w:hAnsi="Times New Roman" w:cs="Times New Roman"/>
      <w:sz w:val="21"/>
      <w:szCs w:val="21"/>
    </w:rPr>
  </w:style>
  <w:style w:type="character" w:customStyle="1" w:styleId="font11">
    <w:name w:val="font11"/>
    <w:basedOn w:val="DefaultParagraphFont"/>
    <w:qFormat/>
    <w:rPr>
      <w:rFonts w:ascii="宋体" w:eastAsia="宋体" w:hAnsi="宋体" w:cs="宋体" w:hint="eastAsia"/>
      <w:color w:val="000000"/>
      <w:sz w:val="21"/>
      <w:szCs w:val="21"/>
      <w:u w:val="none"/>
    </w:rPr>
  </w:style>
  <w:style w:type="character" w:customStyle="1" w:styleId="font21">
    <w:name w:val="font21"/>
    <w:basedOn w:val="DefaultParagraphFont"/>
    <w:qFormat/>
    <w:rPr>
      <w:rFonts w:ascii="Times New Roman" w:hAnsi="Times New Roman" w:cs="Times New Roman" w:hint="default"/>
      <w:color w:val="000000"/>
      <w:sz w:val="21"/>
      <w:szCs w:val="21"/>
      <w:u w:val="none"/>
    </w:rPr>
  </w:style>
  <w:style w:type="character" w:customStyle="1" w:styleId="font31">
    <w:name w:val="font31"/>
    <w:basedOn w:val="DefaultParagraphFont"/>
    <w:qFormat/>
    <w:rPr>
      <w:rFonts w:ascii="宋体" w:eastAsia="宋体" w:hAnsi="宋体" w:cs="宋体" w:hint="eastAsia"/>
      <w:color w:val="000000"/>
      <w:sz w:val="22"/>
      <w:szCs w:val="22"/>
      <w:u w:val="none"/>
    </w:rPr>
  </w:style>
  <w:style w:type="paragraph" w:customStyle="1" w:styleId="HP">
    <w:name w:val="HP表头"/>
    <w:basedOn w:val="Normal"/>
    <w:next w:val="Normal"/>
    <w:qFormat/>
    <w:pPr>
      <w:numPr>
        <w:ilvl w:val="3"/>
        <w:numId w:val="9"/>
      </w:numPr>
      <w:tabs>
        <w:tab w:val="left" w:pos="0"/>
      </w:tabs>
      <w:spacing w:line="240" w:lineRule="auto"/>
      <w:jc w:val="center"/>
    </w:pPr>
    <w:rPr>
      <w:b/>
      <w:sz w:val="21"/>
      <w:szCs w:val="21"/>
      <w:lang w:eastAsia="en-US"/>
    </w:rPr>
  </w:style>
  <w:style w:type="table" w:customStyle="1" w:styleId="TableGrid0">
    <w:name w:val="Table Grid_0"/>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00">
    <w:name w:val="A表格样式_0"/>
    <w:basedOn w:val="TableNormal"/>
    <w:qFormat/>
    <w:pPr>
      <w:widowControl w:val="0"/>
      <w:jc w:val="center"/>
    </w:pPr>
    <w:tblPr>
      <w:tblBorders>
        <w:top w:val="single" w:sz="12" w:space="0" w:color="000000"/>
        <w:bottom w:val="single" w:sz="12" w:space="0" w:color="000000"/>
        <w:insideH w:val="single" w:sz="4" w:space="0" w:color="auto"/>
        <w:insideV w:val="single" w:sz="4" w:space="0" w:color="auto"/>
      </w:tblBorders>
      <w:tblCellMar>
        <w:left w:w="0" w:type="dxa"/>
        <w:right w:w="0" w:type="dxa"/>
      </w:tblCellMar>
    </w:tblPr>
    <w:tcPr>
      <w:vAlign w:val="center"/>
    </w:tcPr>
    <w:tblStylePr w:type="firstRow">
      <w:rPr>
        <w:b/>
      </w:rPr>
    </w:tblStylePr>
  </w:style>
  <w:style w:type="table" w:customStyle="1" w:styleId="A110">
    <w:name w:val="A表格样式_1"/>
    <w:basedOn w:val="TableNormal"/>
    <w:qFormat/>
    <w:pPr>
      <w:widowControl w:val="0"/>
      <w:jc w:val="center"/>
    </w:pPr>
    <w:tblPr>
      <w:tblBorders>
        <w:top w:val="single" w:sz="12" w:space="0" w:color="000000"/>
        <w:bottom w:val="single" w:sz="12" w:space="0" w:color="000000"/>
        <w:insideH w:val="single" w:sz="4" w:space="0" w:color="auto"/>
        <w:insideV w:val="single" w:sz="4" w:space="0" w:color="auto"/>
      </w:tblBorders>
      <w:tblCellMar>
        <w:left w:w="0" w:type="dxa"/>
        <w:right w:w="0" w:type="dxa"/>
      </w:tblCellMar>
    </w:tblPr>
    <w:tcPr>
      <w:vAlign w:val="center"/>
    </w:tcPr>
    <w:tblStylePr w:type="firstRow">
      <w:rPr>
        <w:b/>
      </w:rPr>
    </w:tblStylePr>
  </w:style>
  <w:style w:type="table" w:customStyle="1" w:styleId="A210">
    <w:name w:val="A表格样式_2"/>
    <w:basedOn w:val="TableNormal"/>
    <w:qFormat/>
    <w:pPr>
      <w:widowControl w:val="0"/>
      <w:jc w:val="center"/>
    </w:pPr>
    <w:tblPr>
      <w:tblBorders>
        <w:top w:val="single" w:sz="12" w:space="0" w:color="000000"/>
        <w:bottom w:val="single" w:sz="12" w:space="0" w:color="000000"/>
        <w:insideH w:val="single" w:sz="4" w:space="0" w:color="auto"/>
        <w:insideV w:val="single" w:sz="4" w:space="0" w:color="auto"/>
      </w:tblBorders>
      <w:tblCellMar>
        <w:left w:w="0" w:type="dxa"/>
        <w:right w:w="0" w:type="dxa"/>
      </w:tblCellMar>
    </w:tblPr>
    <w:tcPr>
      <w:vAlign w:val="center"/>
    </w:tcPr>
    <w:tblStylePr w:type="firstRow">
      <w:rPr>
        <w:b/>
      </w:rPr>
    </w:tblStylePr>
  </w:style>
  <w:style w:type="table" w:customStyle="1" w:styleId="TableGrid2">
    <w:name w:val="Table Grid_2"/>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image" Target="media/image2.emf" /><Relationship Id="rId3" Type="http://schemas.openxmlformats.org/officeDocument/2006/relationships/fontTable" Target="fontTable.xml" /><Relationship Id="rId30" Type="http://schemas.openxmlformats.org/officeDocument/2006/relationships/oleObject" Target="embeddings/oleObject1.bin" /><Relationship Id="rId31" Type="http://schemas.openxmlformats.org/officeDocument/2006/relationships/image" Target="media/image3.emf" /><Relationship Id="rId32" Type="http://schemas.openxmlformats.org/officeDocument/2006/relationships/oleObject" Target="embeddings/oleObject2.bin" /><Relationship Id="rId33" Type="http://schemas.openxmlformats.org/officeDocument/2006/relationships/footer" Target="footer24.xml" /><Relationship Id="rId34" Type="http://schemas.openxmlformats.org/officeDocument/2006/relationships/image" Target="media/image4.emf" /><Relationship Id="rId35" Type="http://schemas.openxmlformats.org/officeDocument/2006/relationships/oleObject" Target="embeddings/oleObject3.bin" /><Relationship Id="rId36" Type="http://schemas.openxmlformats.org/officeDocument/2006/relationships/footer" Target="footer25.xml" /><Relationship Id="rId37" Type="http://schemas.openxmlformats.org/officeDocument/2006/relationships/image" Target="media/image5.emf" /><Relationship Id="rId38" Type="http://schemas.openxmlformats.org/officeDocument/2006/relationships/oleObject" Target="embeddings/oleObject4.bin" /><Relationship Id="rId39" Type="http://schemas.openxmlformats.org/officeDocument/2006/relationships/footer" Target="footer26.xml" /><Relationship Id="rId4" Type="http://schemas.openxmlformats.org/officeDocument/2006/relationships/customXml" Target="../customXml/item1.xml" /><Relationship Id="rId40" Type="http://schemas.openxmlformats.org/officeDocument/2006/relationships/hyperlink" Target="https://d.book118.com/245013102322011114" TargetMode="External" /><Relationship Id="rId41" Type="http://schemas.openxmlformats.org/officeDocument/2006/relationships/footer" Target="footer27.xml" /><Relationship Id="rId42" Type="http://schemas.microsoft.com/office/2006/relationships/keyMapCustomizations" Target="customizations.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46" Type="http://schemas.microsoft.com/office/2011/relationships/people" Target="people.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37</Pages>
  <Words>38606</Words>
  <Characters>47750</Characters>
  <Application>Microsoft Office Word</Application>
  <DocSecurity>0</DocSecurity>
  <Lines>285</Lines>
  <Paragraphs>80</Paragraphs>
  <ScaleCrop>false</ScaleCrop>
  <Company>微软中国</Company>
  <LinksUpToDate>false</LinksUpToDate>
  <CharactersWithSpaces>47913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委员</cp:lastModifiedBy>
  <cp:revision>3</cp:revision>
  <cp:lastPrinted>2023-03-22T12:07:00Z</cp:lastPrinted>
  <dcterms:created xsi:type="dcterms:W3CDTF">2022-03-31T07:53:00Z</dcterms:created>
  <dcterms:modified xsi:type="dcterms:W3CDTF">2024-02-20T04:33:02Z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eyJoZGlkIjoiNjlmNDlhYmNjOWYwNTZiNTI0ZWQxN2ZiMTMzMTA0NWIifQ==</vt:lpwstr>
  </property>
  <property fmtid="{D5CDD505-2E9C-101B-9397-08002B2CF9AE}" pid="3" name="ICV">
    <vt:lpwstr>1FDF66EDFE2D4138816ECB61DEC196A6</vt:lpwstr>
  </property>
  <property fmtid="{D5CDD505-2E9C-101B-9397-08002B2CF9AE}" pid="4" name="KSOProductBuildVer">
    <vt:lpwstr>2052-12.1.0.15712</vt:lpwstr>
  </property>
</Properties>
</file>