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PCP项目建设总纲及方案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45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_Toc15450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66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_Toc12366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2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_Toc23212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_Toc16531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_Toc14536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3" w:history="1">
        <w:r>
          <w:rPr>
            <w:rFonts w:ascii="仿宋" w:eastAsia="仿宋" w:hAnsi="仿宋" w:cs="仿宋" w:hint="eastAsia"/>
            <w:lang w:eastAsia="zh-CN"/>
          </w:rPr>
          <w:t>二、PCP项目概论</w:t>
        </w:r>
        <w:r>
          <w:tab/>
        </w:r>
        <w:r>
          <w:fldChar w:fldCharType="begin"/>
        </w:r>
        <w:r>
          <w:instrText xml:space="preserve"> PAGEREF _Toc1943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9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_Toc5459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_Toc23640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85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_Toc23185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1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_Toc14911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3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_Toc20373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54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_Toc26654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2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_Toc29652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83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_Toc29683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9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_Toc24639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7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_Toc4627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4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_Toc8794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14" w:history="1">
        <w:r>
          <w:rPr>
            <w:rFonts w:ascii="仿宋" w:eastAsia="仿宋" w:hAnsi="仿宋" w:cs="仿宋" w:hint="eastAsia"/>
            <w:lang w:eastAsia="zh-CN"/>
          </w:rPr>
          <w:t>五、环境和生态影响分析</w:t>
        </w:r>
        <w:r>
          <w:tab/>
        </w:r>
        <w:r>
          <w:fldChar w:fldCharType="begin"/>
        </w:r>
        <w:r>
          <w:instrText xml:space="preserve"> PAGEREF _Toc8814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_Toc26859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_Toc29945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2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_Toc22321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0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_Toc28306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_Toc15046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89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_Toc31189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_Toc406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3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_Toc19383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0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_Toc30870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7" w:history="1">
        <w:r>
          <w:rPr>
            <w:rFonts w:ascii="仿宋" w:eastAsia="仿宋" w:hAnsi="仿宋" w:cs="仿宋" w:hint="eastAsia"/>
            <w:lang w:eastAsia="zh-CN"/>
          </w:rPr>
          <w:t>七、项目质量与标准</w:t>
        </w:r>
        <w:r>
          <w:tab/>
        </w:r>
        <w:r>
          <w:fldChar w:fldCharType="begin"/>
        </w:r>
        <w:r>
          <w:instrText xml:space="preserve"> PAGEREF _Toc487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7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_Toc24857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9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_Toc4419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1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_Toc6651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1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_Toc27871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47" w:history="1">
        <w:r>
          <w:rPr>
            <w:rFonts w:ascii="仿宋" w:eastAsia="仿宋" w:hAnsi="仿宋" w:cs="仿宋" w:hint="eastAsia"/>
            <w:lang w:eastAsia="zh-CN"/>
          </w:rPr>
          <w:t>八、资金管理与财务规划</w:t>
        </w:r>
        <w:r>
          <w:tab/>
        </w:r>
        <w:r>
          <w:fldChar w:fldCharType="begin"/>
        </w:r>
        <w:r>
          <w:instrText xml:space="preserve"> PAGEREF _Toc17147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4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_Toc21114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0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_Toc13300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2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_Toc20302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95" w:history="1">
        <w:r>
          <w:rPr>
            <w:rFonts w:ascii="仿宋" w:eastAsia="仿宋" w:hAnsi="仿宋" w:cs="仿宋" w:hint="eastAsia"/>
            <w:lang w:eastAsia="zh-CN"/>
          </w:rPr>
          <w:t>九、项目实施与管理方案</w:t>
        </w:r>
        <w:r>
          <w:tab/>
        </w:r>
        <w:r>
          <w:fldChar w:fldCharType="begin"/>
        </w:r>
        <w:r>
          <w:instrText xml:space="preserve"> PAGEREF _Toc11995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76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_Toc26776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8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_Toc10918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5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_Toc27995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65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_Toc18065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373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_Toc25373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77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_Toc12377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95" w:history="1">
        <w:r>
          <w:rPr>
            <w:rFonts w:ascii="仿宋" w:eastAsia="仿宋" w:hAnsi="仿宋" w:cs="仿宋" w:hint="eastAsia"/>
            <w:lang w:eastAsia="zh-CN"/>
          </w:rPr>
          <w:t>十一、环境保护与绿色发展</w:t>
        </w:r>
        <w:r>
          <w:tab/>
        </w:r>
        <w:r>
          <w:fldChar w:fldCharType="begin"/>
        </w:r>
        <w:r>
          <w:instrText xml:space="preserve"> PAGEREF _Toc19895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9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_Toc23899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7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_Toc21097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64" w:history="1">
        <w:r>
          <w:rPr>
            <w:rFonts w:ascii="仿宋" w:eastAsia="仿宋" w:hAnsi="仿宋" w:cs="仿宋" w:hint="eastAsia"/>
            <w:lang w:eastAsia="zh-CN"/>
          </w:rPr>
          <w:t>十二、客户关系管理与市场拓展</w:t>
        </w:r>
        <w:r>
          <w:tab/>
        </w:r>
        <w:r>
          <w:fldChar w:fldCharType="begin"/>
        </w:r>
        <w:r>
          <w:instrText xml:space="preserve"> PAGEREF _Toc13764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1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_Toc30931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5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_Toc2615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28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_Toc8328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0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_Toc12170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6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_Toc14416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35" w:history="1">
        <w:r>
          <w:rPr>
            <w:rFonts w:ascii="仿宋" w:eastAsia="仿宋" w:hAnsi="仿宋" w:cs="仿宋" w:hint="eastAsia"/>
            <w:lang w:eastAsia="zh-CN"/>
          </w:rPr>
          <w:t>十四、人力资源管理与开发</w:t>
        </w:r>
        <w:r>
          <w:tab/>
        </w:r>
        <w:r>
          <w:fldChar w:fldCharType="begin"/>
        </w:r>
        <w:r>
          <w:instrText xml:space="preserve"> PAGEREF _Toc14735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_Toc27727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4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_Toc21764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19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_Toc27319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9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_Toc539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4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_Toc6824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25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_Toc15425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_Toc16234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4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_Toc16644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0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_Toc4650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39" w:history="1">
        <w:r>
          <w:rPr>
            <w:rFonts w:ascii="仿宋" w:eastAsia="仿宋" w:hAnsi="仿宋" w:cs="仿宋" w:hint="eastAsia"/>
            <w:lang w:eastAsia="zh-CN"/>
          </w:rPr>
          <w:t>十七、项目施工方案</w:t>
        </w:r>
        <w:r>
          <w:tab/>
        </w:r>
        <w:r>
          <w:fldChar w:fldCharType="begin"/>
        </w:r>
        <w:r>
          <w:instrText xml:space="preserve"> PAGEREF _Toc30539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8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_Toc28378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09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_Toc16709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41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_Toc21741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4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_Toc5804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71" w:history="1">
        <w:r>
          <w:rPr>
            <w:rFonts w:ascii="仿宋" w:eastAsia="仿宋" w:hAnsi="仿宋" w:cs="仿宋" w:hint="eastAsia"/>
            <w:lang w:eastAsia="zh-CN"/>
          </w:rPr>
          <w:t>十八、企业合规与伦理</w:t>
        </w:r>
        <w:r>
          <w:tab/>
        </w:r>
        <w:r>
          <w:fldChar w:fldCharType="begin"/>
        </w:r>
        <w:r>
          <w:instrText xml:space="preserve"> PAGEREF _Toc29271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4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_Toc27804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7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_Toc13617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_Toc1013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97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_Toc29197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45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366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212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531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4536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943"/>
      <w:r>
        <w:rPr>
          <w:rFonts w:ascii="仿宋" w:eastAsia="仿宋" w:hAnsi="仿宋" w:cs="仿宋" w:hint="eastAsia"/>
          <w:sz w:val="28"/>
          <w:lang w:eastAsia="zh-CN"/>
        </w:rPr>
        <w:t>二、PCP项目概论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5459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PCP项目的申报单位是“XXX实业发展公司”，这是一家在其所处行业内备受尊敬的企业。公司自成立以来，通过其在PCP项目中表现出的创新精神和卓越执行力，在市场上赢得了显著的地位。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该公司的法定代表人秦XX，在PCP项目及其他多个行业领域中都有着显著的贡献。秦XX以其出色的领导才能和敏锐的商业洞察力，带领公司在PCP项目等多个领域实现了持续的成长和成功。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PCP项目的重要合作伙伴。公司专注于[行业名称]领域，以创新作为驱动力，不断推动技术进步和市场扩张。在PCP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PCP项目中展现了强劲的增长和稳定的财务表现。公司通过有效的策略，在PCP项目中扩大了其市场份额并增强了盈利能力。同时，公司积极承担社会责任，参与各类社会公益项目，增强了其在PCP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3640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PCP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PCP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3185"/>
      <w:r>
        <w:rPr>
          <w:rFonts w:ascii="仿宋" w:eastAsia="仿宋" w:hAnsi="仿宋" w:cs="仿宋" w:hint="eastAsia"/>
          <w:sz w:val="28"/>
          <w:lang w:eastAsia="zh-CN"/>
        </w:rPr>
        <w:t>三、经济影响分析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14911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直接收益：假设PCP项目的产品或服务年销售收入为XX万元。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净现值（NPV）是评估项目总收益与总成本现值的差额。假设项目预计持续XX年，每年的净收益为（年直接收益 年运营成本），折现率假定为XX%，则NPV计算为：NPV = ∑ [（年净收益） / （1 + 折现率）^年份]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内部收益率（IRR）是使得NPV为零的折现率，这是项目盈利能力的一个重要指标。通过财务软件或手工计算可得出IRR值。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风险和灵敏度分析：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风险分析包括考虑市场波动、成本超支和收入不达预期等因素对项目经济效益的影响。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灵敏度分析则涉及改变关键假设（如销售收入、原材料成本、能源价格）来观察NPV和IRR的变化，从而评估这些变量对项目经济效益的影响程度。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7. 长期效益与可持续性考虑：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除了直接的经济效益，项目的长期效益，如提升品牌形象、增强市场竞争力和推动行业创新，虽难以量化，但对企业的长期发展极为重要。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可持续性考虑包括项目对环境和社会的积极影响，如减少环境污染、创造就业机会和促进地区经济发展，这些效益虽不直接体现在财务报表上，却对企业的社会责任和长期可持续性至关重要。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0373"/>
      <w:r>
        <w:rPr>
          <w:rFonts w:ascii="仿宋" w:eastAsia="仿宋" w:hAnsi="仿宋" w:cs="仿宋" w:hint="eastAsia"/>
          <w:sz w:val="28"/>
          <w:lang w:eastAsia="zh-CN"/>
        </w:rPr>
        <w:t>(二)、行业影响分析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竞争格局变化：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PCP项目通过引入先进的人工智能技术优化生产流程，例如自动化的物流系统和智能数据分析，可能大幅提高产品的质量和生产效率。这可能迫使竞争对手也必须投资于类似技术，以保持市场竞争力。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此外，项目的创新应用可能吸引新的市场参与者，特别是科技领域的创新型初创企业，加入竞争，从而加剧了行业内的竞争压力。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技术发展推动：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PCP项目可能推动的新技术，如节能环保的生产设备和高度自动化的控制系统，不仅提高了能源利用效率，还减少了生产过程中的废物排放。这些实践可能成为行业内的新标准，引导其他企业进行类似的技术升级。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https://d.book118.com/245041032233011103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PCP项目建设总纲及方案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PCP项目建设总纲及方案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PCP项目建设总纲及方案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PCP项目建设总纲及方案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PCP项目建设总纲及方案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PCP项目建设总纲及方案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PCP项目建设总纲及方案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PCP项目建设总纲及方案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PCP项目建设总纲及方案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PCP项目建设总纲及方案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PCP项目建设总纲及方案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PCP项目建设总纲及方案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2966FC"/>
    <w:rsid w:val="462966F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24504103223301110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2024-02-06T11:59:00Z</dcterms:created>
  <dcterms:modified xsi:type="dcterms:W3CDTF">2024-02-06T11:59:45Z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2351F156355D4475ADDCAB565DEBD565_11</vt:lpwstr>
  </property>
  <property fmtid="{D5CDD505-2E9C-101B-9397-08002B2CF9AE}" pid="3" name="KSOProductBuildVer">
    <vt:lpwstr>2052-12.1.0.16250</vt:lpwstr>
  </property>
</Properties>
</file>