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sdt>
      <w:sdtPr>
        <w:rPr>
          <w:rFonts w:ascii="幼圆" w:eastAsia="幼圆" w:hAnsi="幼圆" w:cs="幼圆" w:hint="eastAsia"/>
          <w:kern w:val="2"/>
          <w:sz w:val="21"/>
          <w:szCs w:val="22"/>
          <w:lang w:val="en-US" w:eastAsia="zh-CN" w:bidi="ar-SA"/>
        </w:rPr>
        <w:id w:val="147475991"/>
        <w:docPartObj>
          <w:docPartGallery w:val="Table of Contents"/>
          <w:docPartUnique/>
        </w:docPartObj>
        <w15:color w:val="DBDBDB"/>
      </w:sdtPr>
      <w:sdtEndPr>
        <w:rPr>
          <w:rFonts w:ascii="幼圆" w:eastAsia="幼圆" w:hAnsi="幼圆" w:cs="幼圆" w:hint="eastAsia"/>
          <w:b/>
          <w:bCs/>
          <w:kern w:val="44"/>
          <w:sz w:val="30"/>
          <w:szCs w:val="44"/>
          <w:lang w:val="en-US" w:eastAsia="zh-CN" w:bidi="ar-SA"/>
        </w:rPr>
      </w:sdtEndPr>
      <w:sdtContent>
        <w:p>
          <w:pPr>
            <w:spacing w:before="0" w:beforeLines="0" w:after="0" w:afterLines="0" w:line="360" w:lineRule="auto"/>
            <w:ind w:left="0" w:right="0" w:firstLine="0" w:leftChars="0" w:rightChars="0" w:firstLineChars="0"/>
            <w:jc w:val="center"/>
            <w:rPr>
              <w:rFonts w:ascii="幼圆" w:eastAsia="幼圆" w:hAnsi="幼圆" w:cs="幼圆" w:hint="default"/>
            </w:rPr>
          </w:pPr>
          <w:bookmarkStart w:id="0" w:name="_Toc71287671"/>
          <w:bookmarkStart w:id="1" w:name="_GoBack"/>
          <w:r>
            <w:rPr>
              <w:rFonts w:ascii="幼圆" w:eastAsia="幼圆" w:hAnsi="幼圆" w:cs="幼圆" w:hint="eastAsia"/>
              <w:b/>
            </w:rPr>
            <w:t>煤炭行业及其内部控制</w:t>
          </w:r>
          <w:r>
            <w:rPr>
              <w:rFonts w:ascii="幼圆" w:eastAsia="幼圆" w:hAnsi="幼圆" w:cs="幼圆" w:hint="eastAsia"/>
              <w:b/>
              <w:lang w:val="en-US" w:eastAsia="zh-CN"/>
            </w:rPr>
            <w:t>研究—以S煤炭公司为例</w:t>
          </w:r>
        </w:p>
        <w:bookmarkEnd w:id="1"/>
        <w:p>
          <w:pPr>
            <w:pStyle w:val="WPSOffice1"/>
            <w:tabs>
              <w:tab w:val="right" w:leader="dot" w:pos="9354"/>
            </w:tabs>
            <w:spacing w:line="360" w:lineRule="auto"/>
            <w:rPr>
              <w:rFonts w:ascii="幼圆" w:eastAsia="幼圆" w:hAnsi="幼圆" w:cs="幼圆" w:hint="eastAsia"/>
              <w:b/>
            </w:rPr>
          </w:pPr>
          <w:r>
            <w:rPr>
              <w:rFonts w:ascii="幼圆" w:eastAsia="幼圆" w:hAnsi="幼圆" w:cs="幼圆" w:hint="eastAsia"/>
            </w:rPr>
            <w:fldChar w:fldCharType="begin"/>
          </w:r>
          <w:r>
            <w:rPr>
              <w:rFonts w:ascii="幼圆" w:eastAsia="幼圆" w:hAnsi="幼圆" w:cs="幼圆" w:hint="eastAsia"/>
            </w:rPr>
            <w:instrText xml:space="preserve">TOC \o "1-2" \h \u </w:instrText>
          </w:r>
          <w:r>
            <w:rPr>
              <w:rFonts w:ascii="幼圆" w:eastAsia="幼圆" w:hAnsi="幼圆" w:cs="幼圆" w:hint="eastAsia"/>
            </w:rPr>
            <w:fldChar w:fldCharType="separate"/>
          </w:r>
          <w:r>
            <w:rPr>
              <w:rFonts w:ascii="幼圆" w:eastAsia="幼圆" w:hAnsi="幼圆" w:cs="幼圆" w:hint="eastAsia"/>
              <w:b/>
            </w:rPr>
            <w:fldChar w:fldCharType="begin"/>
          </w:r>
          <w:r>
            <w:rPr>
              <w:rFonts w:ascii="幼圆" w:eastAsia="幼圆" w:hAnsi="幼圆" w:cs="幼圆" w:hint="eastAsia"/>
              <w:b/>
            </w:rPr>
            <w:instrText xml:space="preserve"> HYPERLINK \l _Toc5069 </w:instrText>
          </w:r>
          <w:r>
            <w:rPr>
              <w:rFonts w:ascii="幼圆" w:eastAsia="幼圆" w:hAnsi="幼圆" w:cs="幼圆" w:hint="eastAsia"/>
              <w:b/>
            </w:rPr>
            <w:fldChar w:fldCharType="separate"/>
          </w:r>
          <w:r>
            <w:rPr>
              <w:rFonts w:ascii="幼圆" w:eastAsia="幼圆" w:hAnsi="幼圆" w:cs="幼圆" w:hint="eastAsia"/>
              <w:b/>
            </w:rPr>
            <w:t>摘 要</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_Toc5069 \h </w:instrText>
          </w:r>
          <w:r>
            <w:rPr>
              <w:rFonts w:ascii="幼圆" w:eastAsia="幼圆" w:hAnsi="幼圆" w:cs="幼圆" w:hint="eastAsia"/>
              <w:b/>
            </w:rPr>
            <w:fldChar w:fldCharType="separate"/>
          </w:r>
          <w:r>
            <w:rPr>
              <w:rFonts w:ascii="幼圆" w:eastAsia="幼圆" w:hAnsi="幼圆" w:cs="幼圆" w:hint="eastAsia"/>
              <w:b/>
            </w:rPr>
            <w:t>1</w:t>
          </w:r>
          <w:r>
            <w:rPr>
              <w:rFonts w:ascii="幼圆" w:eastAsia="幼圆" w:hAnsi="幼圆" w:cs="幼圆" w:hint="eastAsia"/>
              <w:b/>
            </w:rPr>
            <w:fldChar w:fldCharType="end"/>
          </w:r>
          <w:r>
            <w:rPr>
              <w:rFonts w:ascii="幼圆" w:eastAsia="幼圆" w:hAnsi="幼圆" w:cs="幼圆" w:hint="eastAsia"/>
              <w:b/>
            </w:rPr>
            <w:fldChar w:fldCharType="end"/>
          </w:r>
        </w:p>
        <w:p>
          <w:pPr>
            <w:pStyle w:val="WPSOffice1"/>
            <w:tabs>
              <w:tab w:val="right" w:leader="dot" w:pos="9354"/>
            </w:tabs>
            <w:spacing w:line="360" w:lineRule="auto"/>
            <w:rPr>
              <w:rFonts w:ascii="幼圆" w:eastAsia="幼圆" w:hAnsi="幼圆" w:cs="幼圆" w:hint="eastAsia"/>
              <w:b/>
            </w:rPr>
          </w:pPr>
          <w:hyperlink w:anchor="_Toc9325" w:history="1">
            <w:r>
              <w:rPr>
                <w:rFonts w:ascii="幼圆" w:eastAsia="幼圆" w:hAnsi="幼圆" w:cs="幼圆" w:hint="eastAsia"/>
                <w:b/>
              </w:rPr>
              <w:t>第</w:t>
            </w:r>
            <w:r>
              <w:rPr>
                <w:rFonts w:ascii="幼圆" w:eastAsia="幼圆" w:hAnsi="幼圆" w:cs="幼圆" w:hint="eastAsia"/>
                <w:b/>
              </w:rPr>
              <w:t>1</w:t>
            </w:r>
            <w:r>
              <w:rPr>
                <w:rFonts w:ascii="幼圆" w:eastAsia="幼圆" w:hAnsi="幼圆" w:cs="幼圆" w:hint="eastAsia"/>
                <w:b/>
              </w:rPr>
              <w:t>章 绪论</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_Toc9325 \h </w:instrText>
            </w:r>
            <w:r>
              <w:rPr>
                <w:rFonts w:ascii="幼圆" w:eastAsia="幼圆" w:hAnsi="幼圆" w:cs="幼圆" w:hint="eastAsia"/>
                <w:b/>
              </w:rPr>
              <w:fldChar w:fldCharType="separate"/>
            </w:r>
            <w:r>
              <w:rPr>
                <w:rFonts w:ascii="幼圆" w:eastAsia="幼圆" w:hAnsi="幼圆" w:cs="幼圆" w:hint="eastAsia"/>
                <w:b/>
              </w:rPr>
              <w:t>2</w:t>
            </w:r>
            <w:r>
              <w:rPr>
                <w:rFonts w:ascii="幼圆" w:eastAsia="幼圆" w:hAnsi="幼圆" w:cs="幼圆" w:hint="eastAsia"/>
                <w:b/>
              </w:rPr>
              <w:fldChar w:fldCharType="end"/>
            </w:r>
          </w:hyperlink>
        </w:p>
        <w:p>
          <w:pPr>
            <w:pStyle w:val="WPSOffice2"/>
            <w:tabs>
              <w:tab w:val="right" w:leader="dot" w:pos="9354"/>
            </w:tabs>
            <w:spacing w:line="360" w:lineRule="auto"/>
            <w:rPr>
              <w:rFonts w:ascii="幼圆" w:eastAsia="幼圆" w:hAnsi="幼圆" w:cs="幼圆" w:hint="eastAsia"/>
            </w:rPr>
          </w:pPr>
          <w:hyperlink w:anchor="_Toc5012" w:history="1">
            <w:r>
              <w:rPr>
                <w:rFonts w:ascii="幼圆" w:eastAsia="幼圆" w:hAnsi="幼圆" w:cs="幼圆" w:hint="eastAsia"/>
              </w:rPr>
              <w:t>1.1 研究背景及意义</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_Toc5012 \h </w:instrText>
            </w:r>
            <w:r>
              <w:rPr>
                <w:rFonts w:ascii="幼圆" w:eastAsia="幼圆" w:hAnsi="幼圆" w:cs="幼圆" w:hint="eastAsia"/>
              </w:rPr>
              <w:fldChar w:fldCharType="separate"/>
            </w:r>
            <w:r>
              <w:rPr>
                <w:rFonts w:ascii="幼圆" w:eastAsia="幼圆" w:hAnsi="幼圆" w:cs="幼圆" w:hint="eastAsia"/>
              </w:rPr>
              <w:t>2</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2049" w:history="1">
            <w:r>
              <w:rPr>
                <w:rFonts w:ascii="幼圆" w:eastAsia="幼圆" w:hAnsi="幼圆" w:cs="幼圆" w:hint="eastAsia"/>
              </w:rPr>
              <w:t>1.2 文献综述</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_Toc2049 \h </w:instrText>
            </w:r>
            <w:r>
              <w:rPr>
                <w:rFonts w:ascii="幼圆" w:eastAsia="幼圆" w:hAnsi="幼圆" w:cs="幼圆" w:hint="eastAsia"/>
              </w:rPr>
              <w:fldChar w:fldCharType="separate"/>
            </w:r>
            <w:r>
              <w:rPr>
                <w:rFonts w:ascii="幼圆" w:eastAsia="幼圆" w:hAnsi="幼圆" w:cs="幼圆" w:hint="eastAsia"/>
              </w:rPr>
              <w:t>3</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13890" w:history="1">
            <w:r>
              <w:rPr>
                <w:rFonts w:ascii="幼圆" w:eastAsia="幼圆" w:hAnsi="幼圆" w:cs="幼圆" w:hint="eastAsia"/>
              </w:rPr>
              <w:t>1.3 研究方法</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_Toc13890 \h </w:instrText>
            </w:r>
            <w:r>
              <w:rPr>
                <w:rFonts w:ascii="幼圆" w:eastAsia="幼圆" w:hAnsi="幼圆" w:cs="幼圆" w:hint="eastAsia"/>
              </w:rPr>
              <w:fldChar w:fldCharType="separate"/>
            </w:r>
            <w:r>
              <w:rPr>
                <w:rFonts w:ascii="幼圆" w:eastAsia="幼圆" w:hAnsi="幼圆" w:cs="幼圆" w:hint="eastAsia"/>
              </w:rPr>
              <w:t>5</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21846" w:history="1">
            <w:r>
              <w:rPr>
                <w:rFonts w:ascii="幼圆" w:eastAsia="幼圆" w:hAnsi="幼圆" w:cs="幼圆" w:hint="eastAsia"/>
              </w:rPr>
              <w:t>1.4 研究思路</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_Toc21846 \h </w:instrText>
            </w:r>
            <w:r>
              <w:rPr>
                <w:rFonts w:ascii="幼圆" w:eastAsia="幼圆" w:hAnsi="幼圆" w:cs="幼圆" w:hint="eastAsia"/>
              </w:rPr>
              <w:fldChar w:fldCharType="separate"/>
            </w:r>
            <w:r>
              <w:rPr>
                <w:rFonts w:ascii="幼圆" w:eastAsia="幼圆" w:hAnsi="幼圆" w:cs="幼圆" w:hint="eastAsia"/>
              </w:rPr>
              <w:t>5</w:t>
            </w:r>
            <w:r>
              <w:rPr>
                <w:rFonts w:ascii="幼圆" w:eastAsia="幼圆" w:hAnsi="幼圆" w:cs="幼圆" w:hint="eastAsia"/>
              </w:rPr>
              <w:fldChar w:fldCharType="end"/>
            </w:r>
          </w:hyperlink>
        </w:p>
        <w:p>
          <w:pPr>
            <w:pStyle w:val="WPSOffice1"/>
            <w:tabs>
              <w:tab w:val="right" w:leader="dot" w:pos="9354"/>
            </w:tabs>
            <w:spacing w:line="360" w:lineRule="auto"/>
            <w:rPr>
              <w:rFonts w:ascii="幼圆" w:eastAsia="幼圆" w:hAnsi="幼圆" w:cs="幼圆" w:hint="eastAsia"/>
              <w:b/>
            </w:rPr>
          </w:pPr>
          <w:hyperlink w:anchor="_Toc21828" w:history="1">
            <w:r>
              <w:rPr>
                <w:rFonts w:ascii="幼圆" w:eastAsia="幼圆" w:hAnsi="幼圆" w:cs="幼圆" w:hint="eastAsia"/>
                <w:b/>
              </w:rPr>
              <w:t>第</w:t>
            </w:r>
            <w:r>
              <w:rPr>
                <w:rFonts w:ascii="幼圆" w:eastAsia="幼圆" w:hAnsi="幼圆" w:cs="幼圆" w:hint="eastAsia"/>
                <w:b/>
              </w:rPr>
              <w:t>2</w:t>
            </w:r>
            <w:r>
              <w:rPr>
                <w:rFonts w:ascii="幼圆" w:eastAsia="幼圆" w:hAnsi="幼圆" w:cs="幼圆" w:hint="eastAsia"/>
                <w:b/>
              </w:rPr>
              <w:t>章 相关概念与理论基础</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_Toc21828 \h </w:instrText>
            </w:r>
            <w:r>
              <w:rPr>
                <w:rFonts w:ascii="幼圆" w:eastAsia="幼圆" w:hAnsi="幼圆" w:cs="幼圆" w:hint="eastAsia"/>
                <w:b/>
              </w:rPr>
              <w:fldChar w:fldCharType="separate"/>
            </w:r>
            <w:r>
              <w:rPr>
                <w:rFonts w:ascii="幼圆" w:eastAsia="幼圆" w:hAnsi="幼圆" w:cs="幼圆" w:hint="eastAsia"/>
                <w:b/>
              </w:rPr>
              <w:t>7</w:t>
            </w:r>
            <w:r>
              <w:rPr>
                <w:rFonts w:ascii="幼圆" w:eastAsia="幼圆" w:hAnsi="幼圆" w:cs="幼圆" w:hint="eastAsia"/>
                <w:b/>
              </w:rPr>
              <w:fldChar w:fldCharType="end"/>
            </w:r>
          </w:hyperlink>
        </w:p>
        <w:p>
          <w:pPr>
            <w:pStyle w:val="WPSOffice2"/>
            <w:tabs>
              <w:tab w:val="right" w:leader="dot" w:pos="9354"/>
            </w:tabs>
            <w:spacing w:line="360" w:lineRule="auto"/>
            <w:rPr>
              <w:rFonts w:ascii="幼圆" w:eastAsia="幼圆" w:hAnsi="幼圆" w:cs="幼圆" w:hint="eastAsia"/>
            </w:rPr>
          </w:pPr>
          <w:hyperlink w:anchor="_Toc28137" w:history="1">
            <w:r>
              <w:rPr>
                <w:rFonts w:ascii="幼圆" w:eastAsia="幼圆" w:hAnsi="幼圆" w:cs="幼圆" w:hint="eastAsia"/>
              </w:rPr>
              <w:t>2.1 概念界定</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_Toc28137 \h </w:instrText>
            </w:r>
            <w:r>
              <w:rPr>
                <w:rFonts w:ascii="幼圆" w:eastAsia="幼圆" w:hAnsi="幼圆" w:cs="幼圆" w:hint="eastAsia"/>
              </w:rPr>
              <w:fldChar w:fldCharType="separate"/>
            </w:r>
            <w:r>
              <w:rPr>
                <w:rFonts w:ascii="幼圆" w:eastAsia="幼圆" w:hAnsi="幼圆" w:cs="幼圆" w:hint="eastAsia"/>
              </w:rPr>
              <w:t>7</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2783" w:history="1">
            <w:r>
              <w:rPr>
                <w:rFonts w:ascii="幼圆" w:eastAsia="幼圆" w:hAnsi="幼圆" w:cs="幼圆" w:hint="eastAsia"/>
              </w:rPr>
              <w:t>2.2 理论基础</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_Toc2783 \h </w:instrText>
            </w:r>
            <w:r>
              <w:rPr>
                <w:rFonts w:ascii="幼圆" w:eastAsia="幼圆" w:hAnsi="幼圆" w:cs="幼圆" w:hint="eastAsia"/>
              </w:rPr>
              <w:fldChar w:fldCharType="separate"/>
            </w:r>
            <w:r>
              <w:rPr>
                <w:rFonts w:ascii="幼圆" w:eastAsia="幼圆" w:hAnsi="幼圆" w:cs="幼圆" w:hint="eastAsia"/>
              </w:rPr>
              <w:t>9</w:t>
            </w:r>
            <w:r>
              <w:rPr>
                <w:rFonts w:ascii="幼圆" w:eastAsia="幼圆" w:hAnsi="幼圆" w:cs="幼圆" w:hint="eastAsia"/>
              </w:rPr>
              <w:fldChar w:fldCharType="end"/>
            </w:r>
          </w:hyperlink>
        </w:p>
        <w:p>
          <w:pPr>
            <w:pStyle w:val="WPSOffice1"/>
            <w:tabs>
              <w:tab w:val="right" w:leader="dot" w:pos="9354"/>
            </w:tabs>
            <w:spacing w:line="360" w:lineRule="auto"/>
            <w:rPr>
              <w:rFonts w:ascii="幼圆" w:eastAsia="幼圆" w:hAnsi="幼圆" w:cs="幼圆" w:hint="eastAsia"/>
              <w:b/>
            </w:rPr>
          </w:pPr>
          <w:hyperlink w:anchor="_Toc11964" w:history="1">
            <w:r>
              <w:rPr>
                <w:rFonts w:ascii="幼圆" w:eastAsia="幼圆" w:hAnsi="幼圆" w:cs="幼圆" w:hint="eastAsia"/>
                <w:b/>
              </w:rPr>
              <w:t>第</w:t>
            </w:r>
            <w:r>
              <w:rPr>
                <w:rFonts w:ascii="幼圆" w:eastAsia="幼圆" w:hAnsi="幼圆" w:cs="幼圆" w:hint="eastAsia"/>
                <w:b/>
              </w:rPr>
              <w:t>3</w:t>
            </w:r>
            <w:r>
              <w:rPr>
                <w:rFonts w:ascii="幼圆" w:eastAsia="幼圆" w:hAnsi="幼圆" w:cs="幼圆" w:hint="eastAsia"/>
                <w:b/>
              </w:rPr>
              <w:t>章 煤炭行业及其内部控制现状分析</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_Toc11964 \h </w:instrText>
            </w:r>
            <w:r>
              <w:rPr>
                <w:rFonts w:ascii="幼圆" w:eastAsia="幼圆" w:hAnsi="幼圆" w:cs="幼圆" w:hint="eastAsia"/>
                <w:b/>
              </w:rPr>
              <w:fldChar w:fldCharType="separate"/>
            </w:r>
            <w:r>
              <w:rPr>
                <w:rFonts w:ascii="幼圆" w:eastAsia="幼圆" w:hAnsi="幼圆" w:cs="幼圆" w:hint="eastAsia"/>
                <w:b/>
              </w:rPr>
              <w:t>10</w:t>
            </w:r>
            <w:r>
              <w:rPr>
                <w:rFonts w:ascii="幼圆" w:eastAsia="幼圆" w:hAnsi="幼圆" w:cs="幼圆" w:hint="eastAsia"/>
                <w:b/>
              </w:rPr>
              <w:fldChar w:fldCharType="end"/>
            </w:r>
          </w:hyperlink>
        </w:p>
        <w:p>
          <w:pPr>
            <w:pStyle w:val="WPSOffice2"/>
            <w:tabs>
              <w:tab w:val="right" w:leader="dot" w:pos="9354"/>
            </w:tabs>
            <w:spacing w:line="360" w:lineRule="auto"/>
            <w:rPr>
              <w:rFonts w:ascii="幼圆" w:eastAsia="幼圆" w:hAnsi="幼圆" w:cs="幼圆" w:hint="eastAsia"/>
            </w:rPr>
          </w:pPr>
          <w:hyperlink w:anchor="_Toc1171" w:history="1">
            <w:r>
              <w:rPr>
                <w:rFonts w:ascii="幼圆" w:eastAsia="幼圆" w:hAnsi="幼圆" w:cs="幼圆" w:hint="eastAsia"/>
              </w:rPr>
              <w:t>3.1 煤炭行业现状分析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_Toc1171 \h </w:instrText>
            </w:r>
            <w:r>
              <w:rPr>
                <w:rFonts w:ascii="幼圆" w:eastAsia="幼圆" w:hAnsi="幼圆" w:cs="幼圆" w:hint="eastAsia"/>
              </w:rPr>
              <w:fldChar w:fldCharType="separate"/>
            </w:r>
            <w:r>
              <w:rPr>
                <w:rFonts w:ascii="幼圆" w:eastAsia="幼圆" w:hAnsi="幼圆" w:cs="幼圆" w:hint="eastAsia"/>
              </w:rPr>
              <w:t>10</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27062" w:history="1">
            <w:r>
              <w:rPr>
                <w:rFonts w:ascii="幼圆" w:eastAsia="幼圆" w:hAnsi="幼圆" w:cs="幼圆" w:hint="eastAsia"/>
              </w:rPr>
              <w:t>3.2 煤炭行业内部控制现状分析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_Toc27062 \h </w:instrText>
            </w:r>
            <w:r>
              <w:rPr>
                <w:rFonts w:ascii="幼圆" w:eastAsia="幼圆" w:hAnsi="幼圆" w:cs="幼圆" w:hint="eastAsia"/>
              </w:rPr>
              <w:fldChar w:fldCharType="separate"/>
            </w:r>
            <w:r>
              <w:rPr>
                <w:rFonts w:ascii="幼圆" w:eastAsia="幼圆" w:hAnsi="幼圆" w:cs="幼圆" w:hint="eastAsia"/>
              </w:rPr>
              <w:t>14</w:t>
            </w:r>
            <w:r>
              <w:rPr>
                <w:rFonts w:ascii="幼圆" w:eastAsia="幼圆" w:hAnsi="幼圆" w:cs="幼圆" w:hint="eastAsia"/>
              </w:rPr>
              <w:fldChar w:fldCharType="end"/>
            </w:r>
          </w:hyperlink>
        </w:p>
        <w:p>
          <w:pPr>
            <w:pStyle w:val="WPSOffice1"/>
            <w:tabs>
              <w:tab w:val="right" w:leader="dot" w:pos="9354"/>
            </w:tabs>
            <w:spacing w:line="360" w:lineRule="auto"/>
            <w:rPr>
              <w:rFonts w:ascii="幼圆" w:eastAsia="幼圆" w:hAnsi="幼圆" w:cs="幼圆" w:hint="eastAsia"/>
              <w:b/>
            </w:rPr>
          </w:pPr>
          <w:hyperlink w:anchor="_Toc17804" w:history="1">
            <w:r>
              <w:rPr>
                <w:rFonts w:ascii="幼圆" w:eastAsia="幼圆" w:hAnsi="幼圆" w:cs="幼圆" w:hint="eastAsia"/>
                <w:b/>
              </w:rPr>
              <w:t xml:space="preserve">第4章 </w:t>
            </w:r>
            <w:r>
              <w:rPr>
                <w:rFonts w:ascii="幼圆" w:eastAsia="幼圆" w:hAnsi="幼圆" w:cs="幼圆" w:hint="eastAsia"/>
                <w:b/>
                <w:lang w:eastAsia="zh-CN"/>
              </w:rPr>
              <w:t>S</w:t>
            </w:r>
            <w:r>
              <w:rPr>
                <w:rFonts w:ascii="幼圆" w:eastAsia="幼圆" w:hAnsi="幼圆" w:cs="幼圆" w:hint="eastAsia"/>
                <w:b/>
              </w:rPr>
              <w:t>煤炭公司案例分析</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_Toc17804 \h </w:instrText>
            </w:r>
            <w:r>
              <w:rPr>
                <w:rFonts w:ascii="幼圆" w:eastAsia="幼圆" w:hAnsi="幼圆" w:cs="幼圆" w:hint="eastAsia"/>
                <w:b/>
              </w:rPr>
              <w:fldChar w:fldCharType="separate"/>
            </w:r>
            <w:r>
              <w:rPr>
                <w:rFonts w:ascii="幼圆" w:eastAsia="幼圆" w:hAnsi="幼圆" w:cs="幼圆" w:hint="eastAsia"/>
                <w:b/>
              </w:rPr>
              <w:t>16</w:t>
            </w:r>
            <w:r>
              <w:rPr>
                <w:rFonts w:ascii="幼圆" w:eastAsia="幼圆" w:hAnsi="幼圆" w:cs="幼圆" w:hint="eastAsia"/>
                <w:b/>
              </w:rPr>
              <w:fldChar w:fldCharType="end"/>
            </w:r>
          </w:hyperlink>
        </w:p>
        <w:p>
          <w:pPr>
            <w:pStyle w:val="WPSOffice2"/>
            <w:tabs>
              <w:tab w:val="right" w:leader="dot" w:pos="9354"/>
            </w:tabs>
            <w:spacing w:line="360" w:lineRule="auto"/>
            <w:rPr>
              <w:rFonts w:ascii="幼圆" w:eastAsia="幼圆" w:hAnsi="幼圆" w:cs="幼圆" w:hint="eastAsia"/>
            </w:rPr>
          </w:pPr>
          <w:hyperlink w:anchor="_Toc4800" w:history="1">
            <w:r>
              <w:rPr>
                <w:rFonts w:ascii="幼圆" w:eastAsia="幼圆" w:hAnsi="幼圆" w:cs="幼圆" w:hint="eastAsia"/>
              </w:rPr>
              <w:t xml:space="preserve">4.1 </w:t>
            </w:r>
            <w:r>
              <w:rPr>
                <w:rFonts w:ascii="幼圆" w:eastAsia="幼圆" w:hAnsi="幼圆" w:cs="幼圆" w:hint="eastAsia"/>
                <w:lang w:eastAsia="zh-CN"/>
              </w:rPr>
              <w:t>S</w:t>
            </w:r>
            <w:r>
              <w:rPr>
                <w:rFonts w:ascii="幼圆" w:eastAsia="幼圆" w:hAnsi="幼圆" w:cs="幼圆" w:hint="eastAsia"/>
              </w:rPr>
              <w:t>煤炭公司基本情况</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_Toc4800 \h </w:instrText>
            </w:r>
            <w:r>
              <w:rPr>
                <w:rFonts w:ascii="幼圆" w:eastAsia="幼圆" w:hAnsi="幼圆" w:cs="幼圆" w:hint="eastAsia"/>
              </w:rPr>
              <w:fldChar w:fldCharType="separate"/>
            </w:r>
            <w:r>
              <w:rPr>
                <w:rFonts w:ascii="幼圆" w:eastAsia="幼圆" w:hAnsi="幼圆" w:cs="幼圆" w:hint="eastAsia"/>
              </w:rPr>
              <w:t>16</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16816" w:history="1">
            <w:r>
              <w:rPr>
                <w:rFonts w:ascii="幼圆" w:eastAsia="幼圆" w:hAnsi="幼圆" w:cs="幼圆" w:hint="eastAsia"/>
              </w:rPr>
              <w:t xml:space="preserve">4.2 </w:t>
            </w:r>
            <w:r>
              <w:rPr>
                <w:rFonts w:ascii="幼圆" w:eastAsia="幼圆" w:hAnsi="幼圆" w:cs="幼圆" w:hint="eastAsia"/>
                <w:lang w:eastAsia="zh-CN"/>
              </w:rPr>
              <w:t>S</w:t>
            </w:r>
            <w:r>
              <w:rPr>
                <w:rFonts w:ascii="幼圆" w:eastAsia="幼圆" w:hAnsi="幼圆" w:cs="幼圆" w:hint="eastAsia"/>
              </w:rPr>
              <w:t>煤炭公司内部控制建设背景</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_Toc16816 \h </w:instrText>
            </w:r>
            <w:r>
              <w:rPr>
                <w:rFonts w:ascii="幼圆" w:eastAsia="幼圆" w:hAnsi="幼圆" w:cs="幼圆" w:hint="eastAsia"/>
              </w:rPr>
              <w:fldChar w:fldCharType="separate"/>
            </w:r>
            <w:r>
              <w:rPr>
                <w:rFonts w:ascii="幼圆" w:eastAsia="幼圆" w:hAnsi="幼圆" w:cs="幼圆" w:hint="eastAsia"/>
              </w:rPr>
              <w:t>17</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1835" w:history="1">
            <w:r>
              <w:rPr>
                <w:rFonts w:ascii="幼圆" w:eastAsia="幼圆" w:hAnsi="幼圆" w:cs="幼圆" w:hint="eastAsia"/>
              </w:rPr>
              <w:t>4.3</w:t>
            </w:r>
            <w:r>
              <w:rPr>
                <w:rFonts w:ascii="幼圆" w:eastAsia="幼圆" w:hAnsi="幼圆" w:cs="幼圆" w:hint="eastAsia"/>
                <w:lang w:eastAsia="zh-CN"/>
              </w:rPr>
              <w:t>S</w:t>
            </w:r>
            <w:r>
              <w:rPr>
                <w:rFonts w:ascii="幼圆" w:eastAsia="幼圆" w:hAnsi="幼圆" w:cs="幼圆" w:hint="eastAsia"/>
              </w:rPr>
              <w:t>煤炭公司内部控制存在的问题</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_Toc1835 \h </w:instrText>
            </w:r>
            <w:r>
              <w:rPr>
                <w:rFonts w:ascii="幼圆" w:eastAsia="幼圆" w:hAnsi="幼圆" w:cs="幼圆" w:hint="eastAsia"/>
              </w:rPr>
              <w:fldChar w:fldCharType="separate"/>
            </w:r>
            <w:r>
              <w:rPr>
                <w:rFonts w:ascii="幼圆" w:eastAsia="幼圆" w:hAnsi="幼圆" w:cs="幼圆" w:hint="eastAsia"/>
              </w:rPr>
              <w:t>17</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15884" w:history="1">
            <w:r>
              <w:rPr>
                <w:rFonts w:ascii="幼圆" w:eastAsia="幼圆" w:hAnsi="幼圆" w:cs="幼圆" w:hint="eastAsia"/>
              </w:rPr>
              <w:t xml:space="preserve">4.4 </w:t>
            </w:r>
            <w:r>
              <w:rPr>
                <w:rFonts w:ascii="幼圆" w:eastAsia="幼圆" w:hAnsi="幼圆" w:cs="幼圆" w:hint="eastAsia"/>
                <w:lang w:eastAsia="zh-CN"/>
              </w:rPr>
              <w:t>S</w:t>
            </w:r>
            <w:r>
              <w:rPr>
                <w:rFonts w:ascii="幼圆" w:eastAsia="幼圆" w:hAnsi="幼圆" w:cs="幼圆" w:hint="eastAsia"/>
              </w:rPr>
              <w:t>煤炭公司内部控制缺陷的原因辨析</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_Toc15884 \h </w:instrText>
            </w:r>
            <w:r>
              <w:rPr>
                <w:rFonts w:ascii="幼圆" w:eastAsia="幼圆" w:hAnsi="幼圆" w:cs="幼圆" w:hint="eastAsia"/>
              </w:rPr>
              <w:fldChar w:fldCharType="separate"/>
            </w:r>
            <w:r>
              <w:rPr>
                <w:rFonts w:ascii="幼圆" w:eastAsia="幼圆" w:hAnsi="幼圆" w:cs="幼圆" w:hint="eastAsia"/>
              </w:rPr>
              <w:t>19</w:t>
            </w:r>
            <w:r>
              <w:rPr>
                <w:rFonts w:ascii="幼圆" w:eastAsia="幼圆" w:hAnsi="幼圆" w:cs="幼圆" w:hint="eastAsia"/>
              </w:rPr>
              <w:fldChar w:fldCharType="end"/>
            </w:r>
          </w:hyperlink>
        </w:p>
        <w:p>
          <w:pPr>
            <w:pStyle w:val="WPSOffice1"/>
            <w:tabs>
              <w:tab w:val="right" w:leader="dot" w:pos="9354"/>
            </w:tabs>
            <w:spacing w:line="360" w:lineRule="auto"/>
            <w:rPr>
              <w:rFonts w:ascii="幼圆" w:eastAsia="幼圆" w:hAnsi="幼圆" w:cs="幼圆" w:hint="eastAsia"/>
              <w:b/>
            </w:rPr>
          </w:pPr>
          <w:hyperlink w:anchor="_Toc18656" w:history="1">
            <w:r>
              <w:rPr>
                <w:rFonts w:ascii="幼圆" w:eastAsia="幼圆" w:hAnsi="幼圆" w:cs="幼圆" w:hint="eastAsia"/>
                <w:b/>
              </w:rPr>
              <w:t>第5章 对策与建议</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_Toc18656 \h </w:instrText>
            </w:r>
            <w:r>
              <w:rPr>
                <w:rFonts w:ascii="幼圆" w:eastAsia="幼圆" w:hAnsi="幼圆" w:cs="幼圆" w:hint="eastAsia"/>
                <w:b/>
              </w:rPr>
              <w:fldChar w:fldCharType="separate"/>
            </w:r>
            <w:r>
              <w:rPr>
                <w:rFonts w:ascii="幼圆" w:eastAsia="幼圆" w:hAnsi="幼圆" w:cs="幼圆" w:hint="eastAsia"/>
                <w:b/>
              </w:rPr>
              <w:t>22</w:t>
            </w:r>
            <w:r>
              <w:rPr>
                <w:rFonts w:ascii="幼圆" w:eastAsia="幼圆" w:hAnsi="幼圆" w:cs="幼圆" w:hint="eastAsia"/>
                <w:b/>
              </w:rPr>
              <w:fldChar w:fldCharType="end"/>
            </w:r>
          </w:hyperlink>
        </w:p>
        <w:p>
          <w:pPr>
            <w:pStyle w:val="WPSOffice2"/>
            <w:tabs>
              <w:tab w:val="right" w:leader="dot" w:pos="9354"/>
            </w:tabs>
            <w:spacing w:line="360" w:lineRule="auto"/>
            <w:rPr>
              <w:rFonts w:ascii="幼圆" w:eastAsia="幼圆" w:hAnsi="幼圆" w:cs="幼圆" w:hint="eastAsia"/>
            </w:rPr>
          </w:pPr>
          <w:hyperlink w:anchor="_Toc2475" w:history="1">
            <w:r>
              <w:rPr>
                <w:rFonts w:ascii="幼圆" w:eastAsia="幼圆" w:hAnsi="幼圆" w:cs="幼圆" w:hint="eastAsia"/>
              </w:rPr>
              <w:t>5.1 优化煤炭企业内部控制环境</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_Toc2475 \h </w:instrText>
            </w:r>
            <w:r>
              <w:rPr>
                <w:rFonts w:ascii="幼圆" w:eastAsia="幼圆" w:hAnsi="幼圆" w:cs="幼圆" w:hint="eastAsia"/>
              </w:rPr>
              <w:fldChar w:fldCharType="separate"/>
            </w:r>
            <w:r>
              <w:rPr>
                <w:rFonts w:ascii="幼圆" w:eastAsia="幼圆" w:hAnsi="幼圆" w:cs="幼圆" w:hint="eastAsia"/>
              </w:rPr>
              <w:t>22</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5221" w:history="1">
            <w:r>
              <w:rPr>
                <w:rFonts w:ascii="幼圆" w:eastAsia="幼圆" w:hAnsi="幼圆" w:cs="幼圆" w:hint="eastAsia"/>
              </w:rPr>
              <w:t>5.2 优化煤炭企业风险评估程序</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_Toc5221 \h </w:instrText>
            </w:r>
            <w:r>
              <w:rPr>
                <w:rFonts w:ascii="幼圆" w:eastAsia="幼圆" w:hAnsi="幼圆" w:cs="幼圆" w:hint="eastAsia"/>
              </w:rPr>
              <w:fldChar w:fldCharType="separate"/>
            </w:r>
            <w:r>
              <w:rPr>
                <w:rFonts w:ascii="幼圆" w:eastAsia="幼圆" w:hAnsi="幼圆" w:cs="幼圆" w:hint="eastAsia"/>
              </w:rPr>
              <w:t>23</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31258" w:history="1">
            <w:r>
              <w:rPr>
                <w:rFonts w:ascii="幼圆" w:eastAsia="幼圆" w:hAnsi="幼圆" w:cs="幼圆" w:hint="eastAsia"/>
              </w:rPr>
              <w:t>5.3 强化煤炭企业控制活动力度</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_Toc31258 \h </w:instrText>
            </w:r>
            <w:r>
              <w:rPr>
                <w:rFonts w:ascii="幼圆" w:eastAsia="幼圆" w:hAnsi="幼圆" w:cs="幼圆" w:hint="eastAsia"/>
              </w:rPr>
              <w:fldChar w:fldCharType="separate"/>
            </w:r>
            <w:r>
              <w:rPr>
                <w:rFonts w:ascii="幼圆" w:eastAsia="幼圆" w:hAnsi="幼圆" w:cs="幼圆" w:hint="eastAsia"/>
              </w:rPr>
              <w:t>23</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12224" w:history="1">
            <w:r>
              <w:rPr>
                <w:rFonts w:ascii="幼圆" w:eastAsia="幼圆" w:hAnsi="幼圆" w:cs="幼圆" w:hint="eastAsia"/>
              </w:rPr>
              <w:t>5.4 优化煤炭企业信息与沟通机制</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_Toc12224 \h </w:instrText>
            </w:r>
            <w:r>
              <w:rPr>
                <w:rFonts w:ascii="幼圆" w:eastAsia="幼圆" w:hAnsi="幼圆" w:cs="幼圆" w:hint="eastAsia"/>
              </w:rPr>
              <w:fldChar w:fldCharType="separate"/>
            </w:r>
            <w:r>
              <w:rPr>
                <w:rFonts w:ascii="幼圆" w:eastAsia="幼圆" w:hAnsi="幼圆" w:cs="幼圆" w:hint="eastAsia"/>
              </w:rPr>
              <w:t>24</w:t>
            </w:r>
            <w:r>
              <w:rPr>
                <w:rFonts w:ascii="幼圆" w:eastAsia="幼圆" w:hAnsi="幼圆" w:cs="幼圆" w:hint="eastAsia"/>
              </w:rPr>
              <w:fldChar w:fldCharType="end"/>
            </w:r>
          </w:hyperlink>
        </w:p>
        <w:p>
          <w:pPr>
            <w:pStyle w:val="WPSOffice2"/>
            <w:tabs>
              <w:tab w:val="right" w:leader="dot" w:pos="9354"/>
            </w:tabs>
            <w:spacing w:line="360" w:lineRule="auto"/>
            <w:rPr>
              <w:rFonts w:ascii="幼圆" w:eastAsia="幼圆" w:hAnsi="幼圆" w:cs="幼圆" w:hint="eastAsia"/>
            </w:rPr>
          </w:pPr>
          <w:hyperlink w:anchor="_Toc12588" w:history="1">
            <w:r>
              <w:rPr>
                <w:rFonts w:ascii="幼圆" w:eastAsia="幼圆" w:hAnsi="幼圆" w:cs="幼圆" w:hint="eastAsia"/>
              </w:rPr>
              <w:t>5.5 优化煤炭企业内部监督</w:t>
            </w:r>
            <w:r>
              <w:rPr>
                <w:rFonts w:ascii="幼圆" w:eastAsia="幼圆" w:hAnsi="幼圆" w:cs="幼圆" w:hint="eastAsia"/>
              </w:rPr>
              <w:tab/>
            </w:r>
            <w:r>
              <w:rPr>
                <w:rFonts w:ascii="幼圆" w:eastAsia="幼圆" w:hAnsi="幼圆" w:cs="幼圆" w:hint="eastAsia"/>
              </w:rPr>
              <w:fldChar w:fldCharType="begin"/>
            </w:r>
            <w:r>
              <w:rPr>
                <w:rFonts w:ascii="幼圆" w:eastAsia="幼圆" w:hAnsi="幼圆" w:cs="幼圆" w:hint="eastAsia"/>
              </w:rPr>
              <w:instrText xml:space="preserve"> PAGEREF _Toc12588 \h </w:instrText>
            </w:r>
            <w:r>
              <w:rPr>
                <w:rFonts w:ascii="幼圆" w:eastAsia="幼圆" w:hAnsi="幼圆" w:cs="幼圆" w:hint="eastAsia"/>
              </w:rPr>
              <w:fldChar w:fldCharType="separate"/>
            </w:r>
            <w:r>
              <w:rPr>
                <w:rFonts w:ascii="幼圆" w:eastAsia="幼圆" w:hAnsi="幼圆" w:cs="幼圆" w:hint="eastAsia"/>
              </w:rPr>
              <w:t>24</w:t>
            </w:r>
            <w:r>
              <w:rPr>
                <w:rFonts w:ascii="幼圆" w:eastAsia="幼圆" w:hAnsi="幼圆" w:cs="幼圆" w:hint="eastAsia"/>
              </w:rPr>
              <w:fldChar w:fldCharType="end"/>
            </w:r>
          </w:hyperlink>
        </w:p>
        <w:p>
          <w:pPr>
            <w:pStyle w:val="WPSOffice1"/>
            <w:tabs>
              <w:tab w:val="right" w:leader="dot" w:pos="9354"/>
            </w:tabs>
            <w:spacing w:line="360" w:lineRule="auto"/>
            <w:rPr>
              <w:rFonts w:ascii="幼圆" w:eastAsia="幼圆" w:hAnsi="幼圆" w:cs="幼圆" w:hint="eastAsia"/>
              <w:b/>
            </w:rPr>
          </w:pPr>
          <w:hyperlink w:anchor="_Toc446" w:history="1">
            <w:r>
              <w:rPr>
                <w:rFonts w:ascii="幼圆" w:eastAsia="幼圆" w:hAnsi="幼圆" w:cs="幼圆" w:hint="eastAsia"/>
                <w:b/>
              </w:rPr>
              <w:t>结 语</w:t>
            </w:r>
            <w:r>
              <w:rPr>
                <w:rFonts w:ascii="幼圆" w:eastAsia="幼圆" w:hAnsi="幼圆" w:cs="幼圆" w:hint="eastAsia"/>
                <w:b/>
              </w:rPr>
              <w:tab/>
            </w:r>
            <w:r>
              <w:rPr>
                <w:rFonts w:ascii="幼圆" w:eastAsia="幼圆" w:hAnsi="幼圆" w:cs="幼圆" w:hint="eastAsia"/>
                <w:b/>
              </w:rPr>
              <w:fldChar w:fldCharType="begin"/>
            </w:r>
            <w:r>
              <w:rPr>
                <w:rFonts w:ascii="幼圆" w:eastAsia="幼圆" w:hAnsi="幼圆" w:cs="幼圆" w:hint="eastAsia"/>
                <w:b/>
              </w:rPr>
              <w:instrText xml:space="preserve"> PAGEREF _Toc446 \h </w:instrText>
            </w:r>
            <w:r>
              <w:rPr>
                <w:rFonts w:ascii="幼圆" w:eastAsia="幼圆" w:hAnsi="幼圆" w:cs="幼圆" w:hint="eastAsia"/>
                <w:b/>
              </w:rPr>
              <w:fldChar w:fldCharType="separate"/>
            </w:r>
            <w:r>
              <w:rPr>
                <w:rFonts w:ascii="幼圆" w:eastAsia="幼圆" w:hAnsi="幼圆" w:cs="幼圆" w:hint="eastAsia"/>
                <w:b/>
              </w:rPr>
              <w:t>26</w:t>
            </w:r>
            <w:r>
              <w:rPr>
                <w:rFonts w:ascii="幼圆" w:eastAsia="幼圆" w:hAnsi="幼圆" w:cs="幼圆" w:hint="eastAsia"/>
                <w:b/>
              </w:rPr>
              <w:fldChar w:fldCharType="end"/>
            </w:r>
          </w:hyperlink>
        </w:p>
        <w:p>
          <w:pPr>
            <w:pStyle w:val="Heading1"/>
            <w:spacing w:after="312" w:line="360" w:lineRule="auto"/>
            <w:ind w:firstLine="600"/>
            <w:rPr>
              <w:rFonts w:ascii="幼圆" w:eastAsia="幼圆" w:hAnsi="幼圆" w:cs="幼圆" w:hint="eastAsia"/>
            </w:rPr>
          </w:pPr>
          <w:r>
            <w:rPr>
              <w:rFonts w:ascii="幼圆" w:eastAsia="幼圆" w:hAnsi="幼圆" w:cs="幼圆" w:hint="eastAsia"/>
              <w:b/>
            </w:rPr>
            <w:fldChar w:fldCharType="end"/>
          </w:r>
        </w:p>
      </w:sdtContent>
    </w:sdt>
    <w:p>
      <w:pPr>
        <w:pStyle w:val="Heading1"/>
        <w:spacing w:after="312" w:line="360" w:lineRule="auto"/>
        <w:ind w:firstLine="600"/>
        <w:rPr>
          <w:rFonts w:ascii="幼圆" w:eastAsia="幼圆" w:hAnsi="幼圆" w:cs="幼圆" w:hint="eastAsia"/>
        </w:rPr>
      </w:pPr>
      <w:bookmarkStart w:id="2" w:name="_Toc5069"/>
      <w:r>
        <w:rPr>
          <w:rFonts w:ascii="幼圆" w:eastAsia="幼圆" w:hAnsi="幼圆" w:cs="幼圆" w:hint="eastAsia"/>
        </w:rPr>
        <w:t>摘 要</w:t>
      </w:r>
      <w:bookmarkEnd w:id="0"/>
      <w:bookmarkEnd w:id="2"/>
    </w:p>
    <w:p>
      <w:pPr>
        <w:spacing w:line="360" w:lineRule="auto"/>
        <w:ind w:firstLine="480"/>
        <w:jc w:val="left"/>
        <w:rPr>
          <w:rFonts w:ascii="幼圆" w:eastAsia="幼圆" w:hAnsi="幼圆" w:cs="幼圆" w:hint="eastAsia"/>
        </w:rPr>
        <w:sectPr>
          <w:headerReference w:type="default" r:id="rId8"/>
          <w:footerReference w:type="default" r:id="rId9"/>
          <w:pgSz w:w="11906" w:h="16838"/>
          <w:pgMar w:top="1134" w:right="1134" w:bottom="1134" w:left="1418" w:header="851" w:footer="851" w:gutter="0"/>
          <w:pgNumType w:start="1"/>
          <w:cols w:num="1" w:space="425"/>
          <w:docGrid w:type="lines" w:linePitch="312" w:charSpace="0"/>
        </w:sectPr>
      </w:pPr>
    </w:p>
    <w:p>
      <w:pPr>
        <w:spacing w:line="360" w:lineRule="auto"/>
        <w:ind w:firstLine="480"/>
        <w:jc w:val="left"/>
        <w:rPr>
          <w:rFonts w:ascii="幼圆" w:eastAsia="幼圆" w:hAnsi="幼圆" w:cs="幼圆" w:hint="eastAsia"/>
        </w:rPr>
      </w:pPr>
      <w:r>
        <w:rPr>
          <w:rFonts w:ascii="幼圆" w:eastAsia="幼圆" w:hAnsi="幼圆" w:cs="幼圆" w:hint="eastAsia"/>
        </w:rPr>
        <w:t>近年来，煤炭行业安全问题频出，大多与企业内部控制体系不健全有关，因此，建立健全完善且可行的内部控制制度体系对煤炭企业来说是必要的。本文以山东省滕州</w:t>
      </w:r>
      <w:r>
        <w:rPr>
          <w:rFonts w:ascii="幼圆" w:eastAsia="幼圆" w:hAnsi="幼圆" w:cs="幼圆" w:hint="eastAsia"/>
          <w:lang w:eastAsia="zh-CN"/>
        </w:rPr>
        <w:t>S</w:t>
      </w:r>
      <w:r>
        <w:rPr>
          <w:rFonts w:ascii="幼圆" w:eastAsia="幼圆" w:hAnsi="幼圆" w:cs="幼圆" w:hint="eastAsia"/>
        </w:rPr>
        <w:t>煤炭有限责任公司为研究案例，概括总结煤炭行业现状，梳理总结煤炭企业内部控制体系及相关制度，结合内部控制五要素分析了企业内部控制制度存在</w:t>
      </w:r>
      <w:r>
        <w:rPr>
          <w:rFonts w:ascii="幼圆" w:eastAsia="幼圆" w:hAnsi="幼圆" w:cs="幼圆" w:hint="eastAsia"/>
        </w:rPr>
        <w:t>内部控制部门独立性受限、风险评估体系有待完善、控制活动力度不足、信息与沟通机制有待优化和内部监督形同虚设五个方面的问题，并进一步分析出</w:t>
      </w:r>
      <w:r>
        <w:rPr>
          <w:rFonts w:ascii="幼圆" w:eastAsia="幼圆" w:hAnsi="幼圆" w:cs="幼圆" w:hint="eastAsia"/>
        </w:rPr>
        <w:t>案例企业管理层重视程度不足、同行竞争小致使潜在风险被忽略、控制活动流程设置不合理致使效力低下、远见不足使得信息与沟通机制不完善、内部监督未引起足够重视致使形同监督效能不足五个原因导致了上述问题的产生，</w:t>
      </w:r>
      <w:r>
        <w:rPr>
          <w:rFonts w:ascii="幼圆" w:eastAsia="幼圆" w:hAnsi="幼圆" w:cs="幼圆" w:hint="eastAsia"/>
        </w:rPr>
        <w:t>最后提出五条对策建议，即优化煤炭企业内部控制环境、优化煤炭企业风险评估程序、强化煤炭企业控制活动、优化煤炭企业信息与沟通机制和优化煤炭企业内部监督，以期对健全我国煤炭行业内部控制制度的完善起到积极的作用。</w:t>
      </w:r>
    </w:p>
    <w:p>
      <w:pPr>
        <w:spacing w:line="360" w:lineRule="auto"/>
        <w:ind w:firstLine="2640" w:firstLineChars="1100"/>
        <w:jc w:val="left"/>
        <w:rPr>
          <w:rFonts w:ascii="幼圆" w:eastAsia="幼圆" w:hAnsi="幼圆" w:cs="幼圆" w:hint="eastAsia"/>
          <w:color w:val="FF0000"/>
        </w:rPr>
      </w:pPr>
    </w:p>
    <w:p>
      <w:pPr>
        <w:spacing w:line="360" w:lineRule="auto"/>
        <w:ind w:firstLine="480"/>
        <w:jc w:val="left"/>
        <w:rPr>
          <w:rFonts w:ascii="幼圆" w:eastAsia="幼圆" w:hAnsi="幼圆" w:cs="幼圆" w:hint="eastAsia"/>
        </w:rPr>
      </w:pPr>
      <w:r>
        <w:rPr>
          <w:rFonts w:ascii="幼圆" w:eastAsia="幼圆" w:hAnsi="幼圆" w:cs="幼圆" w:hint="eastAsia"/>
        </w:rPr>
        <w:t>关键词：</w:t>
      </w:r>
      <w:r>
        <w:rPr>
          <w:rFonts w:ascii="幼圆" w:eastAsia="幼圆" w:hAnsi="幼圆" w:cs="幼圆" w:hint="eastAsia"/>
        </w:rPr>
        <w:t>煤炭企业；内部控制；风险评估；风险管理</w:t>
      </w:r>
    </w:p>
    <w:p>
      <w:pPr>
        <w:pStyle w:val="Heading1"/>
        <w:spacing w:after="312" w:line="360" w:lineRule="auto"/>
        <w:ind w:firstLine="198" w:firstLineChars="66"/>
        <w:rPr>
          <w:rFonts w:ascii="幼圆" w:eastAsia="幼圆" w:hAnsi="幼圆" w:cs="幼圆" w:hint="eastAsia"/>
        </w:rPr>
      </w:pPr>
      <w:bookmarkStart w:id="3" w:name="_Toc67927068"/>
      <w:bookmarkStart w:id="4" w:name="_Toc71287673"/>
      <w:bookmarkStart w:id="5" w:name="_Toc9325"/>
      <w:r>
        <w:rPr>
          <w:rFonts w:ascii="幼圆" w:eastAsia="幼圆" w:hAnsi="幼圆" w:cs="幼圆" w:hint="eastAsia"/>
        </w:rPr>
        <w:t>第</w:t>
      </w:r>
      <w:r>
        <w:rPr>
          <w:rFonts w:ascii="幼圆" w:eastAsia="幼圆" w:hAnsi="幼圆" w:cs="幼圆" w:hint="eastAsia"/>
        </w:rPr>
        <w:t>1</w:t>
      </w:r>
      <w:r>
        <w:rPr>
          <w:rFonts w:ascii="幼圆" w:eastAsia="幼圆" w:hAnsi="幼圆" w:cs="幼圆" w:hint="eastAsia"/>
        </w:rPr>
        <w:t>章 绪论</w:t>
      </w:r>
      <w:bookmarkEnd w:id="3"/>
      <w:bookmarkEnd w:id="4"/>
      <w:bookmarkEnd w:id="5"/>
    </w:p>
    <w:p>
      <w:pPr>
        <w:spacing w:line="360" w:lineRule="auto"/>
        <w:ind w:firstLine="480"/>
        <w:rPr>
          <w:rFonts w:ascii="幼圆" w:eastAsia="幼圆" w:hAnsi="幼圆" w:cs="幼圆" w:hint="eastAsia"/>
        </w:rPr>
      </w:pPr>
      <w:r>
        <w:rPr>
          <w:rFonts w:ascii="幼圆" w:eastAsia="幼圆" w:hAnsi="幼圆" w:cs="幼圆" w:hint="eastAsia"/>
        </w:rPr>
        <w:t>本研究主要是将煤炭企业作为研究对象，结合文献研究、案例分析和实地研究三种学术基本研究方式探究煤炭企业现存的内部控制问题，同时结合具体的案例企业对这些问题展开进一步的研究分析，并提出针对性的解决措施。本章节主要起总领全文的作用，是对本篇论文的概括性介绍，具体包括研究背景及意义、文献综述、研究方法和研究思路四个部分。</w:t>
      </w:r>
    </w:p>
    <w:p>
      <w:pPr>
        <w:pStyle w:val="Heading2"/>
        <w:spacing w:before="156" w:after="156" w:line="360" w:lineRule="auto"/>
        <w:ind w:firstLine="480"/>
        <w:rPr>
          <w:rFonts w:ascii="幼圆" w:eastAsia="幼圆" w:hAnsi="幼圆" w:cs="幼圆" w:hint="eastAsia"/>
        </w:rPr>
      </w:pPr>
      <w:bookmarkStart w:id="6" w:name="_Toc67927069"/>
      <w:bookmarkStart w:id="7" w:name="_Toc71287674"/>
      <w:bookmarkStart w:id="8" w:name="_Toc5012"/>
      <w:r>
        <w:rPr>
          <w:rFonts w:ascii="幼圆" w:eastAsia="幼圆" w:hAnsi="幼圆" w:cs="幼圆" w:hint="eastAsia"/>
        </w:rPr>
        <w:t>1.1 研究背景及意义</w:t>
      </w:r>
      <w:bookmarkEnd w:id="6"/>
      <w:bookmarkEnd w:id="7"/>
      <w:bookmarkEnd w:id="8"/>
    </w:p>
    <w:p>
      <w:pPr>
        <w:pStyle w:val="Heading3"/>
        <w:spacing w:line="360" w:lineRule="auto"/>
        <w:ind w:firstLine="480"/>
        <w:rPr>
          <w:rFonts w:ascii="幼圆" w:eastAsia="幼圆" w:hAnsi="幼圆" w:cs="幼圆" w:hint="eastAsia"/>
        </w:rPr>
      </w:pPr>
      <w:bookmarkStart w:id="9" w:name="_Toc67927070"/>
      <w:bookmarkStart w:id="10" w:name="_Toc71287675"/>
      <w:r>
        <w:rPr>
          <w:rFonts w:ascii="幼圆" w:eastAsia="幼圆" w:hAnsi="幼圆" w:cs="幼圆" w:hint="eastAsia"/>
        </w:rPr>
        <w:t>1.1.1 研究背景</w:t>
      </w:r>
      <w:bookmarkEnd w:id="9"/>
      <w:bookmarkEnd w:id="10"/>
    </w:p>
    <w:p>
      <w:pPr>
        <w:spacing w:line="360" w:lineRule="auto"/>
        <w:ind w:firstLine="480"/>
        <w:rPr>
          <w:rFonts w:ascii="幼圆" w:eastAsia="幼圆" w:hAnsi="幼圆" w:cs="幼圆" w:hint="eastAsia"/>
        </w:rPr>
      </w:pPr>
      <w:r>
        <w:rPr>
          <w:rFonts w:ascii="幼圆" w:eastAsia="幼圆" w:hAnsi="幼圆" w:cs="幼圆" w:hint="eastAsia"/>
        </w:rPr>
        <w:t>煤炭素来被人们冠以“黑色金子”“工业食粮”的美称，自十八世纪以来一直是生产和生活的主要能源之一。随着社会经济的进步发展和新能源的冲击，煤炭的价值虽不再像过去一样不可替代，但当前及未来相当长一段时间内，煤炭仍在生产生活中占据不可或缺的地位。</w:t>
      </w:r>
    </w:p>
    <w:p>
      <w:pPr>
        <w:spacing w:line="360" w:lineRule="auto"/>
        <w:ind w:firstLine="480"/>
        <w:rPr>
          <w:rFonts w:ascii="幼圆" w:eastAsia="幼圆" w:hAnsi="幼圆" w:cs="幼圆" w:hint="eastAsia"/>
        </w:rPr>
        <w:sectPr>
          <w:headerReference w:type="default" r:id="rId10"/>
          <w:footerReference w:type="default" r:id="rId11"/>
          <w:type w:val="nextPage"/>
          <w:pgSz w:w="11906" w:h="16838"/>
          <w:pgMar w:top="1134" w:right="1134" w:bottom="1134" w:left="1418" w:header="851" w:footer="851" w:gutter="0"/>
          <w:pgNumType w:start="2"/>
          <w:cols w:num="1" w:space="425"/>
          <w:titlePg w:val="0"/>
          <w:docGrid w:type="lines" w:linePitch="312" w:charSpace="0"/>
        </w:sectPr>
      </w:pPr>
      <w:r>
        <w:rPr>
          <w:rFonts w:ascii="幼圆" w:eastAsia="幼圆" w:hAnsi="幼圆" w:cs="幼圆" w:hint="eastAsia"/>
        </w:rPr>
        <w:t>作为国家重要的经济支柱之一，煤炭行业的主要业务就是开采煤炭资源。</w:t>
      </w:r>
      <w:r>
        <w:rPr>
          <w:rFonts w:ascii="幼圆" w:eastAsia="幼圆" w:hAnsi="幼圆" w:cs="幼圆" w:hint="eastAsia"/>
        </w:rPr>
        <w:t>2020</w:t>
      </w:r>
      <w:r>
        <w:rPr>
          <w:rFonts w:ascii="幼圆" w:eastAsia="幼圆" w:hAnsi="幼圆" w:cs="幼圆" w:hint="eastAsia"/>
        </w:rPr>
        <w:t>年的政府工作报告提出，要加强煤电油气产供储销体系的建设，提升能源安全保障能力，</w:t>
      </w:r>
      <w:r>
        <w:rPr>
          <w:rFonts w:ascii="幼圆" w:eastAsia="幼圆" w:hAnsi="幼圆" w:cs="幼圆" w:hint="eastAsia"/>
        </w:rPr>
        <w:t>2020</w:t>
      </w:r>
      <w:r>
        <w:rPr>
          <w:rFonts w:ascii="幼圆" w:eastAsia="幼圆" w:hAnsi="幼圆" w:cs="幼圆" w:hint="eastAsia"/>
        </w:rPr>
        <w:t>年</w:t>
      </w:r>
      <w:r>
        <w:rPr>
          <w:rFonts w:ascii="幼圆" w:eastAsia="幼圆" w:hAnsi="幼圆" w:cs="幼圆" w:hint="eastAsia"/>
        </w:rPr>
        <w:t>11</w:t>
      </w:r>
      <w:r>
        <w:rPr>
          <w:rFonts w:ascii="幼圆" w:eastAsia="幼圆" w:hAnsi="幼圆" w:cs="幼圆" w:hint="eastAsia"/>
        </w:rPr>
        <w:t>月</w:t>
      </w:r>
      <w:r>
        <w:rPr>
          <w:rFonts w:ascii="幼圆" w:eastAsia="幼圆" w:hAnsi="幼圆" w:cs="幼圆" w:hint="eastAsia"/>
        </w:rPr>
        <w:t>18</w:t>
      </w:r>
    </w:p>
    <w:p>
      <w:pPr>
        <w:spacing w:line="360" w:lineRule="auto"/>
        <w:ind w:firstLine="480"/>
        <w:rPr>
          <w:rFonts w:ascii="幼圆" w:eastAsia="幼圆" w:hAnsi="幼圆" w:cs="幼圆" w:hint="eastAsia"/>
        </w:rPr>
      </w:pPr>
      <w:r>
        <w:rPr>
          <w:rFonts w:ascii="幼圆" w:eastAsia="幼圆" w:hAnsi="幼圆" w:cs="幼圆" w:hint="eastAsia"/>
        </w:rPr>
        <w:t>日，《煤炭工业“十四五”高质量发展指导意见(征求意见稿)》提出，要深化煤炭行业的供给侧结构性改革，大力推动老矿区的转型发展，优化煤炭资源开发布局，促进煤炭市场平稳运行。</w:t>
      </w:r>
      <w:r>
        <w:rPr>
          <w:rFonts w:ascii="幼圆" w:eastAsia="幼圆" w:hAnsi="幼圆" w:cs="幼圆" w:hint="eastAsia"/>
        </w:rPr>
        <w:t>2021</w:t>
      </w:r>
      <w:r>
        <w:rPr>
          <w:rFonts w:ascii="幼圆" w:eastAsia="幼圆" w:hAnsi="幼圆" w:cs="幼圆" w:hint="eastAsia"/>
        </w:rPr>
        <w:t>年</w:t>
      </w:r>
      <w:r>
        <w:rPr>
          <w:rFonts w:ascii="幼圆" w:eastAsia="幼圆" w:hAnsi="幼圆" w:cs="幼圆" w:hint="eastAsia"/>
        </w:rPr>
        <w:t>3</w:t>
      </w:r>
      <w:r>
        <w:rPr>
          <w:rFonts w:ascii="幼圆" w:eastAsia="幼圆" w:hAnsi="幼圆" w:cs="幼圆" w:hint="eastAsia"/>
        </w:rPr>
        <w:t>月</w:t>
      </w:r>
      <w:r>
        <w:rPr>
          <w:rFonts w:ascii="幼圆" w:eastAsia="幼圆" w:hAnsi="幼圆" w:cs="幼圆" w:hint="eastAsia"/>
        </w:rPr>
        <w:t>11</w:t>
      </w:r>
      <w:r>
        <w:rPr>
          <w:rFonts w:ascii="幼圆" w:eastAsia="幼圆" w:hAnsi="幼圆" w:cs="幼圆" w:hint="eastAsia"/>
        </w:rPr>
        <w:t>日，十三届全国人大四次会议通过的《中华人民共和国国民经济和社会发展第十四个五年规划和</w:t>
      </w:r>
      <w:r>
        <w:rPr>
          <w:rFonts w:ascii="幼圆" w:eastAsia="幼圆" w:hAnsi="幼圆" w:cs="幼圆" w:hint="eastAsia"/>
        </w:rPr>
        <w:t>2035</w:t>
      </w:r>
      <w:r>
        <w:rPr>
          <w:rFonts w:ascii="幼圆" w:eastAsia="幼圆" w:hAnsi="幼圆" w:cs="幼圆" w:hint="eastAsia"/>
        </w:rPr>
        <w:t>年远景目标纲要》指出，完善并落实煤炭开采环节的安全生产责任制势在必行，为此，需要建立健全公共安全隐患排查和安全预防控制体系，重视先进技术设备在煤炭开采及重大灾害防治等领域的应用，加快推进危险岗位机器人代替人工的进程。</w:t>
      </w:r>
    </w:p>
    <w:p>
      <w:pPr>
        <w:spacing w:line="360" w:lineRule="auto"/>
        <w:ind w:firstLine="480"/>
        <w:rPr>
          <w:rFonts w:ascii="幼圆" w:eastAsia="幼圆" w:hAnsi="幼圆" w:cs="幼圆" w:hint="eastAsia"/>
        </w:rPr>
      </w:pPr>
      <w:r>
        <w:rPr>
          <w:rFonts w:ascii="幼圆" w:eastAsia="幼圆" w:hAnsi="幼圆" w:cs="幼圆" w:hint="eastAsia"/>
        </w:rPr>
        <w:t>2020</w:t>
      </w:r>
      <w:r>
        <w:rPr>
          <w:rFonts w:ascii="幼圆" w:eastAsia="幼圆" w:hAnsi="幼圆" w:cs="幼圆" w:hint="eastAsia"/>
        </w:rPr>
        <w:t>年年初，新型冠状病毒席卷全国，受此次疫情的影响，煤炭行业上市企业一季度业绩呈下降趋势。进入第二季度后，市场需求滞后于已恢复的产能，导致阶段性供应过剩，煤炭价格下跌，企业亏损严重。到了第三季度，煤炭价格虽仍成同比下降，但煤炭行业盈利情况较前期小幅增长，这使煤炭行业的内部控制面临巨大的变化，同时也给煤炭行业内部控制制度的建设带来了新的机遇。我国煤炭企业的内部控制体系仍处于完善发展阶段，缺乏整体性与系统性，使得煤炭企业现有的内部控制对企业经营发展很难发挥全部效果，也很难适应国家相关政策的要求，因此，继续完善煤炭企业的内部控制体系是有必要的。</w:t>
      </w:r>
    </w:p>
    <w:p>
      <w:pPr>
        <w:spacing w:line="360" w:lineRule="auto"/>
        <w:ind w:firstLine="480"/>
        <w:rPr>
          <w:rFonts w:ascii="幼圆" w:eastAsia="幼圆" w:hAnsi="幼圆" w:cs="幼圆" w:hint="eastAsia"/>
        </w:rPr>
      </w:pPr>
      <w:r>
        <w:rPr>
          <w:rFonts w:ascii="幼圆" w:eastAsia="幼圆" w:hAnsi="幼圆" w:cs="幼圆" w:hint="eastAsia"/>
        </w:rPr>
        <w:t>本文以</w:t>
      </w:r>
      <w:r>
        <w:rPr>
          <w:rFonts w:ascii="幼圆" w:eastAsia="幼圆" w:hAnsi="幼圆" w:cs="幼圆" w:hint="eastAsia"/>
          <w:lang w:eastAsia="zh-CN"/>
        </w:rPr>
        <w:t>S</w:t>
      </w:r>
      <w:r>
        <w:rPr>
          <w:rFonts w:ascii="幼圆" w:eastAsia="幼圆" w:hAnsi="幼圆" w:cs="幼圆" w:hint="eastAsia"/>
        </w:rPr>
        <w:t>煤炭公司为研究案例，针对煤炭企业内部控制制度存在的问题进行分析探讨，分析其产生的原因，并提出总结完善煤炭企业内部控制制度的对策建议，以期对健全我国煤炭企业内部控制度起到积极的作用，进而使煤炭行业更好地服务国计民生。</w:t>
      </w:r>
    </w:p>
    <w:p>
      <w:pPr>
        <w:pStyle w:val="Heading3"/>
        <w:spacing w:line="360" w:lineRule="auto"/>
        <w:ind w:firstLine="480"/>
        <w:rPr>
          <w:rFonts w:ascii="幼圆" w:eastAsia="幼圆" w:hAnsi="幼圆" w:cs="幼圆" w:hint="eastAsia"/>
        </w:rPr>
      </w:pPr>
      <w:bookmarkStart w:id="11" w:name="_Toc67927071"/>
      <w:bookmarkStart w:id="12" w:name="_Toc71287676"/>
      <w:r>
        <w:rPr>
          <w:rFonts w:ascii="幼圆" w:eastAsia="幼圆" w:hAnsi="幼圆" w:cs="幼圆" w:hint="eastAsia"/>
        </w:rPr>
        <w:t>1.1.2 研究意义</w:t>
      </w:r>
      <w:bookmarkEnd w:id="11"/>
      <w:bookmarkEnd w:id="12"/>
    </w:p>
    <w:p>
      <w:pPr>
        <w:spacing w:line="360" w:lineRule="auto"/>
        <w:ind w:firstLine="480"/>
        <w:rPr>
          <w:rFonts w:ascii="幼圆" w:eastAsia="幼圆" w:hAnsi="幼圆" w:cs="幼圆" w:hint="eastAsia"/>
        </w:rPr>
      </w:pPr>
      <w:r>
        <w:rPr>
          <w:rFonts w:ascii="幼圆" w:eastAsia="幼圆" w:hAnsi="幼圆" w:cs="幼圆" w:hint="eastAsia"/>
        </w:rPr>
        <w:t>（1）理论意义</w:t>
      </w:r>
    </w:p>
    <w:p>
      <w:pPr>
        <w:spacing w:line="360" w:lineRule="auto"/>
        <w:ind w:firstLine="480"/>
        <w:rPr>
          <w:rFonts w:ascii="幼圆" w:eastAsia="幼圆" w:hAnsi="幼圆" w:cs="幼圆" w:hint="eastAsia"/>
        </w:rPr>
      </w:pPr>
      <w:r>
        <w:rPr>
          <w:rFonts w:ascii="幼圆" w:eastAsia="幼圆" w:hAnsi="幼圆" w:cs="幼圆" w:hint="eastAsia"/>
        </w:rPr>
        <w:t>一直以来，学术界对内部控制的相关研究普遍集中于医药、金融、制造业等领域，对煤炭行业的研究较少。因此，本文以内部控制为研究视角，以</w:t>
      </w:r>
      <w:r>
        <w:rPr>
          <w:rFonts w:ascii="幼圆" w:eastAsia="幼圆" w:hAnsi="幼圆" w:cs="幼圆" w:hint="eastAsia"/>
          <w:lang w:eastAsia="zh-CN"/>
        </w:rPr>
        <w:t>S</w:t>
      </w:r>
      <w:r>
        <w:rPr>
          <w:rFonts w:ascii="幼圆" w:eastAsia="幼圆" w:hAnsi="幼圆" w:cs="幼圆" w:hint="eastAsia"/>
        </w:rPr>
        <w:t>煤炭公司为例，分析讨论煤炭企业内部控制存在的问题及成因，同时对如何完善其内部控制制度提出相关的对策建议。这一定程度上有助于丰富我国煤炭行业的内部控制的有关理论基础，同时为丰富内部控制的相关研究及构建应对内部控制风险的审计对策提供了一定的参考。</w:t>
      </w:r>
    </w:p>
    <w:p>
      <w:pPr>
        <w:spacing w:line="360" w:lineRule="auto"/>
        <w:ind w:firstLine="480"/>
        <w:rPr>
          <w:rFonts w:ascii="幼圆" w:eastAsia="幼圆" w:hAnsi="幼圆" w:cs="幼圆" w:hint="eastAsia"/>
        </w:rPr>
      </w:pPr>
      <w:r>
        <w:rPr>
          <w:rFonts w:ascii="幼圆" w:eastAsia="幼圆" w:hAnsi="幼圆" w:cs="幼圆" w:hint="eastAsia"/>
        </w:rPr>
        <w:t>（2）实践意义</w:t>
      </w:r>
    </w:p>
    <w:p>
      <w:pPr>
        <w:spacing w:line="360" w:lineRule="auto"/>
        <w:ind w:firstLine="480"/>
        <w:rPr>
          <w:rFonts w:ascii="幼圆" w:eastAsia="幼圆" w:hAnsi="幼圆" w:cs="幼圆" w:hint="eastAsia"/>
        </w:rPr>
        <w:sectPr>
          <w:headerReference w:type="default" r:id="rId12"/>
          <w:footerReference w:type="default" r:id="rId13"/>
          <w:type w:val="nextPage"/>
          <w:pgSz w:w="11906" w:h="16838"/>
          <w:pgMar w:top="1134" w:right="1134" w:bottom="1134" w:left="1418" w:header="851" w:footer="851" w:gutter="0"/>
          <w:pgNumType w:start="3"/>
          <w:cols w:num="1" w:space="425"/>
          <w:titlePg w:val="0"/>
          <w:docGrid w:type="lines" w:linePitch="312" w:charSpace="0"/>
        </w:sectPr>
      </w:pPr>
      <w:r>
        <w:rPr>
          <w:rFonts w:ascii="幼圆" w:eastAsia="幼圆" w:hAnsi="幼圆" w:cs="幼圆" w:hint="eastAsia"/>
        </w:rPr>
        <w:t>本文的实践意义在于分析总结了我国煤炭企业目前存在的内部控制缺陷，并提出了相应的对策建议。这不仅可以为煤炭企业内部控制制度的完善提供建议，也可以为相关部门完善对煤炭企业的监管制度提供对策建议。此外，基于</w:t>
      </w:r>
      <w:r>
        <w:rPr>
          <w:rFonts w:ascii="幼圆" w:eastAsia="幼圆" w:hAnsi="幼圆" w:cs="幼圆" w:hint="eastAsia"/>
          <w:lang w:eastAsia="zh-CN"/>
        </w:rPr>
        <w:t>S</w:t>
      </w:r>
      <w:r>
        <w:rPr>
          <w:rFonts w:ascii="幼圆" w:eastAsia="幼圆" w:hAnsi="幼圆" w:cs="幼圆" w:hint="eastAsia"/>
        </w:rPr>
        <w:t>煤矿企业这一具体案例对其内部控制制度进行分析，进一步探讨如何完善煤炭行业的内部控制体系，促进公司治理结构的完善与升级，也对内部控制的审计具有一定的参考价值。</w:t>
      </w:r>
    </w:p>
    <w:p>
      <w:pPr>
        <w:pStyle w:val="Heading2"/>
        <w:spacing w:before="156" w:after="156" w:line="360" w:lineRule="auto"/>
        <w:ind w:firstLine="480"/>
        <w:rPr>
          <w:rFonts w:ascii="幼圆" w:eastAsia="幼圆" w:hAnsi="幼圆" w:cs="幼圆" w:hint="eastAsia"/>
        </w:rPr>
      </w:pPr>
      <w:bookmarkStart w:id="13" w:name="_Toc71287677"/>
      <w:bookmarkStart w:id="14" w:name="_Toc67927072"/>
      <w:bookmarkStart w:id="15" w:name="_Toc2049"/>
      <w:r>
        <w:rPr>
          <w:rFonts w:ascii="幼圆" w:eastAsia="幼圆" w:hAnsi="幼圆" w:cs="幼圆" w:hint="eastAsia"/>
        </w:rPr>
        <w:t>1.2 文献综述</w:t>
      </w:r>
      <w:bookmarkEnd w:id="13"/>
      <w:bookmarkEnd w:id="14"/>
      <w:bookmarkEnd w:id="15"/>
    </w:p>
    <w:p>
      <w:pPr>
        <w:pStyle w:val="Heading3"/>
        <w:spacing w:line="360" w:lineRule="auto"/>
        <w:ind w:firstLine="480"/>
        <w:rPr>
          <w:rFonts w:ascii="幼圆" w:eastAsia="幼圆" w:hAnsi="幼圆" w:cs="幼圆" w:hint="eastAsia"/>
        </w:rPr>
      </w:pPr>
      <w:bookmarkStart w:id="16" w:name="_Toc67927073"/>
      <w:bookmarkStart w:id="17" w:name="_Toc71287678"/>
      <w:r>
        <w:rPr>
          <w:rFonts w:ascii="幼圆" w:eastAsia="幼圆" w:hAnsi="幼圆" w:cs="幼圆" w:hint="eastAsia"/>
        </w:rPr>
        <w:t>1.2.1 国内外文献综述</w:t>
      </w:r>
      <w:bookmarkEnd w:id="16"/>
      <w:bookmarkEnd w:id="17"/>
    </w:p>
    <w:p>
      <w:pPr>
        <w:spacing w:line="360" w:lineRule="auto"/>
        <w:ind w:firstLine="480"/>
        <w:rPr>
          <w:rFonts w:ascii="幼圆" w:eastAsia="幼圆" w:hAnsi="幼圆" w:cs="幼圆" w:hint="eastAsia"/>
        </w:rPr>
      </w:pPr>
      <w:r>
        <w:rPr>
          <w:rFonts w:ascii="幼圆" w:eastAsia="幼圆" w:hAnsi="幼圆" w:cs="幼圆" w:hint="eastAsia"/>
        </w:rPr>
        <w:t>随着经济的发展与进步，内部控制也在不断完善。以美国和英国为首的发达国家将管理企业的核心任务聚焦于内部控制，对内部控制的研究也成为诸多学者关注的焦点，对内部控制的认识也是不断更新发展的：1936年，“内部控制”理论被正式赋予定义，1949年，内部控制被重新定义，1972 年，美国审计准则委员会（ASB）在《审计准则公告》中对内部控制做出全新定义。</w:t>
      </w:r>
    </w:p>
    <w:p>
      <w:pPr>
        <w:spacing w:line="360" w:lineRule="auto"/>
        <w:ind w:firstLine="480"/>
        <w:rPr>
          <w:rFonts w:ascii="幼圆" w:eastAsia="幼圆" w:hAnsi="幼圆" w:cs="幼圆" w:hint="eastAsia"/>
        </w:rPr>
      </w:pPr>
      <w:r>
        <w:rPr>
          <w:rFonts w:ascii="幼圆" w:eastAsia="幼圆" w:hAnsi="幼圆" w:cs="幼圆" w:hint="eastAsia"/>
        </w:rPr>
        <w:t>（1）内部控制的制度建设</w:t>
      </w:r>
    </w:p>
    <w:p>
      <w:pPr>
        <w:spacing w:line="360" w:lineRule="auto"/>
        <w:ind w:firstLine="480"/>
        <w:rPr>
          <w:rFonts w:ascii="幼圆" w:eastAsia="幼圆" w:hAnsi="幼圆" w:cs="幼圆" w:hint="eastAsia"/>
        </w:rPr>
      </w:pPr>
      <w:r>
        <w:rPr>
          <w:rFonts w:ascii="幼圆" w:eastAsia="幼圆" w:hAnsi="幼圆" w:cs="幼圆" w:hint="eastAsia"/>
        </w:rPr>
        <w:t>Giovanna Michelon（2015）认为，董事会能够对企业内部控制体系的建立与实施起到监督作用</w:t>
      </w:r>
      <w:r>
        <w:rPr>
          <w:rFonts w:ascii="幼圆" w:eastAsia="幼圆" w:hAnsi="幼圆" w:cs="幼圆" w:hint="eastAsia"/>
          <w:vertAlign w:val="superscript"/>
        </w:rPr>
        <w:t>[1]</w:t>
      </w:r>
      <w:r>
        <w:rPr>
          <w:rFonts w:ascii="幼圆" w:eastAsia="幼圆" w:hAnsi="幼圆" w:cs="幼圆" w:hint="eastAsia"/>
        </w:rPr>
        <w:t>；同时，Hyun-Ah Lee（2016）通过对韩国上市公司2005年至2010年的1,834个公司年度观察数据进行抽样，来检验合适的控制环境是否能通过为财务报告的可靠性提供更大的保证来增加收益的价值相关性，抽样结果表明，随着IC人员平均工作经验的增加，收益与价值更相关。具体而言，通过考虑IC人员的数量和质量来评估合适的控制环境的水平，这与人员的完整性/道德价值观，能力和权限、职责密切相关</w:t>
      </w:r>
      <w:r>
        <w:rPr>
          <w:rFonts w:ascii="幼圆" w:eastAsia="幼圆" w:hAnsi="幼圆" w:cs="幼圆" w:hint="eastAsia"/>
          <w:vertAlign w:val="superscript"/>
        </w:rPr>
        <w:t>[2]</w:t>
      </w:r>
      <w:r>
        <w:rPr>
          <w:rFonts w:ascii="幼圆" w:eastAsia="幼圆" w:hAnsi="幼圆" w:cs="幼圆" w:hint="eastAsia"/>
        </w:rPr>
        <w:t>。此后，Redruth Nyaaba Ayimpoya等（2020）通过对风险评估、控制活动和控制环境如何影响加纳银行绩效的研究，发现尽管风险评估对财务绩效、控制环境和控制活动均具有显著影响，但对财务绩效的影响却较弱，Ayimpoyad 的研究的实际意义在于，在评估银行的绩效时，必须严格审查风险领域，以减少或消除其对银行绩效的影响</w:t>
      </w:r>
      <w:r>
        <w:rPr>
          <w:rFonts w:ascii="幼圆" w:eastAsia="幼圆" w:hAnsi="幼圆" w:cs="幼圆" w:hint="eastAsia"/>
          <w:vertAlign w:val="superscript"/>
        </w:rPr>
        <w:t>[3]</w:t>
      </w:r>
      <w:r>
        <w:rPr>
          <w:rFonts w:ascii="幼圆" w:eastAsia="幼圆" w:hAnsi="幼圆" w:cs="幼圆" w:hint="eastAsia"/>
        </w:rPr>
        <w:t>。</w:t>
      </w:r>
    </w:p>
    <w:p>
      <w:pPr>
        <w:spacing w:line="360" w:lineRule="auto"/>
        <w:ind w:firstLine="480"/>
        <w:rPr>
          <w:rFonts w:ascii="幼圆" w:eastAsia="幼圆" w:hAnsi="幼圆" w:cs="幼圆" w:hint="eastAsia"/>
        </w:rPr>
      </w:pPr>
      <w:r>
        <w:rPr>
          <w:rFonts w:ascii="幼圆" w:eastAsia="幼圆" w:hAnsi="幼圆" w:cs="幼圆" w:hint="eastAsia"/>
          <w:szCs w:val="24"/>
        </w:rPr>
        <w:t>杨有红（2013）指出，根据内部环境与其他要素不同的契合方式可将内部控制环境划分为相对稳定环境、可重构环境和处于渐变状态的环境，对内部控制的优化应根据不同的环境，有的放矢地采取针对性策略</w:t>
      </w:r>
      <w:r>
        <w:rPr>
          <w:rFonts w:ascii="幼圆" w:eastAsia="幼圆" w:hAnsi="幼圆" w:cs="幼圆" w:hint="eastAsia"/>
          <w:vertAlign w:val="superscript"/>
        </w:rPr>
        <w:t>[4]</w:t>
      </w:r>
      <w:r>
        <w:rPr>
          <w:rFonts w:ascii="幼圆" w:eastAsia="幼圆" w:hAnsi="幼圆" w:cs="幼圆" w:hint="eastAsia"/>
        </w:rPr>
        <w:t>；同时，杨旭东等（2018）认为，我国企业应当通过努力完善企业的内部控制系统来平衡利益相关者之间的权限，从而督促管理者提升自己的能力</w:t>
      </w:r>
      <w:r>
        <w:rPr>
          <w:rFonts w:ascii="幼圆" w:eastAsia="幼圆" w:hAnsi="幼圆" w:cs="幼圆" w:hint="eastAsia"/>
          <w:vertAlign w:val="superscript"/>
        </w:rPr>
        <w:t>[5]</w:t>
      </w:r>
      <w:r>
        <w:rPr>
          <w:rFonts w:ascii="幼圆" w:eastAsia="幼圆" w:hAnsi="幼圆" w:cs="幼圆" w:hint="eastAsia"/>
        </w:rPr>
        <w:t>。其次，杨道广等（2019）通过调查研究，发现企业的战略选择会受到有效的内部控制的影响，完善的内部控制体系能够抑制经理人主观性的不合理选择，而构建良好的内部控制环境有利于实现企业治理层与各层级之间的有效沟通</w:t>
      </w:r>
      <w:r>
        <w:rPr>
          <w:rFonts w:ascii="幼圆" w:eastAsia="幼圆" w:hAnsi="幼圆" w:cs="幼圆" w:hint="eastAsia"/>
          <w:vertAlign w:val="superscript"/>
        </w:rPr>
        <w:t>[6]</w:t>
      </w:r>
      <w:r>
        <w:rPr>
          <w:rFonts w:ascii="幼圆" w:eastAsia="幼圆" w:hAnsi="幼圆" w:cs="幼圆" w:hint="eastAsia"/>
        </w:rPr>
        <w:t>。</w:t>
      </w:r>
    </w:p>
    <w:p>
      <w:pPr>
        <w:spacing w:line="360" w:lineRule="auto"/>
        <w:ind w:firstLine="480"/>
        <w:rPr>
          <w:rFonts w:ascii="幼圆" w:eastAsia="幼圆" w:hAnsi="幼圆" w:cs="幼圆" w:hint="eastAsia"/>
          <w:vertAlign w:val="superscript"/>
        </w:rPr>
        <w:sectPr>
          <w:headerReference w:type="default" r:id="rId14"/>
          <w:footerReference w:type="default" r:id="rId15"/>
          <w:type w:val="nextPage"/>
          <w:pgSz w:w="11906" w:h="16838"/>
          <w:pgMar w:top="1134" w:right="1134" w:bottom="1134" w:left="1418" w:header="851" w:footer="851" w:gutter="0"/>
          <w:pgNumType w:start="4"/>
          <w:cols w:num="1" w:space="425"/>
          <w:titlePg w:val="0"/>
          <w:docGrid w:type="lines" w:linePitch="312" w:charSpace="0"/>
        </w:sectPr>
      </w:pPr>
      <w:r>
        <w:rPr>
          <w:rFonts w:ascii="幼圆" w:eastAsia="幼圆" w:hAnsi="幼圆" w:cs="幼圆" w:hint="eastAsia"/>
        </w:rPr>
        <w:t>在内部控制质量的影响因素方面，池国华等（2014）通过对我国2009-2011年间的A股上市公司的研究，发现企业内部控制的质量会受到企业高管的背景特征的影响，该项研究论证了类似于高管背景这样的软因素是企业内部控制实施的重要影响因素</w:t>
      </w:r>
      <w:r>
        <w:rPr>
          <w:rFonts w:ascii="幼圆" w:eastAsia="幼圆" w:hAnsi="幼圆" w:cs="幼圆" w:hint="eastAsia"/>
          <w:vertAlign w:val="superscript"/>
        </w:rPr>
        <w:t>[7]</w:t>
      </w:r>
    </w:p>
    <w:p>
      <w:pPr>
        <w:spacing w:line="360" w:lineRule="auto"/>
        <w:ind w:firstLine="480"/>
        <w:rPr>
          <w:rFonts w:ascii="幼圆" w:eastAsia="幼圆" w:hAnsi="幼圆" w:cs="幼圆" w:hint="eastAsia"/>
          <w:vertAlign w:val="superscript"/>
        </w:rPr>
      </w:pPr>
      <w:r>
        <w:rPr>
          <w:rFonts w:ascii="幼圆" w:eastAsia="幼圆" w:hAnsi="幼圆" w:cs="幼圆" w:hint="eastAsia"/>
        </w:rPr>
        <w:t>；之后，殷治平（2017）在对我国沪深两市2011—2014年上市的A股公司进行研究后，发现企业高管的学历和既有任期均与内部控制的质量正相关，而高管团队的平均年龄则与内部控制质量呈现出显著的负相关关系，由此得出了池国华等人相似的研究结论,即上市公司内部控制受不同的高管背景特征的影响存在较大差异</w:t>
      </w:r>
      <w:r>
        <w:rPr>
          <w:rFonts w:ascii="幼圆" w:eastAsia="幼圆" w:hAnsi="幼圆" w:cs="幼圆" w:hint="eastAsia"/>
          <w:vertAlign w:val="superscript"/>
        </w:rPr>
        <w:t>[8]</w:t>
      </w:r>
      <w:r>
        <w:rPr>
          <w:rFonts w:ascii="幼圆" w:eastAsia="幼圆" w:hAnsi="幼圆" w:cs="幼圆" w:hint="eastAsia"/>
        </w:rPr>
        <w:t>；此外，逯东等（2015）系统地考察了不同类型的媒体关注对不同产权性质的上市公司内部控制质量的影响，发现网络和政策导向对上市公司的内部控制质量的提高能够起到积极作用</w:t>
      </w:r>
      <w:r>
        <w:rPr>
          <w:rFonts w:ascii="幼圆" w:eastAsia="幼圆" w:hAnsi="幼圆" w:cs="幼圆" w:hint="eastAsia"/>
          <w:vertAlign w:val="superscript"/>
        </w:rPr>
        <w:t>[9]</w:t>
      </w:r>
      <w:r>
        <w:rPr>
          <w:rFonts w:ascii="幼圆" w:eastAsia="幼圆" w:hAnsi="幼圆" w:cs="幼圆" w:hint="eastAsia"/>
        </w:rPr>
        <w:t>。</w:t>
      </w:r>
    </w:p>
    <w:p>
      <w:pPr>
        <w:spacing w:line="360" w:lineRule="auto"/>
        <w:ind w:firstLine="480"/>
        <w:rPr>
          <w:rFonts w:ascii="幼圆" w:eastAsia="幼圆" w:hAnsi="幼圆" w:cs="幼圆" w:hint="eastAsia"/>
        </w:rPr>
      </w:pPr>
      <w:r>
        <w:rPr>
          <w:rFonts w:ascii="幼圆" w:eastAsia="幼圆" w:hAnsi="幼圆" w:cs="幼圆" w:hint="eastAsia"/>
        </w:rPr>
        <w:t>（2）内部控制的经济后果</w:t>
      </w:r>
    </w:p>
    <w:p>
      <w:pPr>
        <w:spacing w:line="360" w:lineRule="auto"/>
        <w:ind w:firstLine="480"/>
        <w:jc w:val="left"/>
        <w:rPr>
          <w:rFonts w:ascii="幼圆" w:eastAsia="幼圆" w:hAnsi="幼圆" w:cs="幼圆" w:hint="eastAsia"/>
        </w:rPr>
      </w:pPr>
      <w:r>
        <w:rPr>
          <w:rFonts w:ascii="幼圆" w:eastAsia="幼圆" w:hAnsi="幼圆" w:cs="幼圆" w:hint="eastAsia"/>
        </w:rPr>
        <w:t>Glover（1997）提出，当企业的内部控制环境良好时，同样的信息能使决策者做出更加正确的决定</w:t>
      </w:r>
      <w:r>
        <w:rPr>
          <w:rFonts w:ascii="幼圆" w:eastAsia="幼圆" w:hAnsi="幼圆" w:cs="幼圆" w:hint="eastAsia"/>
          <w:vertAlign w:val="superscript"/>
        </w:rPr>
        <w:t>[10]</w:t>
      </w:r>
      <w:r>
        <w:rPr>
          <w:rFonts w:ascii="幼圆" w:eastAsia="幼圆" w:hAnsi="幼圆" w:cs="幼圆" w:hint="eastAsia"/>
        </w:rPr>
        <w:t>；而Annukka Jokipii（2010）认为，适合企业自身发展特点的内部控制体系能够提高企业经营活动的效率，有利于企业搜集可靠信息，从而提升企业的管理能力</w:t>
      </w:r>
      <w:r>
        <w:rPr>
          <w:rFonts w:ascii="幼圆" w:eastAsia="幼圆" w:hAnsi="幼圆" w:cs="幼圆" w:hint="eastAsia"/>
          <w:vertAlign w:val="superscript"/>
        </w:rPr>
        <w:t>[11]</w:t>
      </w:r>
      <w:r>
        <w:rPr>
          <w:rFonts w:ascii="幼圆" w:eastAsia="幼圆" w:hAnsi="幼圆" w:cs="幼圆" w:hint="eastAsia"/>
        </w:rPr>
        <w:t>；此外，</w:t>
      </w:r>
      <w:r>
        <w:rPr>
          <w:rFonts w:ascii="幼圆" w:eastAsia="幼圆" w:hAnsi="幼圆" w:cs="幼圆" w:hint="eastAsia"/>
          <w:color w:val="000000" w:themeColor="text1"/>
          <w14:textFill>
            <w14:solidFill>
              <w14:schemeClr w14:val="tx1"/>
            </w14:solidFill>
          </w14:textFill>
        </w:rPr>
        <w:t>Chunk Liu</w:t>
      </w:r>
      <w:r>
        <w:rPr>
          <w:rFonts w:ascii="幼圆" w:eastAsia="幼圆" w:hAnsi="幼圆" w:cs="幼圆" w:hint="eastAsia"/>
          <w:color w:val="000000" w:themeColor="text1"/>
          <w14:textFill>
            <w14:solidFill>
              <w14:schemeClr w14:val="tx1"/>
            </w14:solidFill>
          </w14:textFill>
        </w:rPr>
        <w:t>等</w:t>
      </w:r>
      <w:r>
        <w:rPr>
          <w:rFonts w:ascii="幼圆" w:eastAsia="幼圆" w:hAnsi="幼圆" w:cs="幼圆" w:hint="eastAsia"/>
          <w:color w:val="000000" w:themeColor="text1"/>
          <w14:textFill>
            <w14:solidFill>
              <w14:schemeClr w14:val="tx1"/>
            </w14:solidFill>
          </w14:textFill>
        </w:rPr>
        <w:t>（</w:t>
      </w:r>
      <w:r>
        <w:rPr>
          <w:rFonts w:ascii="幼圆" w:eastAsia="幼圆" w:hAnsi="幼圆" w:cs="幼圆" w:hint="eastAsia"/>
          <w:color w:val="000000" w:themeColor="text1"/>
          <w14:textFill>
            <w14:solidFill>
              <w14:schemeClr w14:val="tx1"/>
            </w14:solidFill>
          </w14:textFill>
        </w:rPr>
        <w:t>2017</w:t>
      </w:r>
      <w:r>
        <w:rPr>
          <w:rFonts w:ascii="幼圆" w:eastAsia="幼圆" w:hAnsi="幼圆" w:cs="幼圆" w:hint="eastAsia"/>
          <w:color w:val="000000" w:themeColor="text1"/>
          <w14:textFill>
            <w14:solidFill>
              <w14:schemeClr w14:val="tx1"/>
            </w14:solidFill>
          </w14:textFill>
        </w:rPr>
        <w:t>）通过</w:t>
      </w:r>
      <w:r>
        <w:rPr>
          <w:rFonts w:ascii="幼圆" w:eastAsia="幼圆" w:hAnsi="幼圆" w:cs="幼圆" w:hint="eastAsia"/>
          <w:color w:val="000000" w:themeColor="text1"/>
          <w14:textFill>
            <w14:solidFill>
              <w14:schemeClr w14:val="tx1"/>
            </w14:solidFill>
          </w14:textFill>
        </w:rPr>
        <w:t>对</w:t>
      </w:r>
      <w:r>
        <w:rPr>
          <w:rFonts w:ascii="幼圆" w:eastAsia="幼圆" w:hAnsi="幼圆" w:cs="幼圆" w:hint="eastAsia"/>
          <w:color w:val="000000" w:themeColor="text1"/>
          <w14:textFill>
            <w14:solidFill>
              <w14:schemeClr w14:val="tx1"/>
            </w14:solidFill>
          </w14:textFill>
        </w:rPr>
        <w:t>4000</w:t>
      </w:r>
      <w:r>
        <w:rPr>
          <w:rFonts w:ascii="幼圆" w:eastAsia="幼圆" w:hAnsi="幼圆" w:cs="幼圆" w:hint="eastAsia"/>
          <w:color w:val="000000" w:themeColor="text1"/>
          <w14:textFill>
            <w14:solidFill>
              <w14:schemeClr w14:val="tx1"/>
            </w14:solidFill>
          </w14:textFill>
        </w:rPr>
        <w:t>多</w:t>
      </w:r>
      <w:r>
        <w:rPr>
          <w:rFonts w:ascii="幼圆" w:eastAsia="幼圆" w:hAnsi="幼圆" w:cs="幼圆" w:hint="eastAsia"/>
          <w:color w:val="000000" w:themeColor="text1"/>
          <w14:textFill>
            <w14:solidFill>
              <w14:schemeClr w14:val="tx1"/>
            </w14:solidFill>
          </w14:textFill>
        </w:rPr>
        <w:t>家企业披露的内部控制信息的研究分析，发现企业的管理层普遍不愿意公开自己的内部控制制度与内部控制评价信息</w:t>
      </w:r>
      <w:r>
        <w:rPr>
          <w:rFonts w:ascii="幼圆" w:eastAsia="幼圆" w:hAnsi="幼圆" w:cs="幼圆" w:hint="eastAsia"/>
          <w:vertAlign w:val="superscript"/>
        </w:rPr>
        <w:t>[12]</w:t>
      </w:r>
      <w:r>
        <w:rPr>
          <w:rFonts w:ascii="幼圆" w:eastAsia="幼圆" w:hAnsi="幼圆" w:cs="幼圆" w:hint="eastAsia"/>
          <w:color w:val="000000" w:themeColor="text1"/>
          <w14:textFill>
            <w14:solidFill>
              <w14:schemeClr w14:val="tx1"/>
            </w14:solidFill>
          </w14:textFill>
        </w:rPr>
        <w:t>。</w:t>
      </w:r>
    </w:p>
    <w:p>
      <w:pPr>
        <w:spacing w:line="360" w:lineRule="auto"/>
        <w:ind w:firstLine="480"/>
        <w:rPr>
          <w:rFonts w:ascii="幼圆" w:eastAsia="幼圆" w:hAnsi="幼圆" w:cs="幼圆" w:hint="eastAsia"/>
        </w:rPr>
      </w:pPr>
      <w:r>
        <w:rPr>
          <w:rFonts w:ascii="幼圆" w:eastAsia="幼圆" w:hAnsi="幼圆" w:cs="幼圆" w:hint="eastAsia"/>
        </w:rPr>
        <w:t>一般来说，公司治理情况同企业内部控制息息相关。罗党论和唐清泉（2005）发现，无论企业控股的第一大股东的持股比例有多少，都会将利润从公司转移到自己手中</w:t>
      </w:r>
      <w:r>
        <w:rPr>
          <w:rFonts w:ascii="幼圆" w:eastAsia="幼圆" w:hAnsi="幼圆" w:cs="幼圆" w:hint="eastAsia"/>
          <w:vertAlign w:val="superscript"/>
        </w:rPr>
        <w:t>[13]</w:t>
      </w:r>
      <w:r>
        <w:rPr>
          <w:rFonts w:ascii="幼圆" w:eastAsia="幼圆" w:hAnsi="幼圆" w:cs="幼圆" w:hint="eastAsia"/>
        </w:rPr>
        <w:t>；其次，谢凡等（2016）在对2014年A股主板上市公司披露内部控制缺陷的现状进行分析后发现，内部控制的缺陷与实现内部控制目标之间存在负相关的关系，并指出这种关系受企业规模与企业上市年限的影响</w:t>
      </w:r>
      <w:r>
        <w:rPr>
          <w:rFonts w:ascii="幼圆" w:eastAsia="幼圆" w:hAnsi="幼圆" w:cs="幼圆" w:hint="eastAsia"/>
          <w:vertAlign w:val="superscript"/>
        </w:rPr>
        <w:t>[14]</w:t>
      </w:r>
      <w:r>
        <w:rPr>
          <w:rFonts w:ascii="幼圆" w:eastAsia="幼圆" w:hAnsi="幼圆" w:cs="幼圆" w:hint="eastAsia"/>
        </w:rPr>
        <w:t>；同时，余思明等（2019）在对2002至2017年间中国上市公司披露是年度营业收入目标数据进行分析后，发现管理层业绩目标相较公司历史基准或行业平均水平设定的要高，这有助于提升公司的内部控制有效性</w:t>
      </w:r>
      <w:r>
        <w:rPr>
          <w:rFonts w:ascii="幼圆" w:eastAsia="幼圆" w:hAnsi="幼圆" w:cs="幼圆" w:hint="eastAsia"/>
          <w:vertAlign w:val="superscript"/>
        </w:rPr>
        <w:t>[15]</w:t>
      </w:r>
      <w:r>
        <w:rPr>
          <w:rFonts w:ascii="幼圆" w:eastAsia="幼圆" w:hAnsi="幼圆" w:cs="幼圆" w:hint="eastAsia"/>
        </w:rPr>
        <w:t>。</w:t>
      </w:r>
    </w:p>
    <w:p>
      <w:pPr>
        <w:pStyle w:val="Heading3"/>
        <w:spacing w:line="360" w:lineRule="auto"/>
        <w:ind w:firstLine="480"/>
        <w:rPr>
          <w:rFonts w:ascii="幼圆" w:eastAsia="幼圆" w:hAnsi="幼圆" w:cs="幼圆" w:hint="eastAsia"/>
        </w:rPr>
      </w:pPr>
      <w:bookmarkStart w:id="18" w:name="_Toc71287679"/>
      <w:bookmarkStart w:id="19" w:name="_Toc67927075"/>
      <w:r>
        <w:rPr>
          <w:rFonts w:ascii="幼圆" w:eastAsia="幼圆" w:hAnsi="幼圆" w:cs="幼圆" w:hint="eastAsia"/>
        </w:rPr>
        <w:t>1.2.2 文献评述</w:t>
      </w:r>
      <w:bookmarkEnd w:id="18"/>
      <w:bookmarkEnd w:id="19"/>
    </w:p>
    <w:p>
      <w:pPr>
        <w:spacing w:line="360" w:lineRule="auto"/>
        <w:ind w:firstLine="480"/>
        <w:rPr>
          <w:rFonts w:ascii="幼圆" w:eastAsia="幼圆" w:hAnsi="幼圆" w:cs="幼圆" w:hint="eastAsia"/>
        </w:rPr>
      </w:pPr>
      <w:r>
        <w:rPr>
          <w:rFonts w:ascii="幼圆" w:eastAsia="幼圆" w:hAnsi="幼圆" w:cs="幼圆" w:hint="eastAsia"/>
        </w:rPr>
        <w:t>综观国内外对内部控制的研究现状，不难发现由于经济发展状况与体制的不同，国外学者对内部控制的研究较多集中于宏观层面，而国内研究则兼顾宏观与微观，研究方向更为细化。但无论是国内还是国外，诸位学者较少有对针对煤炭行业的内部控制研究。因此，本文以具体的煤炭企业为例，探究煤炭行业内部控制存在的缺陷，同时提出相关的完善内部控制制度、优化内部控制流程的对策建议。</w:t>
      </w:r>
    </w:p>
    <w:p>
      <w:pPr>
        <w:pStyle w:val="Heading2"/>
        <w:spacing w:before="156" w:after="156" w:line="360" w:lineRule="auto"/>
        <w:ind w:firstLine="480"/>
        <w:rPr>
          <w:rFonts w:ascii="幼圆" w:eastAsia="幼圆" w:hAnsi="幼圆" w:cs="幼圆" w:hint="eastAsia"/>
        </w:rPr>
      </w:pPr>
      <w:bookmarkStart w:id="20" w:name="_Toc71287680"/>
      <w:bookmarkStart w:id="21" w:name="_Toc67927076"/>
      <w:bookmarkStart w:id="22" w:name="_Toc13890"/>
      <w:r>
        <w:rPr>
          <w:rFonts w:ascii="幼圆" w:eastAsia="幼圆" w:hAnsi="幼圆" w:cs="幼圆" w:hint="eastAsia"/>
        </w:rPr>
        <w:t>1.3 研究方法</w:t>
      </w:r>
      <w:bookmarkEnd w:id="20"/>
      <w:bookmarkEnd w:id="21"/>
      <w:bookmarkEnd w:id="22"/>
    </w:p>
    <w:p>
      <w:pPr>
        <w:pStyle w:val="Heading3"/>
        <w:spacing w:line="360" w:lineRule="auto"/>
        <w:ind w:firstLine="480"/>
        <w:rPr>
          <w:rFonts w:ascii="幼圆" w:eastAsia="幼圆" w:hAnsi="幼圆" w:cs="幼圆" w:hint="eastAsia"/>
        </w:rPr>
      </w:pPr>
      <w:bookmarkStart w:id="23" w:name="_Toc67927077"/>
      <w:bookmarkStart w:id="24" w:name="_Toc71287681"/>
      <w:bookmarkStart w:id="25" w:name="_Toc67927078"/>
      <w:r>
        <w:rPr>
          <w:rFonts w:ascii="幼圆" w:eastAsia="幼圆" w:hAnsi="幼圆" w:cs="幼圆" w:hint="eastAsia"/>
        </w:rPr>
        <w:t>1.3.1 文献研究法</w:t>
      </w:r>
      <w:bookmarkEnd w:id="23"/>
      <w:bookmarkEnd w:id="24"/>
      <w:r>
        <w:rPr>
          <w:rFonts w:ascii="幼圆" w:eastAsia="幼圆" w:hAnsi="幼圆" w:cs="幼圆" w:hint="eastAsia"/>
        </w:rPr>
        <w:t xml:space="preserve"> </w:t>
      </w:r>
    </w:p>
    <w:p>
      <w:pPr>
        <w:spacing w:line="360" w:lineRule="auto"/>
        <w:ind w:firstLine="480"/>
        <w:rPr>
          <w:rFonts w:ascii="幼圆" w:eastAsia="幼圆" w:hAnsi="幼圆" w:cs="幼圆" w:hint="eastAsia"/>
        </w:rPr>
        <w:sectPr>
          <w:headerReference w:type="default" r:id="rId16"/>
          <w:footerReference w:type="default" r:id="rId17"/>
          <w:type w:val="nextPage"/>
          <w:pgSz w:w="11906" w:h="16838"/>
          <w:pgMar w:top="1134" w:right="1134" w:bottom="1134" w:left="1418" w:header="851" w:footer="851" w:gutter="0"/>
          <w:pgNumType w:start="5"/>
          <w:cols w:num="1" w:space="425"/>
          <w:titlePg w:val="0"/>
          <w:docGrid w:type="lines" w:linePitch="312" w:charSpace="0"/>
        </w:sectPr>
      </w:pPr>
      <w:r>
        <w:rPr>
          <w:rFonts w:ascii="幼圆" w:eastAsia="幼圆" w:hAnsi="幼圆" w:cs="幼圆" w:hint="eastAsia"/>
        </w:rPr>
        <w:t>通过阅读和搜集与内部控制相关的国内外相关文献，了解该案例企业所处行业的现有理论成果及实际应用情况。结合理论与实际数据，在借鉴相关成果的基础上，进一步研究煤炭企业内部控制流程及其存在的问题，同时分析完善内部控制制度的相关措施。</w:t>
      </w:r>
    </w:p>
    <w:p>
      <w:pPr>
        <w:pStyle w:val="Heading3"/>
        <w:spacing w:line="360" w:lineRule="auto"/>
        <w:ind w:firstLine="480"/>
        <w:rPr>
          <w:rFonts w:ascii="幼圆" w:eastAsia="幼圆" w:hAnsi="幼圆" w:cs="幼圆" w:hint="eastAsia"/>
        </w:rPr>
      </w:pPr>
      <w:bookmarkStart w:id="26" w:name="_Toc71287682"/>
      <w:r>
        <w:rPr>
          <w:rFonts w:ascii="幼圆" w:eastAsia="幼圆" w:hAnsi="幼圆" w:cs="幼圆" w:hint="eastAsia"/>
        </w:rPr>
        <w:t>1.3.2 案例分析法</w:t>
      </w:r>
      <w:bookmarkEnd w:id="25"/>
      <w:bookmarkEnd w:id="26"/>
      <w:r>
        <w:rPr>
          <w:rFonts w:ascii="幼圆" w:eastAsia="幼圆" w:hAnsi="幼圆" w:cs="幼圆" w:hint="eastAsia"/>
        </w:rPr>
        <w:t xml:space="preserve"> </w:t>
      </w:r>
    </w:p>
    <w:p>
      <w:pPr>
        <w:spacing w:line="360" w:lineRule="auto"/>
        <w:ind w:firstLine="480"/>
        <w:rPr>
          <w:rFonts w:ascii="幼圆" w:eastAsia="幼圆" w:hAnsi="幼圆" w:cs="幼圆" w:hint="eastAsia"/>
        </w:rPr>
      </w:pPr>
      <w:r>
        <w:rPr>
          <w:rFonts w:ascii="幼圆" w:eastAsia="幼圆" w:hAnsi="幼圆" w:cs="幼圆" w:hint="eastAsia"/>
        </w:rPr>
        <w:t>本文通过分析煤炭企业内部控制存在的缺陷来探究完善相关内部控制制度的措施，同时结合</w:t>
      </w:r>
      <w:r>
        <w:rPr>
          <w:rFonts w:ascii="幼圆" w:eastAsia="幼圆" w:hAnsi="幼圆" w:cs="幼圆" w:hint="eastAsia"/>
          <w:lang w:eastAsia="zh-CN"/>
        </w:rPr>
        <w:t>S</w:t>
      </w:r>
      <w:r>
        <w:rPr>
          <w:rFonts w:ascii="幼圆" w:eastAsia="幼圆" w:hAnsi="幼圆" w:cs="幼圆" w:hint="eastAsia"/>
        </w:rPr>
        <w:t>煤炭公司这一具体案例进行证明，从而提出解决问题的控制体系及措施。本文所选择的</w:t>
      </w:r>
      <w:r>
        <w:rPr>
          <w:rFonts w:ascii="幼圆" w:eastAsia="幼圆" w:hAnsi="幼圆" w:cs="幼圆" w:hint="eastAsia"/>
          <w:lang w:eastAsia="zh-CN"/>
        </w:rPr>
        <w:t>S</w:t>
      </w:r>
      <w:r>
        <w:rPr>
          <w:rFonts w:ascii="幼圆" w:eastAsia="幼圆" w:hAnsi="幼圆" w:cs="幼圆" w:hint="eastAsia"/>
        </w:rPr>
        <w:t>煤炭公司具有一定的行业代表性。</w:t>
      </w:r>
    </w:p>
    <w:p>
      <w:pPr>
        <w:pStyle w:val="Heading3"/>
        <w:spacing w:line="360" w:lineRule="auto"/>
        <w:ind w:firstLine="480"/>
        <w:rPr>
          <w:rFonts w:ascii="幼圆" w:eastAsia="幼圆" w:hAnsi="幼圆" w:cs="幼圆" w:hint="eastAsia"/>
        </w:rPr>
      </w:pPr>
      <w:bookmarkStart w:id="27" w:name="_Toc71287683"/>
      <w:r>
        <w:rPr>
          <w:rFonts w:ascii="幼圆" w:eastAsia="幼圆" w:hAnsi="幼圆" w:cs="幼圆" w:hint="eastAsia"/>
        </w:rPr>
        <w:t>1.3.3 实地研究法</w:t>
      </w:r>
      <w:bookmarkEnd w:id="27"/>
    </w:p>
    <w:p>
      <w:pPr>
        <w:spacing w:line="360" w:lineRule="auto"/>
        <w:ind w:firstLine="480"/>
        <w:rPr>
          <w:rFonts w:ascii="幼圆" w:eastAsia="幼圆" w:hAnsi="幼圆" w:cs="幼圆" w:hint="eastAsia"/>
        </w:rPr>
      </w:pPr>
      <w:r>
        <w:rPr>
          <w:rFonts w:ascii="幼圆" w:eastAsia="幼圆" w:hAnsi="幼圆" w:cs="幼圆" w:hint="eastAsia"/>
        </w:rPr>
        <w:t>在前期调研过程中，实地走访了本文涉及的案例企业，查阅了案例企业内部控制条例并与相关员工就企业内部控制问题进行了沟通，了解该案例企业内部控制现状，为针对性建议的提出奠定了基础。</w:t>
      </w:r>
    </w:p>
    <w:p>
      <w:pPr>
        <w:pStyle w:val="Heading2"/>
        <w:spacing w:before="156" w:after="156" w:line="360" w:lineRule="auto"/>
        <w:rPr>
          <w:rFonts w:ascii="幼圆" w:eastAsia="幼圆" w:hAnsi="幼圆" w:cs="幼圆" w:hint="eastAsia"/>
        </w:rPr>
      </w:pPr>
      <w:bookmarkStart w:id="28" w:name="_Toc71287684"/>
      <w:bookmarkStart w:id="29" w:name="_Toc21846"/>
      <w:r>
        <w:rPr>
          <w:rFonts w:ascii="幼圆" w:eastAsia="幼圆" w:hAnsi="幼圆" w:cs="幼圆" w:hint="eastAsia"/>
        </w:rPr>
        <w:t>1.4 研究思路</w:t>
      </w:r>
      <w:bookmarkEnd w:id="28"/>
      <w:bookmarkEnd w:id="29"/>
    </w:p>
    <w:p>
      <w:pPr>
        <w:spacing w:line="360" w:lineRule="auto"/>
        <w:ind w:firstLine="677" w:firstLineChars="282"/>
        <w:rPr>
          <w:rFonts w:ascii="幼圆" w:eastAsia="幼圆" w:hAnsi="幼圆" w:cs="幼圆" w:hint="eastAsia"/>
        </w:rPr>
      </w:pPr>
      <w:r>
        <w:rPr>
          <w:rFonts w:ascii="幼圆" w:eastAsia="幼圆" w:hAnsi="幼圆" w:cs="幼圆" w:hint="eastAsia"/>
        </w:rPr>
        <w:t>本文的研究思路如图1-1所示。</w:t>
      </w:r>
    </w:p>
    <w:p>
      <w:pPr>
        <w:spacing w:line="360" w:lineRule="auto"/>
        <w:ind w:firstLine="677" w:firstLineChars="282"/>
        <w:rPr>
          <w:rFonts w:ascii="幼圆" w:eastAsia="幼圆" w:hAnsi="幼圆" w:cs="幼圆" w:hint="eastAsia"/>
        </w:rPr>
      </w:pPr>
    </w:p>
    <w:p>
      <w:pPr>
        <w:spacing w:line="360" w:lineRule="auto"/>
        <w:ind w:firstLine="677" w:firstLineChars="282"/>
        <w:rPr>
          <w:rFonts w:ascii="幼圆" w:eastAsia="幼圆" w:hAnsi="幼圆" w:cs="幼圆" w:hint="eastAsia"/>
        </w:rPr>
      </w:pPr>
    </w:p>
    <w:p>
      <w:pPr>
        <w:spacing w:line="360" w:lineRule="auto"/>
        <w:ind w:firstLine="677" w:firstLineChars="282"/>
        <w:rPr>
          <w:rFonts w:ascii="幼圆" w:eastAsia="幼圆" w:hAnsi="幼圆" w:cs="幼圆" w:hint="eastAsia"/>
        </w:rPr>
      </w:pPr>
    </w:p>
    <w:p>
      <w:pPr>
        <w:spacing w:line="360" w:lineRule="auto"/>
        <w:ind w:firstLine="677" w:firstLineChars="282"/>
        <w:rPr>
          <w:rFonts w:ascii="幼圆" w:eastAsia="幼圆" w:hAnsi="幼圆" w:cs="幼圆" w:hint="eastAsia"/>
        </w:rPr>
      </w:pPr>
    </w:p>
    <w:p>
      <w:pPr>
        <w:widowControl/>
        <w:spacing w:line="360" w:lineRule="auto"/>
        <w:ind w:firstLine="0" w:firstLineChars="0"/>
        <w:jc w:val="left"/>
        <w:rPr>
          <w:rFonts w:ascii="幼圆" w:eastAsia="幼圆" w:hAnsi="幼圆" w:cs="幼圆" w:hint="eastAsia"/>
        </w:rPr>
      </w:pP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59264" behindDoc="0" locked="0" layoutInCell="1" allowOverlap="1">
                <wp:simplePos x="0" y="0"/>
                <wp:positionH relativeFrom="column">
                  <wp:posOffset>2113915</wp:posOffset>
                </wp:positionH>
                <wp:positionV relativeFrom="paragraph">
                  <wp:posOffset>1270</wp:posOffset>
                </wp:positionV>
                <wp:extent cx="1661795" cy="342900"/>
                <wp:effectExtent l="4445" t="4445" r="10160" b="18415"/>
                <wp:wrapNone/>
                <wp:docPr id="13" name="矩形 13"/>
                <wp:cNvGraphicFramePr/>
                <a:graphic xmlns:a="http://schemas.openxmlformats.org/drawingml/2006/main">
                  <a:graphicData uri="http://schemas.microsoft.com/office/word/2010/wordprocessingShape">
                    <wps:wsp xmlns:wps="http://schemas.microsoft.com/office/word/2010/wordprocessingShape">
                      <wps:cNvSpPr/>
                      <wps:spPr>
                        <a:xfrm>
                          <a:off x="3014345" y="1102360"/>
                          <a:ext cx="1661795" cy="342900"/>
                        </a:xfrm>
                        <a:prstGeom prst="rect">
                          <a:avLst/>
                        </a:prstGeom>
                        <a:ln w="6350"/>
                      </wps:spPr>
                      <wps:style>
                        <a:lnRef idx="2">
                          <a:schemeClr val="dk1"/>
                        </a:lnRef>
                        <a:fillRef idx="1">
                          <a:schemeClr val="lt1"/>
                        </a:fillRef>
                        <a:effectRef idx="0">
                          <a:schemeClr val="dk1"/>
                        </a:effectRef>
                        <a:fontRef idx="minor">
                          <a:schemeClr val="dk1"/>
                        </a:fontRef>
                      </wps:style>
                      <wps:txbx>
                        <w:txbxContent>
                          <w:p>
                            <w:pPr>
                              <w:ind w:firstLine="0" w:firstLineChars="0"/>
                              <w:jc w:val="center"/>
                              <w:rPr>
                                <w:szCs w:val="24"/>
                              </w:rPr>
                            </w:pPr>
                            <w:r>
                              <w:rPr>
                                <w:rFonts w:hint="eastAsia"/>
                                <w:szCs w:val="24"/>
                              </w:rPr>
                              <w:t>绪论</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矩形 13" o:spid="_x0000_s1025" type="#_x0000_t202" style="width:130.85pt;height:27pt;margin-top:0.1pt;margin-left:166.45pt;mso-wrap-distance-bottom:0;mso-wrap-distance-left:9pt;mso-wrap-distance-right:9pt;mso-wrap-distance-top:0;position:absolute;v-text-anchor:middle;z-index:251658240" fillcolor="white" stroked="t" strokecolor="black" strokeweight="0.5pt">
                <v:textbox>
                  <w:txbxContent>
                    <w:p>
                      <w:pPr>
                        <w:ind w:firstLine="0" w:firstLineChars="0"/>
                        <w:jc w:val="center"/>
                        <w:rPr>
                          <w:szCs w:val="24"/>
                        </w:rPr>
                      </w:pPr>
                      <w:r>
                        <w:rPr>
                          <w:rFonts w:hint="eastAsia"/>
                          <w:szCs w:val="24"/>
                        </w:rPr>
                        <w:t>绪论</w:t>
                      </w:r>
                    </w:p>
                  </w:txbxContent>
                </v:textbox>
              </v:shape>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63360" behindDoc="0" locked="0" layoutInCell="1" allowOverlap="1">
                <wp:simplePos x="0" y="0"/>
                <wp:positionH relativeFrom="column">
                  <wp:posOffset>2945130</wp:posOffset>
                </wp:positionH>
                <wp:positionV relativeFrom="paragraph">
                  <wp:posOffset>46990</wp:posOffset>
                </wp:positionV>
                <wp:extent cx="0" cy="271780"/>
                <wp:effectExtent l="95250" t="0" r="57150" b="52070"/>
                <wp:wrapNone/>
                <wp:docPr id="59" name="直接箭头连接符 59"/>
                <wp:cNvGraphicFramePr/>
                <a:graphic xmlns:a="http://schemas.openxmlformats.org/drawingml/2006/main">
                  <a:graphicData uri="http://schemas.microsoft.com/office/word/2010/wordprocessingShape">
                    <wps:wsp xmlns:wps="http://schemas.microsoft.com/office/word/2010/wordprocessingShape">
                      <wps:cNvCnPr/>
                      <wps:spPr>
                        <a:xfrm>
                          <a:off x="0" y="0"/>
                          <a:ext cx="0" cy="271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接箭头连接符 59" o:spid="_x0000_s1026" type="#_x0000_t32" style="width:0;height:21.4pt;margin-top:3.7pt;margin-left:231.9pt;mso-wrap-distance-bottom:0;mso-wrap-distance-left:9pt;mso-wrap-distance-right:9pt;mso-wrap-distance-top:0;position:absolute;v-text-anchor:top;z-index:251662336" fillcolor="this" stroked="t" strokecolor="black" strokeweight="0.75pt">
                <v:stroke endarrow="open"/>
              </v:shape>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61312" behindDoc="0" locked="0" layoutInCell="1" allowOverlap="1">
                <wp:simplePos x="0" y="0"/>
                <wp:positionH relativeFrom="column">
                  <wp:posOffset>2030095</wp:posOffset>
                </wp:positionH>
                <wp:positionV relativeFrom="paragraph">
                  <wp:posOffset>21590</wp:posOffset>
                </wp:positionV>
                <wp:extent cx="1836420" cy="335280"/>
                <wp:effectExtent l="4445" t="4445" r="18415" b="10795"/>
                <wp:wrapNone/>
                <wp:docPr id="14" name="矩形 14"/>
                <wp:cNvGraphicFramePr/>
                <a:graphic xmlns:a="http://schemas.openxmlformats.org/drawingml/2006/main">
                  <a:graphicData uri="http://schemas.microsoft.com/office/word/2010/wordprocessingShape">
                    <wps:wsp xmlns:wps="http://schemas.microsoft.com/office/word/2010/wordprocessingShape">
                      <wps:cNvSpPr/>
                      <wps:spPr>
                        <a:xfrm>
                          <a:off x="3029585" y="1823720"/>
                          <a:ext cx="1836420" cy="335280"/>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jc w:val="center"/>
                            </w:pPr>
                            <w:r>
                              <w:rPr>
                                <w:rFonts w:hint="eastAsia"/>
                                <w:szCs w:val="24"/>
                              </w:rPr>
                              <w:t>相关概念与理论基础</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14" o:spid="_x0000_s1027" type="#_x0000_t202" style="width:144.6pt;height:26.4pt;margin-top:1.7pt;margin-left:159.85pt;mso-wrap-distance-bottom:0;mso-wrap-distance-left:9pt;mso-wrap-distance-right:9pt;mso-wrap-distance-top:0;position:absolute;v-text-anchor:middle;z-index:251660288" fillcolor="white" stroked="t" strokecolor="black" strokeweight="0.25pt">
                <v:textbox>
                  <w:txbxContent>
                    <w:p>
                      <w:pPr>
                        <w:ind w:firstLine="0" w:firstLineChars="0"/>
                        <w:jc w:val="center"/>
                      </w:pPr>
                      <w:r>
                        <w:rPr>
                          <w:rFonts w:hint="eastAsia"/>
                          <w:szCs w:val="24"/>
                        </w:rPr>
                        <w:t>相关概念与理论基础</w:t>
                      </w:r>
                    </w:p>
                  </w:txbxContent>
                </v:textbox>
              </v:shape>
            </w:pict>
          </mc:Fallback>
        </mc:AlternateContent>
      </w:r>
    </w:p>
    <w:p>
      <w:pPr>
        <w:widowControl/>
        <w:spacing w:line="360" w:lineRule="auto"/>
        <w:ind w:firstLine="0" w:firstLineChars="0"/>
        <w:jc w:val="left"/>
        <w:rPr>
          <w:rFonts w:ascii="幼圆" w:eastAsia="幼圆" w:hAnsi="幼圆" w:cs="幼圆" w:hint="eastAsia"/>
        </w:rPr>
      </w:pP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g">
            <w:drawing>
              <wp:anchor distT="0" distB="0" distL="114300" distR="114300" simplePos="0" relativeHeight="251677696" behindDoc="0" locked="0" layoutInCell="1" allowOverlap="1">
                <wp:simplePos x="0" y="0"/>
                <wp:positionH relativeFrom="column">
                  <wp:posOffset>1233170</wp:posOffset>
                </wp:positionH>
                <wp:positionV relativeFrom="paragraph">
                  <wp:posOffset>5715</wp:posOffset>
                </wp:positionV>
                <wp:extent cx="5563235" cy="2040890"/>
                <wp:effectExtent l="76200" t="0" r="18415" b="16510"/>
                <wp:wrapNone/>
                <wp:docPr id="106" name="组合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5563235" cy="2040890"/>
                          <a:chOff x="0" y="0"/>
                          <a:chExt cx="5563235" cy="2040890"/>
                        </a:xfrm>
                      </wpg:grpSpPr>
                      <wps:wsp xmlns:wps="http://schemas.microsoft.com/office/word/2010/wordprocessingShape">
                        <wps:cNvPr id="20" name="直接连接符 20"/>
                        <wps:cNvCnPr/>
                        <wps:spPr>
                          <a:xfrm flipV="1">
                            <a:off x="0" y="0"/>
                            <a:ext cx="352806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2" name="直接箭头连接符 22"/>
                        <wps:cNvCnPr/>
                        <wps:spPr>
                          <a:xfrm>
                            <a:off x="9525" y="0"/>
                            <a:ext cx="0" cy="184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6" name="直接箭头连接符 26"/>
                        <wps:cNvCnPr/>
                        <wps:spPr>
                          <a:xfrm>
                            <a:off x="3524250" y="0"/>
                            <a:ext cx="0"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70" name="直接连接符 70"/>
                        <wps:cNvCnPr/>
                        <wps:spPr>
                          <a:xfrm>
                            <a:off x="5563235" y="1796415"/>
                            <a:ext cx="0" cy="24447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106" o:spid="_x0000_s1028" style="width:445.5pt;height:162pt;margin-top:0.45pt;margin-left:97.1pt;mso-wrap-distance-bottom:0;mso-wrap-distance-left:9pt;mso-wrap-distance-right:9pt;mso-wrap-distance-top:0;position:absolute;z-index:251676672" coordorigin="0,0" coordsize="21600,21600">
                <v:line id="_x0000_s1029" style="flip:y;position:absolute;v-text-anchor:top" from="0,0" to="13698,0" fillcolor="this" stroked="t" strokecolor="black" strokeweight="0.75pt"/>
                <v:shape id="_x0000_s1030" type="#_x0000_t32" style="width:0;height:1949;left:37;position:absolute;v-text-anchor:top" fillcolor="this" stroked="t" strokecolor="black" strokeweight="0.75pt">
                  <v:stroke endarrow="open"/>
                </v:shape>
                <v:shape id="_x0000_s1031" type="#_x0000_t32" style="width:0;height:1613;left:13683;position:absolute;v-text-anchor:top" fillcolor="this" stroked="t" strokecolor="black" strokeweight="0.75pt">
                  <v:stroke endarrow="open"/>
                </v:shape>
                <v:line id="_x0000_s1032" style="position:absolute;v-text-anchor:top" from="21600,19013" to="21600,21600" fillcolor="this" stroked="t" strokecolor="black" strokeweight="0.75pt"/>
              </v:group>
            </w:pict>
          </mc:Fallback>
        </mc:AlternateContent>
      </w:r>
      <w:r>
        <w:rPr>
          <w:rFonts w:ascii="幼圆" w:eastAsia="幼圆" w:hAnsi="幼圆" w:cs="幼圆" w:hint="eastAsia"/>
        </w:rPr>
        <mc:AlternateContent>
          <mc:Choice Requires="wps">
            <w:drawing>
              <wp:anchor distT="0" distB="0" distL="114300" distR="114300" simplePos="0" relativeHeight="251667456" behindDoc="0" locked="0" layoutInCell="1" allowOverlap="1">
                <wp:simplePos x="0" y="0"/>
                <wp:positionH relativeFrom="column">
                  <wp:posOffset>3281045</wp:posOffset>
                </wp:positionH>
                <wp:positionV relativeFrom="paragraph">
                  <wp:posOffset>177165</wp:posOffset>
                </wp:positionV>
                <wp:extent cx="3023870" cy="352425"/>
                <wp:effectExtent l="0" t="0" r="24130" b="28575"/>
                <wp:wrapNone/>
                <wp:docPr id="17" name="矩形 17"/>
                <wp:cNvGraphicFramePr/>
                <a:graphic xmlns:a="http://schemas.openxmlformats.org/drawingml/2006/main">
                  <a:graphicData uri="http://schemas.microsoft.com/office/word/2010/wordprocessingShape">
                    <wps:wsp xmlns:wps="http://schemas.microsoft.com/office/word/2010/wordprocessingShape">
                      <wps:cNvSpPr/>
                      <wps:spPr>
                        <a:xfrm>
                          <a:off x="0" y="0"/>
                          <a:ext cx="3023870" cy="352425"/>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pPr>
                            <w:r>
                              <w:rPr>
                                <w:rFonts w:hint="eastAsia"/>
                              </w:rPr>
                              <w:t>理论基础：委托代理理论、风险管理理论</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17" o:spid="_x0000_s1033" type="#_x0000_t202" style="width:238.1pt;height:27.75pt;margin-top:13.95pt;margin-left:258.35pt;mso-wrap-distance-bottom:0;mso-wrap-distance-left:9pt;mso-wrap-distance-right:9pt;mso-wrap-distance-top:0;position:absolute;v-text-anchor:middle;z-index:251666432" fillcolor="white" stroked="t" strokecolor="black" strokeweight="0.25pt">
                <v:textbox>
                  <w:txbxContent>
                    <w:p>
                      <w:pPr>
                        <w:ind w:firstLine="0" w:firstLineChars="0"/>
                      </w:pPr>
                      <w:r>
                        <w:rPr>
                          <w:rFonts w:hint="eastAsia"/>
                        </w:rPr>
                        <w:t>理论基础：委托代理理论、风险管理理论</w:t>
                      </w:r>
                    </w:p>
                  </w:txbxContent>
                </v:textbox>
              </v:shape>
            </w:pict>
          </mc:Fallback>
        </mc:AlternateContent>
      </w:r>
      <w:r>
        <w:rPr>
          <w:rFonts w:ascii="幼圆" w:eastAsia="幼圆" w:hAnsi="幼圆" w:cs="幼圆" w:hint="eastAsia"/>
        </w:rPr>
        <mc:AlternateContent>
          <mc:Choice Requires="wps">
            <w:drawing>
              <wp:anchor distT="0" distB="0" distL="114300" distR="114300" simplePos="0" relativeHeight="251665408" behindDoc="0" locked="0" layoutInCell="1" allowOverlap="1">
                <wp:simplePos x="0" y="0"/>
                <wp:positionH relativeFrom="column">
                  <wp:posOffset>137795</wp:posOffset>
                </wp:positionH>
                <wp:positionV relativeFrom="paragraph">
                  <wp:posOffset>205740</wp:posOffset>
                </wp:positionV>
                <wp:extent cx="2415540" cy="323850"/>
                <wp:effectExtent l="0" t="0" r="22860" b="19050"/>
                <wp:wrapNone/>
                <wp:docPr id="16" name="矩形 16"/>
                <wp:cNvGraphicFramePr/>
                <a:graphic xmlns:a="http://schemas.openxmlformats.org/drawingml/2006/main">
                  <a:graphicData uri="http://schemas.microsoft.com/office/word/2010/wordprocessingShape">
                    <wps:wsp xmlns:wps="http://schemas.microsoft.com/office/word/2010/wordprocessingShape">
                      <wps:cNvSpPr/>
                      <wps:spPr>
                        <a:xfrm>
                          <a:off x="0" y="0"/>
                          <a:ext cx="2415540" cy="323850"/>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pPr>
                            <w:r>
                              <w:rPr>
                                <w:rFonts w:hint="eastAsia"/>
                              </w:rPr>
                              <w:t>相关概念：内部控制、煤炭企业</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16" o:spid="_x0000_s1034" type="#_x0000_t202" style="width:190.2pt;height:25.5pt;margin-top:16.2pt;margin-left:10.85pt;mso-wrap-distance-bottom:0;mso-wrap-distance-left:9pt;mso-wrap-distance-right:9pt;mso-wrap-distance-top:0;position:absolute;v-text-anchor:middle;z-index:251664384" fillcolor="white" stroked="t" strokecolor="black" strokeweight="0.25pt">
                <v:textbox>
                  <w:txbxContent>
                    <w:p>
                      <w:pPr>
                        <w:ind w:firstLine="0" w:firstLineChars="0"/>
                      </w:pPr>
                      <w:r>
                        <w:rPr>
                          <w:rFonts w:hint="eastAsia"/>
                        </w:rPr>
                        <w:t>相关概念：内部控制、煤炭企业</w:t>
                      </w:r>
                    </w:p>
                  </w:txbxContent>
                </v:textbox>
              </v:shape>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g">
            <w:drawing>
              <wp:anchor distT="0" distB="0" distL="114300" distR="114300" simplePos="0" relativeHeight="251685888" behindDoc="0" locked="0" layoutInCell="1" allowOverlap="1">
                <wp:simplePos x="0" y="0"/>
                <wp:positionH relativeFrom="column">
                  <wp:posOffset>1176020</wp:posOffset>
                </wp:positionH>
                <wp:positionV relativeFrom="paragraph">
                  <wp:posOffset>232410</wp:posOffset>
                </wp:positionV>
                <wp:extent cx="3669665" cy="384810"/>
                <wp:effectExtent l="0" t="0" r="26035" b="72390"/>
                <wp:wrapNone/>
                <wp:docPr id="90" name="组合 90"/>
                <wp:cNvGraphicFramePr/>
                <a:graphic xmlns:a="http://schemas.openxmlformats.org/drawingml/2006/main">
                  <a:graphicData uri="http://schemas.microsoft.com/office/word/2010/wordprocessingGroup">
                    <wpg:wgp xmlns:wpg="http://schemas.microsoft.com/office/word/2010/wordprocessingGroup">
                      <wpg:cNvGrpSpPr/>
                      <wpg:grpSpPr>
                        <a:xfrm>
                          <a:off x="0" y="0"/>
                          <a:ext cx="3669665" cy="384810"/>
                          <a:chOff x="0" y="0"/>
                          <a:chExt cx="3669665" cy="384810"/>
                        </a:xfrm>
                      </wpg:grpSpPr>
                      <wpg:grpSp>
                        <wpg:cNvPr id="75" name="组合 75"/>
                        <wpg:cNvGrpSpPr/>
                        <wpg:grpSpPr>
                          <a:xfrm>
                            <a:off x="0" y="0"/>
                            <a:ext cx="3669665" cy="153035"/>
                            <a:chOff x="0" y="0"/>
                            <a:chExt cx="3669665" cy="153035"/>
                          </a:xfrm>
                        </wpg:grpSpPr>
                        <wps:wsp xmlns:wps="http://schemas.microsoft.com/office/word/2010/wordprocessingShape">
                          <wps:cNvPr id="12" name="直接连接符 12"/>
                          <wps:cNvCnPr/>
                          <wps:spPr>
                            <a:xfrm>
                              <a:off x="0" y="152400"/>
                              <a:ext cx="3669665"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1" name="直接连接符 21"/>
                          <wps:cNvCnPr/>
                          <wps:spPr>
                            <a:xfrm flipV="1">
                              <a:off x="3657600" y="9525"/>
                              <a:ext cx="0" cy="14351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3" name="直接连接符 23"/>
                          <wps:cNvCnPr/>
                          <wps:spPr>
                            <a:xfrm flipV="1">
                              <a:off x="0" y="0"/>
                              <a:ext cx="0" cy="143510"/>
                            </a:xfrm>
                            <a:prstGeom prst="line">
                              <a:avLst/>
                            </a:prstGeom>
                          </wps:spPr>
                          <wps:style>
                            <a:lnRef idx="1">
                              <a:schemeClr val="dk1"/>
                            </a:lnRef>
                            <a:fillRef idx="0">
                              <a:schemeClr val="dk1"/>
                            </a:fillRef>
                            <a:effectRef idx="0">
                              <a:schemeClr val="dk1"/>
                            </a:effectRef>
                            <a:fontRef idx="minor">
                              <a:schemeClr val="tx1"/>
                            </a:fontRef>
                          </wps:style>
                          <wps:bodyPr/>
                        </wps:wsp>
                      </wpg:grpSp>
                      <wps:wsp xmlns:wps="http://schemas.microsoft.com/office/word/2010/wordprocessingShape">
                        <wps:cNvPr id="99" name="直接箭头连接符 99"/>
                        <wps:cNvCnPr/>
                        <wps:spPr>
                          <a:xfrm>
                            <a:off x="1790700" y="142875"/>
                            <a:ext cx="0" cy="2419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90" o:spid="_x0000_s1035" style="width:291pt;height:36pt;margin-top:18.3pt;margin-left:92.6pt;mso-wrap-distance-bottom:0;mso-wrap-distance-left:9pt;mso-wrap-distance-right:9pt;mso-wrap-distance-top:0;position:absolute;z-index:251684864" coordorigin="0,0" coordsize="21600,21600">
                <v:group id="_x0000_s1036" style="width:21600;height:8590;position:absolute" coordorigin="0,0" coordsize="21600,21600">
                  <v:line id="_x0000_s1037" style="position:absolute;v-text-anchor:top" from="0,21510" to="21600,21510" fillcolor="this" stroked="t" strokecolor="black" strokeweight="0.75pt"/>
                  <v:line id="_x0000_s1038" style="flip:y;position:absolute;v-text-anchor:top" from="21529,1344" to="21529,21600" fillcolor="this" stroked="t" strokecolor="black" strokeweight="0.75pt"/>
                  <v:line id="_x0000_s1039" style="flip:y;position:absolute;v-text-anchor:top" from="0,0" to="0,20256" fillcolor="this" stroked="t" strokecolor="black" strokeweight="0.75pt"/>
                </v:group>
                <v:shape id="_x0000_s1040" type="#_x0000_t32" style="width:0;height:13580;left:10540;position:absolute;top:8020;v-text-anchor:top" fillcolor="this" stroked="t" strokecolor="black" strokeweight="0.75pt">
                  <v:stroke endarrow="open"/>
                </v:shape>
              </v:group>
            </w:pict>
          </mc:Fallback>
        </mc:AlternateContent>
      </w:r>
    </w:p>
    <w:p>
      <w:pPr>
        <w:widowControl/>
        <w:tabs>
          <w:tab w:val="left" w:pos="420"/>
          <w:tab w:val="left" w:pos="840"/>
          <w:tab w:val="left" w:pos="1815"/>
          <w:tab w:val="left" w:pos="1875"/>
        </w:tabs>
        <w:spacing w:line="360" w:lineRule="auto"/>
        <w:ind w:firstLine="0" w:firstLineChars="0"/>
        <w:jc w:val="left"/>
        <w:rPr>
          <w:rFonts w:ascii="幼圆" w:eastAsia="幼圆" w:hAnsi="幼圆" w:cs="幼圆" w:hint="eastAsia"/>
        </w:rPr>
      </w:pPr>
      <w:r>
        <w:rPr>
          <w:rFonts w:ascii="幼圆" w:eastAsia="幼圆" w:hAnsi="幼圆" w:cs="幼圆" w:hint="eastAsia"/>
        </w:rPr>
        <w:tab/>
      </w:r>
      <w:r>
        <w:rPr>
          <w:rFonts w:ascii="幼圆" w:eastAsia="幼圆" w:hAnsi="幼圆" w:cs="幼圆" w:hint="eastAsia"/>
        </w:rPr>
        <w:tab/>
      </w:r>
      <w:r>
        <w:rPr>
          <w:rFonts w:ascii="幼圆" w:eastAsia="幼圆" w:hAnsi="幼圆" w:cs="幼圆" w:hint="eastAsia"/>
        </w:rPr>
        <w:tab/>
      </w:r>
      <w:r>
        <w:rPr>
          <w:rFonts w:ascii="幼圆" w:eastAsia="幼圆" w:hAnsi="幼圆" w:cs="幼圆" w:hint="eastAsia"/>
        </w:rPr>
        <w:tab/>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69504" behindDoc="0" locked="0" layoutInCell="1" allowOverlap="1">
                <wp:simplePos x="0" y="0"/>
                <wp:positionH relativeFrom="column">
                  <wp:posOffset>1989455</wp:posOffset>
                </wp:positionH>
                <wp:positionV relativeFrom="paragraph">
                  <wp:posOffset>29210</wp:posOffset>
                </wp:positionV>
                <wp:extent cx="1979930" cy="410845"/>
                <wp:effectExtent l="0" t="0" r="20320" b="27305"/>
                <wp:wrapNone/>
                <wp:docPr id="27" name="矩形 27"/>
                <wp:cNvGraphicFramePr/>
                <a:graphic xmlns:a="http://schemas.openxmlformats.org/drawingml/2006/main">
                  <a:graphicData uri="http://schemas.microsoft.com/office/word/2010/wordprocessingShape">
                    <wps:wsp xmlns:wps="http://schemas.microsoft.com/office/word/2010/wordprocessingShape">
                      <wps:cNvSpPr/>
                      <wps:spPr>
                        <a:xfrm>
                          <a:off x="0" y="0"/>
                          <a:ext cx="1979930" cy="410845"/>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pPr>
                            <w:r>
                              <w:rPr>
                                <w:rFonts w:hint="eastAsia"/>
                              </w:rPr>
                              <w:t>煤炭行业及内部控制现状分析</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27" o:spid="_x0000_s1041" type="#_x0000_t202" style="width:155.9pt;height:32.35pt;margin-top:2.3pt;margin-left:156.65pt;mso-wrap-distance-bottom:0;mso-wrap-distance-left:9pt;mso-wrap-distance-right:9pt;mso-wrap-distance-top:0;position:absolute;v-text-anchor:middle;z-index:251668480" fillcolor="white" stroked="t" strokecolor="black" strokeweight="0.25pt">
                <v:textbox>
                  <w:txbxContent>
                    <w:p>
                      <w:pPr>
                        <w:ind w:firstLine="0" w:firstLineChars="0"/>
                      </w:pPr>
                      <w:r>
                        <w:rPr>
                          <w:rFonts w:hint="eastAsia"/>
                        </w:rPr>
                        <w:t>煤炭行业及内部控制现状分析</w:t>
                      </w:r>
                    </w:p>
                  </w:txbxContent>
                </v:textbox>
              </v:shape>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89984" behindDoc="0" locked="0" layoutInCell="1" allowOverlap="1">
                <wp:simplePos x="0" y="0"/>
                <wp:positionH relativeFrom="column">
                  <wp:posOffset>2966720</wp:posOffset>
                </wp:positionH>
                <wp:positionV relativeFrom="paragraph">
                  <wp:posOffset>140970</wp:posOffset>
                </wp:positionV>
                <wp:extent cx="0" cy="180975"/>
                <wp:effectExtent l="95250" t="0" r="57150" b="66675"/>
                <wp:wrapNone/>
                <wp:docPr id="117" name="直接箭头连接符 117"/>
                <wp:cNvGraphicFramePr/>
                <a:graphic xmlns:a="http://schemas.openxmlformats.org/drawingml/2006/main">
                  <a:graphicData uri="http://schemas.microsoft.com/office/word/2010/wordprocessingShape">
                    <wps:wsp xmlns:wps="http://schemas.microsoft.com/office/word/2010/wordprocessingShape">
                      <wps:cNvCnPr/>
                      <wps:spPr>
                        <a:xfrm>
                          <a:off x="0" y="0"/>
                          <a:ext cx="0"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直接箭头连接符 117" o:spid="_x0000_s1042" type="#_x0000_t32" style="width:0;height:14.25pt;margin-top:11.1pt;margin-left:233.6pt;mso-wrap-distance-bottom:0;mso-wrap-distance-left:9pt;mso-wrap-distance-right:9pt;mso-wrap-distance-top:0;position:absolute;v-text-anchor:top;z-index:251688960" fillcolor="this" stroked="t" strokecolor="black" strokeweight="0.75pt">
                <v:stroke endarrow="open"/>
              </v:shape>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71552" behindDoc="0" locked="0" layoutInCell="1" allowOverlap="1">
                <wp:simplePos x="0" y="0"/>
                <wp:positionH relativeFrom="column">
                  <wp:posOffset>299085</wp:posOffset>
                </wp:positionH>
                <wp:positionV relativeFrom="paragraph">
                  <wp:posOffset>210820</wp:posOffset>
                </wp:positionV>
                <wp:extent cx="1799590" cy="410210"/>
                <wp:effectExtent l="0" t="0" r="10160" b="27940"/>
                <wp:wrapNone/>
                <wp:docPr id="34" name="矩形 34"/>
                <wp:cNvGraphicFramePr/>
                <a:graphic xmlns:a="http://schemas.openxmlformats.org/drawingml/2006/main">
                  <a:graphicData uri="http://schemas.microsoft.com/office/word/2010/wordprocessingShape">
                    <wps:wsp xmlns:wps="http://schemas.microsoft.com/office/word/2010/wordprocessingShape">
                      <wps:cNvSpPr/>
                      <wps:spPr>
                        <a:xfrm>
                          <a:off x="0" y="0"/>
                          <a:ext cx="1799590" cy="410210"/>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jc w:val="center"/>
                            </w:pPr>
                            <w:r>
                              <w:rPr>
                                <w:rFonts w:hint="eastAsia"/>
                              </w:rPr>
                              <w:t>煤炭行业现状分析</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34" o:spid="_x0000_s1043" type="#_x0000_t202" style="width:141.7pt;height:32.3pt;margin-top:16.6pt;margin-left:23.55pt;mso-wrap-distance-bottom:0;mso-wrap-distance-left:9pt;mso-wrap-distance-right:9pt;mso-wrap-distance-top:0;position:absolute;v-text-anchor:middle;z-index:251670528" fillcolor="white" stroked="t" strokecolor="black" strokeweight="0.25pt">
                <v:textbox>
                  <w:txbxContent>
                    <w:p>
                      <w:pPr>
                        <w:ind w:firstLine="0" w:firstLineChars="0"/>
                        <w:jc w:val="center"/>
                      </w:pPr>
                      <w:r>
                        <w:rPr>
                          <w:rFonts w:hint="eastAsia"/>
                        </w:rPr>
                        <w:t>煤炭行业现状分析</w:t>
                      </w:r>
                    </w:p>
                  </w:txbxContent>
                </v:textbox>
              </v:shape>
            </w:pict>
          </mc:Fallback>
        </mc:AlternateContent>
      </w:r>
      <w:r>
        <w:rPr>
          <w:rFonts w:ascii="幼圆" w:eastAsia="幼圆" w:hAnsi="幼圆" w:cs="幼圆" w:hint="eastAsia"/>
        </w:rPr>
        <mc:AlternateContent>
          <mc:Choice Requires="wps">
            <w:drawing>
              <wp:anchor distT="0" distB="0" distL="114300" distR="114300" simplePos="0" relativeHeight="251673600" behindDoc="0" locked="0" layoutInCell="1" allowOverlap="1">
                <wp:simplePos x="0" y="0"/>
                <wp:positionH relativeFrom="column">
                  <wp:posOffset>3769995</wp:posOffset>
                </wp:positionH>
                <wp:positionV relativeFrom="paragraph">
                  <wp:posOffset>205740</wp:posOffset>
                </wp:positionV>
                <wp:extent cx="2123440" cy="410210"/>
                <wp:effectExtent l="0" t="0" r="10160" b="27940"/>
                <wp:wrapNone/>
                <wp:docPr id="35" name="矩形 35"/>
                <wp:cNvGraphicFramePr/>
                <a:graphic xmlns:a="http://schemas.openxmlformats.org/drawingml/2006/main">
                  <a:graphicData uri="http://schemas.microsoft.com/office/word/2010/wordprocessingShape">
                    <wps:wsp xmlns:wps="http://schemas.microsoft.com/office/word/2010/wordprocessingShape">
                      <wps:cNvSpPr/>
                      <wps:spPr>
                        <a:xfrm>
                          <a:off x="0" y="0"/>
                          <a:ext cx="2123440" cy="410210"/>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jc w:val="center"/>
                            </w:pPr>
                            <w:r>
                              <w:rPr>
                                <w:rFonts w:hint="eastAsia"/>
                              </w:rPr>
                              <w:t>煤炭行业内部控制现状分析</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35" o:spid="_x0000_s1044" type="#_x0000_t202" style="width:167.2pt;height:32.3pt;margin-top:16.2pt;margin-left:296.85pt;mso-wrap-distance-bottom:0;mso-wrap-distance-left:9pt;mso-wrap-distance-right:9pt;mso-wrap-distance-top:0;position:absolute;v-text-anchor:middle;z-index:251672576" fillcolor="white" stroked="t" strokecolor="black" strokeweight="0.25pt">
                <v:textbox>
                  <w:txbxContent>
                    <w:p>
                      <w:pPr>
                        <w:ind w:firstLine="0" w:firstLineChars="0"/>
                        <w:jc w:val="center"/>
                      </w:pPr>
                      <w:r>
                        <w:rPr>
                          <w:rFonts w:hint="eastAsia"/>
                        </w:rPr>
                        <w:t>煤炭行业内部控制现状分析</w:t>
                      </w:r>
                    </w:p>
                  </w:txbxContent>
                </v:textbox>
              </v:shape>
            </w:pict>
          </mc:Fallback>
        </mc:AlternateContent>
      </w:r>
      <w:r>
        <w:rPr>
          <w:rFonts w:ascii="幼圆" w:eastAsia="幼圆" w:hAnsi="幼圆" w:cs="幼圆" w:hint="eastAsia"/>
        </w:rPr>
        <mc:AlternateContent>
          <mc:Choice Requires="wpg">
            <w:drawing>
              <wp:anchor distT="0" distB="0" distL="114300" distR="114300" simplePos="0" relativeHeight="251679744" behindDoc="0" locked="0" layoutInCell="1" allowOverlap="1">
                <wp:simplePos x="0" y="0"/>
                <wp:positionH relativeFrom="column">
                  <wp:posOffset>1233170</wp:posOffset>
                </wp:positionH>
                <wp:positionV relativeFrom="paragraph">
                  <wp:posOffset>24765</wp:posOffset>
                </wp:positionV>
                <wp:extent cx="5572760" cy="3683000"/>
                <wp:effectExtent l="95250" t="0" r="27940" b="31750"/>
                <wp:wrapNone/>
                <wp:docPr id="107" name="组合 107"/>
                <wp:cNvGraphicFramePr/>
                <a:graphic xmlns:a="http://schemas.openxmlformats.org/drawingml/2006/main">
                  <a:graphicData uri="http://schemas.microsoft.com/office/word/2010/wordprocessingGroup">
                    <wpg:wgp xmlns:wpg="http://schemas.microsoft.com/office/word/2010/wordprocessingGroup">
                      <wpg:cNvGrpSpPr/>
                      <wpg:grpSpPr>
                        <a:xfrm>
                          <a:off x="0" y="0"/>
                          <a:ext cx="5572760" cy="3683000"/>
                          <a:chOff x="0" y="0"/>
                          <a:chExt cx="5572760" cy="3683000"/>
                        </a:xfrm>
                      </wpg:grpSpPr>
                      <wps:wsp xmlns:wps="http://schemas.microsoft.com/office/word/2010/wordprocessingShape">
                        <wps:cNvPr id="29" name="直接连接符 29"/>
                        <wps:cNvCnPr/>
                        <wps:spPr>
                          <a:xfrm flipV="1">
                            <a:off x="0" y="0"/>
                            <a:ext cx="370332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 name="直接箭头连接符 30"/>
                        <wps:cNvCnPr/>
                        <wps:spPr>
                          <a:xfrm>
                            <a:off x="0" y="0"/>
                            <a:ext cx="0" cy="16666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3" name="直接箭头连接符 33"/>
                        <wps:cNvCnPr/>
                        <wps:spPr>
                          <a:xfrm>
                            <a:off x="3695700" y="0"/>
                            <a:ext cx="0" cy="180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8" name="直接连接符 28"/>
                        <wps:cNvCnPr/>
                        <wps:spPr>
                          <a:xfrm>
                            <a:off x="5572760" y="3501390"/>
                            <a:ext cx="0" cy="18161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107" o:spid="_x0000_s1045" style="width:448.5pt;height:292.5pt;margin-top:1.95pt;margin-left:97.1pt;mso-wrap-distance-bottom:0;mso-wrap-distance-left:9pt;mso-wrap-distance-right:9pt;mso-wrap-distance-top:0;position:absolute;z-index:251678720" coordorigin="0,0" coordsize="21600,21600">
                <v:line id="_x0000_s1046" style="flip:y;position:absolute;v-text-anchor:top" from="0,0" to="14354,0" fillcolor="this" stroked="t" strokecolor="black" strokeweight="0.75pt"/>
                <v:shape id="_x0000_s1047" type="#_x0000_t32" style="width:0;height:977;position:absolute;v-text-anchor:top" fillcolor="this" stroked="t" strokecolor="black" strokeweight="0.75pt">
                  <v:stroke endarrow="open"/>
                </v:shape>
                <v:shape id="_x0000_s1048" type="#_x0000_t32" style="width:0;height:1056;left:14325;position:absolute;v-text-anchor:top" fillcolor="this" stroked="t" strokecolor="black" strokeweight="0.75pt">
                  <v:stroke endarrow="open"/>
                </v:shape>
                <v:line id="_x0000_s1049" style="position:absolute;v-text-anchor:top" from="21600,20535" to="21600,21600" fillcolor="this" stroked="t" strokecolor="black" strokeweight="0.75pt"/>
              </v:group>
            </w:pict>
          </mc:Fallback>
        </mc:AlternateContent>
      </w:r>
    </w:p>
    <w:p>
      <w:pPr>
        <w:widowControl/>
        <w:spacing w:line="360" w:lineRule="auto"/>
        <w:ind w:firstLine="0" w:firstLineChars="0"/>
        <w:jc w:val="left"/>
        <w:rPr>
          <w:rFonts w:ascii="幼圆" w:eastAsia="幼圆" w:hAnsi="幼圆" w:cs="幼圆" w:hint="eastAsia"/>
        </w:rPr>
      </w:pP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83840" behindDoc="0" locked="0" layoutInCell="1" allowOverlap="1">
                <wp:simplePos x="0" y="0"/>
                <wp:positionH relativeFrom="column">
                  <wp:posOffset>2966720</wp:posOffset>
                </wp:positionH>
                <wp:positionV relativeFrom="paragraph">
                  <wp:posOffset>136525</wp:posOffset>
                </wp:positionV>
                <wp:extent cx="0" cy="179705"/>
                <wp:effectExtent l="95250" t="0" r="76200" b="48895"/>
                <wp:wrapNone/>
                <wp:docPr id="98" name="直接箭头连接符 98"/>
                <wp:cNvGraphicFramePr/>
                <a:graphic xmlns:a="http://schemas.openxmlformats.org/drawingml/2006/main">
                  <a:graphicData uri="http://schemas.microsoft.com/office/word/2010/wordprocessingShape">
                    <wps:wsp xmlns:wps="http://schemas.microsoft.com/office/word/2010/wordprocessingShape">
                      <wps:cNvCnPr/>
                      <wps:spPr>
                        <a:xfrm>
                          <a:off x="0" y="0"/>
                          <a:ext cx="0" cy="1797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直接箭头连接符 98" o:spid="_x0000_s1050" type="#_x0000_t32" style="width:0;height:14.15pt;margin-top:10.75pt;margin-left:233.6pt;mso-wrap-distance-bottom:0;mso-wrap-distance-left:9pt;mso-wrap-distance-right:9pt;mso-wrap-distance-top:0;position:absolute;v-text-anchor:top;z-index:251682816" fillcolor="this" stroked="t" strokecolor="black" strokeweight="0.75pt">
                <v:stroke endarrow="open"/>
              </v:shape>
            </w:pict>
          </mc:Fallback>
        </mc:AlternateContent>
      </w:r>
      <w:r>
        <w:rPr>
          <w:rFonts w:ascii="幼圆" w:eastAsia="幼圆" w:hAnsi="幼圆" w:cs="幼圆" w:hint="eastAsia"/>
        </w:rPr>
        <mc:AlternateContent>
          <mc:Choice Requires="wpg">
            <w:drawing>
              <wp:anchor distT="0" distB="0" distL="114300" distR="114300" simplePos="0" relativeHeight="251681792" behindDoc="0" locked="0" layoutInCell="1" allowOverlap="1">
                <wp:simplePos x="0" y="0"/>
                <wp:positionH relativeFrom="column">
                  <wp:posOffset>1214755</wp:posOffset>
                </wp:positionH>
                <wp:positionV relativeFrom="paragraph">
                  <wp:posOffset>17780</wp:posOffset>
                </wp:positionV>
                <wp:extent cx="3566160" cy="107950"/>
                <wp:effectExtent l="0" t="0" r="15240" b="25400"/>
                <wp:wrapNone/>
                <wp:docPr id="66" name="组合 66"/>
                <wp:cNvGraphicFramePr/>
                <a:graphic xmlns:a="http://schemas.openxmlformats.org/drawingml/2006/main">
                  <a:graphicData uri="http://schemas.microsoft.com/office/word/2010/wordprocessingGroup">
                    <wpg:wgp xmlns:wpg="http://schemas.microsoft.com/office/word/2010/wordprocessingGroup">
                      <wpg:cNvGrpSpPr/>
                      <wpg:grpSpPr>
                        <a:xfrm>
                          <a:off x="0" y="0"/>
                          <a:ext cx="3566160" cy="108000"/>
                          <a:chOff x="6336" y="176046"/>
                          <a:chExt cx="5616" cy="300"/>
                        </a:xfrm>
                      </wpg:grpSpPr>
                      <wps:wsp xmlns:wps="http://schemas.microsoft.com/office/word/2010/wordprocessingShape">
                        <wps:cNvPr id="67" name="直接连接符 12"/>
                        <wps:cNvCnPr/>
                        <wps:spPr>
                          <a:xfrm>
                            <a:off x="6336" y="176346"/>
                            <a:ext cx="5616"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68" name="直接连接符 21"/>
                        <wps:cNvCnPr/>
                        <wps:spPr>
                          <a:xfrm flipV="1">
                            <a:off x="11928" y="176082"/>
                            <a:ext cx="0" cy="264"/>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69" name="直接连接符 23"/>
                        <wps:cNvCnPr/>
                        <wps:spPr>
                          <a:xfrm flipV="1">
                            <a:off x="6348" y="176046"/>
                            <a:ext cx="0" cy="3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66" o:spid="_x0000_s1051" style="width:282pt;height:10.5pt;margin-top:1.4pt;margin-left:95.65pt;mso-wrap-distance-bottom:0;mso-wrap-distance-left:9pt;mso-wrap-distance-right:9pt;mso-wrap-distance-top:0;position:absolute;z-index:251680768" coordorigin="24369,12675312" coordsize="21600,21600">
                <v:line id="_x0000_s1052" style="position:absolute;v-text-anchor:top" from="24369,12696912" to="45969,12696912" fillcolor="this" stroked="t" strokecolor="black" strokeweight="0.75pt"/>
                <v:line id="_x0000_s1053" style="flip:y;position:absolute;v-text-anchor:top" from="45877,12677904" to="45877,12696912" fillcolor="this" stroked="t" strokecolor="black" strokeweight="0.75pt"/>
                <v:line id="_x0000_s1054" style="flip:y;position:absolute;v-text-anchor:top" from="24415,12675312" to="24415,12696912" fillcolor="this" stroked="t" strokecolor="black" strokeweight="0.75pt"/>
              </v:group>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75648" behindDoc="0" locked="0" layoutInCell="1" allowOverlap="1">
                <wp:simplePos x="0" y="0"/>
                <wp:positionH relativeFrom="column">
                  <wp:posOffset>1793875</wp:posOffset>
                </wp:positionH>
                <wp:positionV relativeFrom="paragraph">
                  <wp:posOffset>14605</wp:posOffset>
                </wp:positionV>
                <wp:extent cx="2331720" cy="365125"/>
                <wp:effectExtent l="0" t="0" r="11430" b="15875"/>
                <wp:wrapNone/>
                <wp:docPr id="36" name="矩形 36"/>
                <wp:cNvGraphicFramePr/>
                <a:graphic xmlns:a="http://schemas.openxmlformats.org/drawingml/2006/main">
                  <a:graphicData uri="http://schemas.microsoft.com/office/word/2010/wordprocessingShape">
                    <wps:wsp xmlns:wps="http://schemas.microsoft.com/office/word/2010/wordprocessingShape">
                      <wps:cNvSpPr/>
                      <wps:spPr>
                        <a:xfrm>
                          <a:off x="0" y="0"/>
                          <a:ext cx="2331720" cy="365125"/>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jc w:val="center"/>
                            </w:pPr>
                            <w:r>
                              <w:rPr>
                                <w:rFonts w:hint="eastAsia"/>
                                <w:lang w:eastAsia="zh-CN"/>
                              </w:rPr>
                              <w:t>S</w:t>
                            </w:r>
                            <w:r>
                              <w:rPr>
                                <w:rFonts w:hint="eastAsia"/>
                              </w:rPr>
                              <w:t>煤炭公司案例分析</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36" o:spid="_x0000_s1055" type="#_x0000_t202" style="width:183.6pt;height:28.75pt;margin-top:1.15pt;margin-left:141.25pt;mso-wrap-distance-bottom:0;mso-wrap-distance-left:9pt;mso-wrap-distance-right:9pt;mso-wrap-distance-top:0;position:absolute;v-text-anchor:middle;z-index:251674624" fillcolor="white" stroked="t" strokecolor="black" strokeweight="0.25pt">
                <v:textbox>
                  <w:txbxContent>
                    <w:p>
                      <w:pPr>
                        <w:ind w:firstLine="0" w:firstLineChars="0"/>
                        <w:jc w:val="center"/>
                      </w:pPr>
                      <w:r>
                        <w:rPr>
                          <w:rFonts w:hint="eastAsia"/>
                          <w:lang w:eastAsia="zh-CN"/>
                        </w:rPr>
                        <w:t>S</w:t>
                      </w:r>
                      <w:r>
                        <w:rPr>
                          <w:rFonts w:hint="eastAsia"/>
                        </w:rPr>
                        <w:t>煤炭公司案例分析</w:t>
                      </w:r>
                    </w:p>
                  </w:txbxContent>
                </v:textbox>
              </v:shape>
            </w:pict>
          </mc:Fallback>
        </mc:AlternateContent>
      </w:r>
    </w:p>
    <w:p>
      <w:pPr>
        <w:widowControl/>
        <w:spacing w:line="360" w:lineRule="auto"/>
        <w:ind w:firstLine="0" w:firstLineChars="0"/>
        <w:jc w:val="left"/>
        <w:rPr>
          <w:rFonts w:ascii="幼圆" w:eastAsia="幼圆" w:hAnsi="幼圆" w:cs="幼圆" w:hint="eastAsia"/>
        </w:rPr>
        <w:sectPr>
          <w:headerReference w:type="default" r:id="rId18"/>
          <w:footerReference w:type="default" r:id="rId19"/>
          <w:type w:val="nextPage"/>
          <w:pgSz w:w="11906" w:h="16838"/>
          <w:pgMar w:top="1134" w:right="1134" w:bottom="1134" w:left="1418" w:header="851" w:footer="851" w:gutter="0"/>
          <w:pgNumType w:start="6"/>
          <w:cols w:num="1" w:space="425"/>
          <w:titlePg w:val="0"/>
          <w:docGrid w:type="lines" w:linePitch="312" w:charSpace="0"/>
        </w:sectPr>
      </w:pPr>
      <w:r>
        <w:rPr>
          <w:rFonts w:ascii="幼圆" w:eastAsia="幼圆" w:hAnsi="幼圆" w:cs="幼圆" w:hint="eastAsia"/>
        </w:rPr>
        <mc:AlternateContent>
          <mc:Choice Requires="wpg">
            <w:drawing>
              <wp:anchor distT="0" distB="0" distL="114300" distR="114300" simplePos="0" relativeHeight="251687936" behindDoc="0" locked="0" layoutInCell="1" allowOverlap="1">
                <wp:simplePos x="0" y="0"/>
                <wp:positionH relativeFrom="column">
                  <wp:posOffset>499745</wp:posOffset>
                </wp:positionH>
                <wp:positionV relativeFrom="paragraph">
                  <wp:posOffset>93345</wp:posOffset>
                </wp:positionV>
                <wp:extent cx="5160645" cy="292100"/>
                <wp:effectExtent l="95250" t="0" r="116205" b="50800"/>
                <wp:wrapNone/>
                <wp:docPr id="114" name="组合 114"/>
                <wp:cNvGraphicFramePr/>
                <a:graphic xmlns:a="http://schemas.openxmlformats.org/drawingml/2006/main">
                  <a:graphicData uri="http://schemas.microsoft.com/office/word/2010/wordprocessingGroup">
                    <wpg:wgp xmlns:wpg="http://schemas.microsoft.com/office/word/2010/wordprocessingGroup">
                      <wpg:cNvGrpSpPr/>
                      <wpg:grpSpPr>
                        <a:xfrm>
                          <a:off x="0" y="0"/>
                          <a:ext cx="5160645" cy="292100"/>
                          <a:chOff x="0" y="0"/>
                          <a:chExt cx="5160645" cy="292100"/>
                        </a:xfrm>
                      </wpg:grpSpPr>
                      <wps:wsp xmlns:wps="http://schemas.microsoft.com/office/word/2010/wordprocessingShape">
                        <wps:cNvPr id="45" name="直接连接符 45"/>
                        <wps:cNvCnPr/>
                        <wps:spPr>
                          <a:xfrm>
                            <a:off x="0" y="123825"/>
                            <a:ext cx="5160645"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6" name="直接箭头连接符 46"/>
                        <wps:cNvCnPr/>
                        <wps:spPr>
                          <a:xfrm>
                            <a:off x="3467100" y="123825"/>
                            <a:ext cx="1" cy="1593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7" name="直接箭头连接符 47"/>
                        <wps:cNvCnPr/>
                        <wps:spPr>
                          <a:xfrm>
                            <a:off x="1704975" y="123825"/>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8" name="直接箭头连接符 48"/>
                        <wps:cNvCnPr/>
                        <wps:spPr>
                          <a:xfrm>
                            <a:off x="0" y="123825"/>
                            <a:ext cx="3810" cy="1473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50" name="直接箭头连接符 50"/>
                        <wps:cNvCnPr/>
                        <wps:spPr>
                          <a:xfrm flipH="1">
                            <a:off x="5153025" y="133350"/>
                            <a:ext cx="7620" cy="158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03" name="直接连接符 103"/>
                        <wps:cNvCnPr/>
                        <wps:spPr>
                          <a:xfrm>
                            <a:off x="2457450" y="0"/>
                            <a:ext cx="0" cy="1333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114" o:spid="_x0000_s1056" style="width:423pt;height:27pt;margin-top:7.35pt;margin-left:39.35pt;mso-wrap-distance-bottom:0;mso-wrap-distance-left:9pt;mso-wrap-distance-right:9pt;mso-wrap-distance-top:0;position:absolute;z-index:251686912" coordorigin="0,0" coordsize="21600,21600">
                <v:line id="_x0000_s1057" style="position:absolute;v-text-anchor:top" from="0,9157" to="21600,9157" fillcolor="this" stroked="t" strokecolor="black" strokeweight="0.75pt"/>
                <v:shape id="_x0000_s1058" type="#_x0000_t32" style="width:0;height:11786;left:14512;position:absolute;top:9157;v-text-anchor:top" fillcolor="this" stroked="t" strokecolor="black" strokeweight="0.75pt">
                  <v:stroke endarrow="open"/>
                </v:shape>
                <v:shape id="_x0000_s1059" type="#_x0000_t32" style="width:0;height:10706;left:7136;position:absolute;top:9157;v-text-anchor:top" fillcolor="this" stroked="t" strokecolor="black" strokeweight="0.75pt">
                  <v:stroke endarrow="open"/>
                </v:shape>
                <v:shape id="_x0000_s1060" type="#_x0000_t32" style="width:16;height:10894;position:absolute;top:9157;v-text-anchor:top" fillcolor="this" stroked="t" strokecolor="black" strokeweight="0.75pt">
                  <v:stroke endarrow="open"/>
                </v:shape>
                <v:shape id="_x0000_s1061" type="#_x0000_t32" style="width:32;height:11739;flip:x;left:21568;position:absolute;top:9861;v-text-anchor:top" fillcolor="this" stroked="t" strokecolor="black" strokeweight="0.75pt">
                  <v:stroke endarrow="open"/>
                </v:shape>
                <v:line id="_x0000_s1062" style="position:absolute;v-text-anchor:top" from="10286,0" to="10286,9861" fillcolor="this" stroked="t" strokecolor="black" strokeweight="0.75pt"/>
              </v:group>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g">
            <w:drawing>
              <wp:anchor distT="0" distB="0" distL="114300" distR="114300" simplePos="0" relativeHeight="251694080" behindDoc="0" locked="0" layoutInCell="1" allowOverlap="1">
                <wp:simplePos x="0" y="0"/>
                <wp:positionH relativeFrom="column">
                  <wp:posOffset>-452755</wp:posOffset>
                </wp:positionH>
                <wp:positionV relativeFrom="paragraph">
                  <wp:posOffset>72390</wp:posOffset>
                </wp:positionV>
                <wp:extent cx="6849110" cy="612140"/>
                <wp:effectExtent l="0" t="0" r="27940" b="17145"/>
                <wp:wrapNone/>
                <wp:docPr id="71" name="组合 71"/>
                <wp:cNvGraphicFramePr/>
                <a:graphic xmlns:a="http://schemas.openxmlformats.org/drawingml/2006/main">
                  <a:graphicData uri="http://schemas.microsoft.com/office/word/2010/wordprocessingGroup">
                    <wpg:wgp xmlns:wpg="http://schemas.microsoft.com/office/word/2010/wordprocessingGroup">
                      <wpg:cNvGrpSpPr/>
                      <wpg:grpSpPr>
                        <a:xfrm>
                          <a:off x="0" y="0"/>
                          <a:ext cx="6849110" cy="612000"/>
                          <a:chOff x="0" y="0"/>
                          <a:chExt cx="6849225" cy="449145"/>
                        </a:xfrm>
                      </wpg:grpSpPr>
                      <wps:wsp xmlns:wps="http://schemas.microsoft.com/office/word/2010/wordprocessingShape">
                        <wps:cNvPr id="38" name="矩形 38"/>
                        <wps:cNvSpPr/>
                        <wps:spPr>
                          <a:xfrm>
                            <a:off x="0" y="0"/>
                            <a:ext cx="1620000" cy="432000"/>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240" w:lineRule="auto"/>
                                <w:ind w:firstLine="0" w:firstLineChars="0"/>
                                <w:jc w:val="center"/>
                                <w:rPr>
                                  <w:szCs w:val="24"/>
                                </w:rPr>
                              </w:pPr>
                              <w:r>
                                <w:rPr>
                                  <w:rFonts w:hint="eastAsia"/>
                                  <w:szCs w:val="24"/>
                                  <w:lang w:eastAsia="zh-CN"/>
                                </w:rPr>
                                <w:t>S</w:t>
                              </w:r>
                              <w:r>
                                <w:rPr>
                                  <w:rFonts w:hint="eastAsia"/>
                                  <w:szCs w:val="24"/>
                                </w:rPr>
                                <w:t>煤炭公司</w:t>
                              </w:r>
                            </w:p>
                            <w:p>
                              <w:pPr>
                                <w:spacing w:line="240" w:lineRule="auto"/>
                                <w:ind w:firstLine="0" w:firstLineChars="0"/>
                                <w:jc w:val="center"/>
                                <w:rPr>
                                  <w:szCs w:val="24"/>
                                </w:rPr>
                              </w:pPr>
                              <w:r>
                                <w:rPr>
                                  <w:rFonts w:hint="eastAsia"/>
                                  <w:szCs w:val="24"/>
                                </w:rPr>
                                <w:t>基本情况</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9" name="矩形 39"/>
                        <wps:cNvSpPr/>
                        <wps:spPr>
                          <a:xfrm>
                            <a:off x="1743105" y="0"/>
                            <a:ext cx="1620000" cy="432000"/>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240" w:lineRule="auto"/>
                                <w:ind w:firstLine="0" w:firstLineChars="0"/>
                                <w:jc w:val="center"/>
                                <w:rPr>
                                  <w:szCs w:val="24"/>
                                </w:rPr>
                              </w:pPr>
                              <w:r>
                                <w:rPr>
                                  <w:rFonts w:hint="eastAsia"/>
                                  <w:szCs w:val="24"/>
                                  <w:lang w:eastAsia="zh-CN"/>
                                </w:rPr>
                                <w:t>S</w:t>
                              </w:r>
                              <w:r>
                                <w:rPr>
                                  <w:rFonts w:hint="eastAsia"/>
                                  <w:szCs w:val="24"/>
                                </w:rPr>
                                <w:t>煤炭公司</w:t>
                              </w:r>
                            </w:p>
                            <w:p>
                              <w:pPr>
                                <w:spacing w:line="240" w:lineRule="auto"/>
                                <w:ind w:firstLine="0" w:firstLineChars="0"/>
                                <w:jc w:val="center"/>
                                <w:rPr>
                                  <w:szCs w:val="24"/>
                                </w:rPr>
                              </w:pPr>
                              <w:r>
                                <w:rPr>
                                  <w:rFonts w:hint="eastAsia"/>
                                  <w:szCs w:val="24"/>
                                </w:rPr>
                                <w:t>内部控制建设背景</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1" name="矩形 41"/>
                        <wps:cNvSpPr/>
                        <wps:spPr>
                          <a:xfrm>
                            <a:off x="3477954" y="17145"/>
                            <a:ext cx="1620000" cy="432000"/>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240" w:lineRule="auto"/>
                                <w:ind w:firstLine="0" w:firstLineChars="0"/>
                                <w:jc w:val="center"/>
                                <w:rPr>
                                  <w:szCs w:val="24"/>
                                </w:rPr>
                              </w:pPr>
                              <w:r>
                                <w:rPr>
                                  <w:rFonts w:hint="eastAsia"/>
                                  <w:szCs w:val="24"/>
                                  <w:lang w:eastAsia="zh-CN"/>
                                </w:rPr>
                                <w:t>S</w:t>
                              </w:r>
                              <w:r>
                                <w:rPr>
                                  <w:rFonts w:hint="eastAsia"/>
                                  <w:szCs w:val="24"/>
                                </w:rPr>
                                <w:t>煤炭公司</w:t>
                              </w:r>
                            </w:p>
                            <w:p>
                              <w:pPr>
                                <w:spacing w:line="240" w:lineRule="auto"/>
                                <w:ind w:firstLine="0" w:firstLineChars="0"/>
                                <w:jc w:val="center"/>
                                <w:rPr>
                                  <w:szCs w:val="24"/>
                                </w:rPr>
                              </w:pPr>
                              <w:r>
                                <w:rPr>
                                  <w:rFonts w:hint="eastAsia"/>
                                  <w:szCs w:val="24"/>
                                </w:rPr>
                                <w:t>内部控制存在问题</w:t>
                              </w:r>
                            </w:p>
                          </w:txbxContent>
                        </wps:txbx>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43" name="矩形 43"/>
                        <wps:cNvSpPr/>
                        <wps:spPr>
                          <a:xfrm>
                            <a:off x="5229225" y="9525"/>
                            <a:ext cx="1620000" cy="432000"/>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240" w:lineRule="auto"/>
                                <w:ind w:firstLine="0" w:firstLineChars="0"/>
                                <w:jc w:val="center"/>
                                <w:rPr>
                                  <w:szCs w:val="24"/>
                                </w:rPr>
                              </w:pPr>
                              <w:r>
                                <w:rPr>
                                  <w:rFonts w:hint="eastAsia"/>
                                  <w:szCs w:val="24"/>
                                </w:rPr>
                                <w:t>内部控制缺陷</w:t>
                              </w:r>
                            </w:p>
                            <w:p>
                              <w:pPr>
                                <w:spacing w:line="240" w:lineRule="auto"/>
                                <w:ind w:firstLine="0" w:firstLineChars="0"/>
                                <w:jc w:val="center"/>
                                <w:rPr>
                                  <w:szCs w:val="24"/>
                                </w:rPr>
                              </w:pPr>
                              <w:r>
                                <w:rPr>
                                  <w:rFonts w:hint="eastAsia"/>
                                  <w:szCs w:val="24"/>
                                </w:rPr>
                                <w:t>原因辨析</w:t>
                              </w:r>
                            </w:p>
                          </w:txbxContent>
                        </wps:txbx>
                        <wps:bodyPr rot="0" spcFirstLastPara="0" vertOverflow="overflow" horzOverflow="overflow" vert="horz" wrap="square" lIns="91440" tIns="45720" rIns="91440" bIns="45720" numCol="1" spcCol="0" rtlCol="0" fromWordArt="0" anchor="ctr" anchorCtr="0" forceAA="0" compatLnSpc="1"/>
                      </wps:wsp>
                    </wpg:wgp>
                  </a:graphicData>
                </a:graphic>
              </wp:anchor>
            </w:drawing>
          </mc:Choice>
          <mc:Fallback>
            <w:pict>
              <v:group id="组合 71" o:spid="_x0000_s1063" style="width:541.5pt;height:49.55pt;margin-top:5.7pt;margin-left:-35.65pt;mso-wrap-distance-bottom:0;mso-wrap-distance-left:9pt;mso-wrap-distance-right:9pt;mso-wrap-distance-top:0;position:absolute;z-index:251693056" coordorigin="0,0" coordsize="21600,21600">
                <v:shape id="_x0000_s1064" type="#_x0000_t202" style="width:5109;height:20775;position:absolute;v-text-anchor:middle" fillcolor="white" stroked="t" strokecolor="black" strokeweight="0.25pt">
                  <v:textbox>
                    <w:txbxContent>
                      <w:p>
                        <w:pPr>
                          <w:spacing w:line="240" w:lineRule="auto"/>
                          <w:ind w:firstLine="0" w:firstLineChars="0"/>
                          <w:jc w:val="center"/>
                          <w:rPr>
                            <w:szCs w:val="24"/>
                          </w:rPr>
                        </w:pPr>
                        <w:r>
                          <w:rPr>
                            <w:rFonts w:hint="eastAsia"/>
                            <w:szCs w:val="24"/>
                            <w:lang w:eastAsia="zh-CN"/>
                          </w:rPr>
                          <w:t>S</w:t>
                        </w:r>
                        <w:r>
                          <w:rPr>
                            <w:rFonts w:hint="eastAsia"/>
                            <w:szCs w:val="24"/>
                          </w:rPr>
                          <w:t>煤炭公司</w:t>
                        </w:r>
                      </w:p>
                      <w:p>
                        <w:pPr>
                          <w:spacing w:line="240" w:lineRule="auto"/>
                          <w:ind w:firstLine="0" w:firstLineChars="0"/>
                          <w:jc w:val="center"/>
                          <w:rPr>
                            <w:szCs w:val="24"/>
                          </w:rPr>
                        </w:pPr>
                        <w:r>
                          <w:rPr>
                            <w:rFonts w:hint="eastAsia"/>
                            <w:szCs w:val="24"/>
                          </w:rPr>
                          <w:t>基本情况</w:t>
                        </w:r>
                      </w:p>
                    </w:txbxContent>
                  </v:textbox>
                </v:shape>
                <v:shape id="_x0000_s1065" type="#_x0000_t202" style="width:5109;height:20775;left:5497;position:absolute;v-text-anchor:middle" fillcolor="white" stroked="t" strokecolor="black" strokeweight="0.25pt">
                  <v:textbox>
                    <w:txbxContent>
                      <w:p>
                        <w:pPr>
                          <w:spacing w:line="240" w:lineRule="auto"/>
                          <w:ind w:firstLine="0" w:firstLineChars="0"/>
                          <w:jc w:val="center"/>
                          <w:rPr>
                            <w:szCs w:val="24"/>
                          </w:rPr>
                        </w:pPr>
                        <w:r>
                          <w:rPr>
                            <w:rFonts w:hint="eastAsia"/>
                            <w:szCs w:val="24"/>
                            <w:lang w:eastAsia="zh-CN"/>
                          </w:rPr>
                          <w:t>S</w:t>
                        </w:r>
                        <w:r>
                          <w:rPr>
                            <w:rFonts w:hint="eastAsia"/>
                            <w:szCs w:val="24"/>
                          </w:rPr>
                          <w:t>煤炭公司</w:t>
                        </w:r>
                      </w:p>
                      <w:p>
                        <w:pPr>
                          <w:spacing w:line="240" w:lineRule="auto"/>
                          <w:ind w:firstLine="0" w:firstLineChars="0"/>
                          <w:jc w:val="center"/>
                          <w:rPr>
                            <w:szCs w:val="24"/>
                          </w:rPr>
                        </w:pPr>
                        <w:r>
                          <w:rPr>
                            <w:rFonts w:hint="eastAsia"/>
                            <w:szCs w:val="24"/>
                          </w:rPr>
                          <w:t>内部控制建设背景</w:t>
                        </w:r>
                      </w:p>
                    </w:txbxContent>
                  </v:textbox>
                </v:shape>
                <v:shape id="_x0000_s1066" type="#_x0000_t202" style="width:5109;height:20775;left:10968;position:absolute;top:825;v-text-anchor:middle" fillcolor="white" stroked="t" strokecolor="black" strokeweight="0.25pt">
                  <v:textbox>
                    <w:txbxContent>
                      <w:p>
                        <w:pPr>
                          <w:spacing w:line="240" w:lineRule="auto"/>
                          <w:ind w:firstLine="0" w:firstLineChars="0"/>
                          <w:jc w:val="center"/>
                          <w:rPr>
                            <w:szCs w:val="24"/>
                          </w:rPr>
                        </w:pPr>
                        <w:r>
                          <w:rPr>
                            <w:rFonts w:hint="eastAsia"/>
                            <w:szCs w:val="24"/>
                            <w:lang w:eastAsia="zh-CN"/>
                          </w:rPr>
                          <w:t>S</w:t>
                        </w:r>
                        <w:r>
                          <w:rPr>
                            <w:rFonts w:hint="eastAsia"/>
                            <w:szCs w:val="24"/>
                          </w:rPr>
                          <w:t>煤炭公司</w:t>
                        </w:r>
                      </w:p>
                      <w:p>
                        <w:pPr>
                          <w:spacing w:line="240" w:lineRule="auto"/>
                          <w:ind w:firstLine="0" w:firstLineChars="0"/>
                          <w:jc w:val="center"/>
                          <w:rPr>
                            <w:szCs w:val="24"/>
                          </w:rPr>
                        </w:pPr>
                        <w:r>
                          <w:rPr>
                            <w:rFonts w:hint="eastAsia"/>
                            <w:szCs w:val="24"/>
                          </w:rPr>
                          <w:t>内部控制存在问题</w:t>
                        </w:r>
                      </w:p>
                    </w:txbxContent>
                  </v:textbox>
                </v:shape>
                <v:shape id="_x0000_s1067" type="#_x0000_t202" style="width:5109;height:20775;left:16491;position:absolute;top:458;v-text-anchor:middle" fillcolor="white" stroked="t" strokecolor="black" strokeweight="0.25pt">
                  <v:textbox>
                    <w:txbxContent>
                      <w:p>
                        <w:pPr>
                          <w:spacing w:line="240" w:lineRule="auto"/>
                          <w:ind w:firstLine="0" w:firstLineChars="0"/>
                          <w:jc w:val="center"/>
                          <w:rPr>
                            <w:szCs w:val="24"/>
                          </w:rPr>
                        </w:pPr>
                        <w:r>
                          <w:rPr>
                            <w:rFonts w:hint="eastAsia"/>
                            <w:szCs w:val="24"/>
                          </w:rPr>
                          <w:t>内部控制缺陷</w:t>
                        </w:r>
                      </w:p>
                      <w:p>
                        <w:pPr>
                          <w:spacing w:line="240" w:lineRule="auto"/>
                          <w:ind w:firstLine="0" w:firstLineChars="0"/>
                          <w:jc w:val="center"/>
                          <w:rPr>
                            <w:szCs w:val="24"/>
                          </w:rPr>
                        </w:pPr>
                        <w:r>
                          <w:rPr>
                            <w:rFonts w:hint="eastAsia"/>
                            <w:szCs w:val="24"/>
                          </w:rPr>
                          <w:t>原因辨析</w:t>
                        </w:r>
                      </w:p>
                    </w:txbxContent>
                  </v:textbox>
                </v:shape>
              </v:group>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92032" behindDoc="0" locked="0" layoutInCell="1" allowOverlap="1">
                <wp:simplePos x="0" y="0"/>
                <wp:positionH relativeFrom="column">
                  <wp:posOffset>-107315</wp:posOffset>
                </wp:positionH>
                <wp:positionV relativeFrom="paragraph">
                  <wp:posOffset>230505</wp:posOffset>
                </wp:positionV>
                <wp:extent cx="3810" cy="142240"/>
                <wp:effectExtent l="4445" t="0" r="6985" b="10160"/>
                <wp:wrapNone/>
                <wp:docPr id="54" name="直接连接符 54"/>
                <wp:cNvGraphicFramePr/>
                <a:graphic xmlns:a="http://schemas.openxmlformats.org/drawingml/2006/main">
                  <a:graphicData uri="http://schemas.microsoft.com/office/word/2010/wordprocessingShape">
                    <wps:wsp xmlns:wps="http://schemas.microsoft.com/office/word/2010/wordprocessingShape">
                      <wps:cNvCnPr/>
                      <wps:spPr>
                        <a:xfrm flipH="1">
                          <a:off x="793115" y="5705475"/>
                          <a:ext cx="3810" cy="142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接连接符 54" o:spid="_x0000_s1068" style="flip:x;mso-wrap-distance-bottom:0;mso-wrap-distance-left:9pt;mso-wrap-distance-right:9pt;mso-wrap-distance-top:0;position:absolute;v-text-anchor:top;z-index:251691008" from="-8.45pt,18.15pt" to="-8.15pt,29.35pt" fillcolor="this" stroked="t" strokecolor="black" strokeweight="0.75pt"/>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g">
            <w:drawing>
              <wp:anchor distT="0" distB="0" distL="114300" distR="114300" simplePos="0" relativeHeight="251708416" behindDoc="0" locked="0" layoutInCell="1" allowOverlap="1">
                <wp:simplePos x="0" y="0"/>
                <wp:positionH relativeFrom="column">
                  <wp:posOffset>-43180</wp:posOffset>
                </wp:positionH>
                <wp:positionV relativeFrom="paragraph">
                  <wp:posOffset>68580</wp:posOffset>
                </wp:positionV>
                <wp:extent cx="5705475" cy="414020"/>
                <wp:effectExtent l="0" t="0" r="28575" b="43815"/>
                <wp:wrapNone/>
                <wp:docPr id="115" name="组合 115"/>
                <wp:cNvGraphicFramePr/>
                <a:graphic xmlns:a="http://schemas.openxmlformats.org/drawingml/2006/main">
                  <a:graphicData uri="http://schemas.microsoft.com/office/word/2010/wordprocessingGroup">
                    <wpg:wgp xmlns:wpg="http://schemas.microsoft.com/office/word/2010/wordprocessingGroup">
                      <wpg:cNvGrpSpPr/>
                      <wpg:grpSpPr>
                        <a:xfrm>
                          <a:off x="0" y="0"/>
                          <a:ext cx="5705475" cy="413925"/>
                          <a:chOff x="0" y="0"/>
                          <a:chExt cx="5705475" cy="413925"/>
                        </a:xfrm>
                      </wpg:grpSpPr>
                      <wps:wsp xmlns:wps="http://schemas.microsoft.com/office/word/2010/wordprocessingShape">
                        <wps:cNvPr id="80" name="直接连接符 80"/>
                        <wps:cNvCnPr/>
                        <wps:spPr>
                          <a:xfrm>
                            <a:off x="9525" y="180975"/>
                            <a:ext cx="5695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81" name="直接连接符 81"/>
                        <wps:cNvCnPr/>
                        <wps:spPr>
                          <a:xfrm>
                            <a:off x="0" y="19050"/>
                            <a:ext cx="0" cy="179705"/>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82" name="直接连接符 82"/>
                        <wps:cNvCnPr/>
                        <wps:spPr>
                          <a:xfrm>
                            <a:off x="2152650" y="0"/>
                            <a:ext cx="0" cy="1797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84" name="直接连接符 84"/>
                        <wps:cNvCnPr/>
                        <wps:spPr>
                          <a:xfrm flipH="1">
                            <a:off x="4010025" y="38100"/>
                            <a:ext cx="0" cy="144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85" name="直接连接符 85"/>
                        <wps:cNvCnPr/>
                        <wps:spPr>
                          <a:xfrm flipV="1">
                            <a:off x="5705475" y="38100"/>
                            <a:ext cx="0" cy="1435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87" name="直接箭头连接符 87"/>
                        <wps:cNvCnPr/>
                        <wps:spPr>
                          <a:xfrm flipH="1">
                            <a:off x="3000375" y="161925"/>
                            <a:ext cx="0" cy="252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115" o:spid="_x0000_s1069" style="width:451.5pt;height:36.05pt;margin-top:5.4pt;margin-left:-3.4pt;mso-wrap-distance-bottom:0;mso-wrap-distance-left:9pt;mso-wrap-distance-right:9pt;mso-wrap-distance-top:0;position:absolute;z-index:251707392" coordorigin="0,0" coordsize="21600,21600">
                <v:line id="_x0000_s1070" style="position:absolute;v-text-anchor:top" from="36,9444" to="21600,9444" fillcolor="this" stroked="t" strokecolor="black" strokeweight="0.75pt"/>
                <v:line id="_x0000_s1071" style="position:absolute;v-text-anchor:top" from="0,994" to="0,10372" fillcolor="this" stroked="t" strokecolor="black" strokeweight="0.75pt"/>
                <v:line id="_x0000_s1072" style="position:absolute;v-text-anchor:top" from="8150,0" to="8150,9378" fillcolor="this" stroked="t" strokecolor="black" strokeweight="0.75pt"/>
                <v:line id="_x0000_s1073" style="flip:x;position:absolute;v-text-anchor:top" from="15181,1988" to="15181,9503" fillcolor="this" stroked="t" strokecolor="black" strokeweight="0.75pt"/>
                <v:line id="_x0000_s1074" style="flip:y;position:absolute;v-text-anchor:top" from="21600,1988" to="21600,9477" fillcolor="this" stroked="t" strokecolor="black" strokeweight="0.75pt"/>
                <v:shape id="_x0000_s1075" type="#_x0000_t32" style="width:0;height:13150;flip:x;left:11359;position:absolute;top:8450;v-text-anchor:top" fillcolor="this" stroked="t" strokecolor="black" strokeweight="0.75pt">
                  <v:stroke endarrow="open"/>
                </v:shape>
              </v:group>
            </w:pict>
          </mc:Fallback>
        </mc:AlternateContent>
      </w: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96128" behindDoc="0" locked="0" layoutInCell="1" allowOverlap="1">
                <wp:simplePos x="0" y="0"/>
                <wp:positionH relativeFrom="column">
                  <wp:posOffset>1725295</wp:posOffset>
                </wp:positionH>
                <wp:positionV relativeFrom="paragraph">
                  <wp:posOffset>189865</wp:posOffset>
                </wp:positionV>
                <wp:extent cx="2461260" cy="360045"/>
                <wp:effectExtent l="0" t="0" r="15240" b="21590"/>
                <wp:wrapNone/>
                <wp:docPr id="86" name="矩形 86"/>
                <wp:cNvGraphicFramePr/>
                <a:graphic xmlns:a="http://schemas.openxmlformats.org/drawingml/2006/main">
                  <a:graphicData uri="http://schemas.microsoft.com/office/word/2010/wordprocessingShape">
                    <wps:wsp xmlns:wps="http://schemas.microsoft.com/office/word/2010/wordprocessingShape">
                      <wps:cNvSpPr/>
                      <wps:spPr>
                        <a:xfrm>
                          <a:off x="0" y="0"/>
                          <a:ext cx="2461260" cy="360045"/>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jc w:val="center"/>
                            </w:pPr>
                            <w:r>
                              <w:rPr>
                                <w:rFonts w:hint="eastAsia"/>
                              </w:rPr>
                              <w:t>对策与建议</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86" o:spid="_x0000_s1076" type="#_x0000_t202" style="width:193.8pt;height:28.35pt;margin-top:14.95pt;margin-left:135.85pt;mso-wrap-distance-bottom:0;mso-wrap-distance-left:9pt;mso-wrap-distance-right:9pt;mso-wrap-distance-top:0;position:absolute;v-text-anchor:middle;z-index:251695104" fillcolor="white" stroked="t" strokecolor="black" strokeweight="0.25pt">
                <v:textbox>
                  <w:txbxContent>
                    <w:p>
                      <w:pPr>
                        <w:ind w:firstLine="0" w:firstLineChars="0"/>
                        <w:jc w:val="center"/>
                      </w:pPr>
                      <w:r>
                        <w:rPr>
                          <w:rFonts w:hint="eastAsia"/>
                        </w:rPr>
                        <w:t>对策与建议</w:t>
                      </w:r>
                    </w:p>
                  </w:txbxContent>
                </v:textbox>
              </v:shape>
            </w:pict>
          </mc:Fallback>
        </mc:AlternateContent>
      </w:r>
    </w:p>
    <w:p>
      <w:pPr>
        <w:widowControl/>
        <w:tabs>
          <w:tab w:val="left" w:pos="2610"/>
        </w:tabs>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g">
            <w:drawing>
              <wp:anchor distT="0" distB="0" distL="114300" distR="114300" simplePos="0" relativeHeight="251710464" behindDoc="0" locked="0" layoutInCell="1" allowOverlap="1">
                <wp:simplePos x="0" y="0"/>
                <wp:positionH relativeFrom="column">
                  <wp:posOffset>-195580</wp:posOffset>
                </wp:positionH>
                <wp:positionV relativeFrom="paragraph">
                  <wp:posOffset>236220</wp:posOffset>
                </wp:positionV>
                <wp:extent cx="6057900" cy="479425"/>
                <wp:effectExtent l="76200" t="0" r="114300" b="53975"/>
                <wp:wrapNone/>
                <wp:docPr id="116" name="组合 116"/>
                <wp:cNvGraphicFramePr/>
                <a:graphic xmlns:a="http://schemas.openxmlformats.org/drawingml/2006/main">
                  <a:graphicData uri="http://schemas.microsoft.com/office/word/2010/wordprocessingGroup">
                    <wpg:wgp xmlns:wpg="http://schemas.microsoft.com/office/word/2010/wordprocessingGroup">
                      <wpg:cNvGrpSpPr/>
                      <wpg:grpSpPr>
                        <a:xfrm>
                          <a:off x="0" y="0"/>
                          <a:ext cx="6057900" cy="479611"/>
                          <a:chOff x="0" y="0"/>
                          <a:chExt cx="6057900" cy="479611"/>
                        </a:xfrm>
                      </wpg:grpSpPr>
                      <wps:wsp xmlns:wps="http://schemas.microsoft.com/office/word/2010/wordprocessingShape">
                        <wps:cNvPr id="88" name="直接连接符 88"/>
                        <wps:cNvCnPr/>
                        <wps:spPr>
                          <a:xfrm>
                            <a:off x="0" y="228600"/>
                            <a:ext cx="60502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91" name="直接箭头连接符 47"/>
                        <wps:cNvCnPr/>
                        <wps:spPr>
                          <a:xfrm>
                            <a:off x="1590675" y="228600"/>
                            <a:ext cx="0" cy="23732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2" name="直接箭头连接符 48"/>
                        <wps:cNvCnPr/>
                        <wps:spPr>
                          <a:xfrm>
                            <a:off x="19050" y="228600"/>
                            <a:ext cx="0" cy="24148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3" name="直接箭头连接符 50"/>
                        <wps:cNvCnPr/>
                        <wps:spPr>
                          <a:xfrm flipH="1">
                            <a:off x="4581525" y="238125"/>
                            <a:ext cx="0" cy="24148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4" name="直接箭头连接符 51"/>
                        <wps:cNvCnPr/>
                        <wps:spPr>
                          <a:xfrm>
                            <a:off x="6057900" y="228600"/>
                            <a:ext cx="0" cy="23732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96" name="直接箭头连接符 96"/>
                        <wps:cNvCnPr/>
                        <wps:spPr>
                          <a:xfrm>
                            <a:off x="3133725" y="0"/>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组合 116" o:spid="_x0000_s1077" style="width:492pt;height:42pt;margin-top:18.6pt;margin-left:-15.4pt;mso-wrap-distance-bottom:0;mso-wrap-distance-left:9pt;mso-wrap-distance-right:9pt;mso-wrap-distance-top:0;position:absolute;z-index:251709440" coordorigin="0,0" coordsize="21600,21600">
                <v:line id="_x0000_s1078" style="position:absolute;v-text-anchor:top" from="0,10295" to="21573,10295" fillcolor="this" stroked="t" strokecolor="black" strokeweight="0.75pt"/>
                <v:shape id="_x0000_s1079" type="#_x0000_t32" style="width:0;height:10688;left:5672;position:absolute;top:10295;v-text-anchor:top" fillcolor="this" stroked="t" strokecolor="black" strokeweight="0.75pt">
                  <v:stroke endarrow="open"/>
                </v:shape>
                <v:shape id="_x0000_s1080" type="#_x0000_t32" style="width:0;height:10876;left:68;position:absolute;top:10295;v-text-anchor:top" fillcolor="this" stroked="t" strokecolor="black" strokeweight="0.75pt">
                  <v:stroke endarrow="open"/>
                </v:shape>
                <v:shape id="_x0000_s1081" type="#_x0000_t32" style="width:0;height:10876;flip:x;left:16336;position:absolute;top:10724;v-text-anchor:top" fillcolor="this" stroked="t" strokecolor="black" strokeweight="0.75pt">
                  <v:stroke endarrow="open"/>
                </v:shape>
                <v:shape id="_x0000_s1082" type="#_x0000_t32" style="width:0;height:10688;left:21600;position:absolute;top:10295;v-text-anchor:top" fillcolor="this" stroked="t" strokecolor="black" strokeweight="0.75pt">
                  <v:stroke endarrow="open"/>
                </v:shape>
                <v:shape id="_x0000_s1083" type="#_x0000_t32" style="width:0;height:20591;left:11174;position:absolute;v-text-anchor:top" fillcolor="this" stroked="t" strokecolor="black" strokeweight="0.75pt">
                  <v:stroke endarrow="open"/>
                </v:shape>
              </v:group>
            </w:pict>
          </mc:Fallback>
        </mc:AlternateContent>
      </w:r>
      <w:r>
        <w:rPr>
          <w:rFonts w:ascii="幼圆" w:eastAsia="幼圆" w:hAnsi="幼圆" w:cs="幼圆" w:hint="eastAsia"/>
        </w:rPr>
        <w:tab/>
      </w:r>
    </w:p>
    <w:p>
      <w:pPr>
        <w:widowControl/>
        <w:spacing w:line="360" w:lineRule="auto"/>
        <w:ind w:firstLine="0" w:firstLineChars="0"/>
        <w:jc w:val="left"/>
        <w:rPr>
          <w:rFonts w:ascii="幼圆" w:eastAsia="幼圆" w:hAnsi="幼圆" w:cs="幼圆" w:hint="eastAsia"/>
        </w:rPr>
      </w:pPr>
    </w:p>
    <w:p>
      <w:pPr>
        <w:widowControl/>
        <w:spacing w:line="360" w:lineRule="auto"/>
        <w:ind w:firstLine="0" w:firstLineChars="0"/>
        <w:jc w:val="left"/>
        <w:rPr>
          <w:rFonts w:ascii="幼圆" w:eastAsia="幼圆" w:hAnsi="幼圆" w:cs="幼圆" w:hint="eastAsia"/>
        </w:rPr>
      </w:pPr>
      <w:r>
        <w:rPr>
          <w:rFonts w:ascii="幼圆" w:eastAsia="幼圆" w:hAnsi="幼圆" w:cs="幼圆" w:hint="eastAsia"/>
        </w:rPr>
        <mc:AlternateContent>
          <mc:Choice Requires="wps">
            <w:drawing>
              <wp:anchor distT="0" distB="0" distL="114300" distR="114300" simplePos="0" relativeHeight="251698176" behindDoc="0" locked="0" layoutInCell="1" allowOverlap="1">
                <wp:simplePos x="0" y="0"/>
                <wp:positionH relativeFrom="column">
                  <wp:posOffset>-802005</wp:posOffset>
                </wp:positionH>
                <wp:positionV relativeFrom="paragraph">
                  <wp:posOffset>114300</wp:posOffset>
                </wp:positionV>
                <wp:extent cx="1394460" cy="612140"/>
                <wp:effectExtent l="0" t="0" r="15240" b="17145"/>
                <wp:wrapNone/>
                <wp:docPr id="109" name="矩形 38"/>
                <wp:cNvGraphicFramePr/>
                <a:graphic xmlns:a="http://schemas.openxmlformats.org/drawingml/2006/main">
                  <a:graphicData uri="http://schemas.microsoft.com/office/word/2010/wordprocessingShape">
                    <wps:wsp xmlns:wps="http://schemas.microsoft.com/office/word/2010/wordprocessingShape">
                      <wps:cNvSpPr/>
                      <wps:spPr>
                        <a:xfrm>
                          <a:off x="0" y="0"/>
                          <a:ext cx="1394460" cy="612140"/>
                        </a:xfrm>
                        <a:prstGeom prst="rect">
                          <a:avLst/>
                        </a:prstGeom>
                        <a:ln w="3175"/>
                      </wps:spPr>
                      <wps:style>
                        <a:lnRef idx="2">
                          <a:schemeClr val="dk1"/>
                        </a:lnRef>
                        <a:fillRef idx="1">
                          <a:schemeClr val="lt1"/>
                        </a:fillRef>
                        <a:effectRef idx="0">
                          <a:schemeClr val="dk1"/>
                        </a:effectRef>
                        <a:fontRef idx="minor">
                          <a:schemeClr val="dk1"/>
                        </a:fontRef>
                      </wps:style>
                      <wps:txbx>
                        <w:txbxContent>
                          <w:p>
                            <w:pPr>
                              <w:ind w:firstLine="0" w:firstLineChars="0"/>
                              <w:jc w:val="center"/>
                            </w:pPr>
                            <w:r>
                              <w:rPr>
                                <w:rFonts w:hint="eastAsia"/>
                              </w:rPr>
                              <w:t>优化煤炭企业</w:t>
                            </w:r>
                          </w:p>
                          <w:p>
                            <w:pPr>
                              <w:spacing w:line="240" w:lineRule="auto"/>
                              <w:ind w:firstLine="0" w:firstLineChars="0"/>
                              <w:jc w:val="center"/>
                            </w:pPr>
                            <w:r>
                              <w:rPr>
                                <w:rFonts w:hint="eastAsia"/>
                              </w:rPr>
                              <w:t>内部控制环境</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38" o:spid="_x0000_s1084" type="#_x0000_t202" style="width:109.8pt;height:48.2pt;margin-top:9pt;margin-left:-63.15pt;mso-wrap-distance-bottom:0;mso-wrap-distance-left:9pt;mso-wrap-distance-right:9pt;mso-wrap-distance-top:0;position:absolute;v-text-anchor:middle;z-index:251697152" fillcolor="white" stroked="t" strokecolor="black" strokeweight="0.25pt">
                <v:textbox>
                  <w:txbxContent>
                    <w:p>
                      <w:pPr>
                        <w:ind w:firstLine="0" w:firstLineChars="0"/>
                        <w:jc w:val="center"/>
                      </w:pPr>
                      <w:r>
                        <w:rPr>
                          <w:rFonts w:hint="eastAsia"/>
                        </w:rPr>
                        <w:t>优化煤炭企业</w:t>
                      </w:r>
                    </w:p>
                    <w:p>
                      <w:pPr>
                        <w:spacing w:line="240" w:lineRule="auto"/>
                        <w:ind w:firstLine="0" w:firstLineChars="0"/>
                        <w:jc w:val="center"/>
                      </w:pPr>
                      <w:r>
                        <w:rPr>
                          <w:rFonts w:hint="eastAsia"/>
                        </w:rPr>
                        <w:t>内部控制环境</w:t>
                      </w:r>
                    </w:p>
                  </w:txbxContent>
                </v:textbox>
              </v:shape>
            </w:pict>
          </mc:Fallback>
        </mc:AlternateContent>
      </w:r>
      <w:r>
        <w:rPr>
          <w:rFonts w:ascii="幼圆" w:eastAsia="幼圆" w:hAnsi="幼圆" w:cs="幼圆" w:hint="eastAsia"/>
        </w:rPr>
        <mc:AlternateContent>
          <mc:Choice Requires="wps">
            <w:drawing>
              <wp:anchor distT="0" distB="0" distL="114300" distR="114300" simplePos="0" relativeHeight="251700224" behindDoc="0" locked="0" layoutInCell="1" allowOverlap="1">
                <wp:simplePos x="0" y="0"/>
                <wp:positionH relativeFrom="column">
                  <wp:posOffset>690880</wp:posOffset>
                </wp:positionH>
                <wp:positionV relativeFrom="paragraph">
                  <wp:posOffset>114300</wp:posOffset>
                </wp:positionV>
                <wp:extent cx="1393190" cy="612140"/>
                <wp:effectExtent l="0" t="0" r="16510" b="17145"/>
                <wp:wrapNone/>
                <wp:docPr id="110" name="矩形 39"/>
                <wp:cNvGraphicFramePr/>
                <a:graphic xmlns:a="http://schemas.openxmlformats.org/drawingml/2006/main">
                  <a:graphicData uri="http://schemas.microsoft.com/office/word/2010/wordprocessingShape">
                    <wps:wsp xmlns:wps="http://schemas.microsoft.com/office/word/2010/wordprocessingShape">
                      <wps:cNvSpPr/>
                      <wps:spPr>
                        <a:xfrm>
                          <a:off x="0" y="0"/>
                          <a:ext cx="1393190" cy="612140"/>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240" w:lineRule="auto"/>
                              <w:ind w:firstLine="0" w:firstLineChars="0"/>
                              <w:jc w:val="center"/>
                            </w:pPr>
                            <w:r>
                              <w:rPr>
                                <w:rFonts w:hint="eastAsia"/>
                              </w:rPr>
                              <w:t>优化煤炭企业</w:t>
                            </w:r>
                          </w:p>
                          <w:p>
                            <w:pPr>
                              <w:spacing w:line="240" w:lineRule="auto"/>
                              <w:ind w:firstLine="0" w:firstLineChars="0"/>
                              <w:jc w:val="center"/>
                            </w:pPr>
                            <w:r>
                              <w:rPr>
                                <w:rFonts w:hint="eastAsia"/>
                              </w:rPr>
                              <w:t>风险评估程序</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39" o:spid="_x0000_s1085" type="#_x0000_t202" style="width:109.7pt;height:48.2pt;margin-top:9pt;margin-left:54.4pt;mso-wrap-distance-bottom:0;mso-wrap-distance-left:9pt;mso-wrap-distance-right:9pt;mso-wrap-distance-top:0;position:absolute;v-text-anchor:middle;z-index:251699200" fillcolor="white" stroked="t" strokecolor="black" strokeweight="0.25pt">
                <v:textbox>
                  <w:txbxContent>
                    <w:p>
                      <w:pPr>
                        <w:spacing w:line="240" w:lineRule="auto"/>
                        <w:ind w:firstLine="0" w:firstLineChars="0"/>
                        <w:jc w:val="center"/>
                      </w:pPr>
                      <w:r>
                        <w:rPr>
                          <w:rFonts w:hint="eastAsia"/>
                        </w:rPr>
                        <w:t>优化煤炭企业</w:t>
                      </w:r>
                    </w:p>
                    <w:p>
                      <w:pPr>
                        <w:spacing w:line="240" w:lineRule="auto"/>
                        <w:ind w:firstLine="0" w:firstLineChars="0"/>
                        <w:jc w:val="center"/>
                      </w:pPr>
                      <w:r>
                        <w:rPr>
                          <w:rFonts w:hint="eastAsia"/>
                        </w:rPr>
                        <w:t>风险评估程序</w:t>
                      </w:r>
                    </w:p>
                  </w:txbxContent>
                </v:textbox>
              </v:shape>
            </w:pict>
          </mc:Fallback>
        </mc:AlternateContent>
      </w:r>
      <w:r>
        <w:rPr>
          <w:rFonts w:ascii="幼圆" w:eastAsia="幼圆" w:hAnsi="幼圆" w:cs="幼圆" w:hint="eastAsia"/>
        </w:rPr>
        <mc:AlternateContent>
          <mc:Choice Requires="wps">
            <w:drawing>
              <wp:anchor distT="0" distB="0" distL="114300" distR="114300" simplePos="0" relativeHeight="251702272" behindDoc="0" locked="0" layoutInCell="1" allowOverlap="1">
                <wp:simplePos x="0" y="0"/>
                <wp:positionH relativeFrom="column">
                  <wp:posOffset>2182495</wp:posOffset>
                </wp:positionH>
                <wp:positionV relativeFrom="paragraph">
                  <wp:posOffset>99060</wp:posOffset>
                </wp:positionV>
                <wp:extent cx="1393190" cy="612140"/>
                <wp:effectExtent l="0" t="0" r="16510" b="17145"/>
                <wp:wrapNone/>
                <wp:docPr id="111" name="矩形 41"/>
                <wp:cNvGraphicFramePr/>
                <a:graphic xmlns:a="http://schemas.openxmlformats.org/drawingml/2006/main">
                  <a:graphicData uri="http://schemas.microsoft.com/office/word/2010/wordprocessingShape">
                    <wps:wsp xmlns:wps="http://schemas.microsoft.com/office/word/2010/wordprocessingShape">
                      <wps:cNvSpPr/>
                      <wps:spPr>
                        <a:xfrm>
                          <a:off x="0" y="0"/>
                          <a:ext cx="1393190" cy="612140"/>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240" w:lineRule="auto"/>
                              <w:ind w:firstLine="0" w:firstLineChars="0"/>
                              <w:jc w:val="center"/>
                            </w:pPr>
                            <w:r>
                              <w:rPr>
                                <w:rFonts w:hint="eastAsia"/>
                              </w:rPr>
                              <w:t>强化煤炭企业</w:t>
                            </w:r>
                          </w:p>
                          <w:p>
                            <w:pPr>
                              <w:spacing w:line="240" w:lineRule="auto"/>
                              <w:ind w:firstLine="0" w:firstLineChars="0"/>
                              <w:jc w:val="center"/>
                            </w:pPr>
                            <w:r>
                              <w:rPr>
                                <w:rFonts w:hint="eastAsia"/>
                              </w:rPr>
                              <w:t>控制活动力度</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41" o:spid="_x0000_s1086" type="#_x0000_t202" style="width:109.7pt;height:48.2pt;margin-top:7.8pt;margin-left:171.85pt;mso-wrap-distance-bottom:0;mso-wrap-distance-left:9pt;mso-wrap-distance-right:9pt;mso-wrap-distance-top:0;position:absolute;v-text-anchor:middle;z-index:251701248" fillcolor="white" stroked="t" strokecolor="black" strokeweight="0.25pt">
                <v:textbox>
                  <w:txbxContent>
                    <w:p>
                      <w:pPr>
                        <w:spacing w:line="240" w:lineRule="auto"/>
                        <w:ind w:firstLine="0" w:firstLineChars="0"/>
                        <w:jc w:val="center"/>
                      </w:pPr>
                      <w:r>
                        <w:rPr>
                          <w:rFonts w:hint="eastAsia"/>
                        </w:rPr>
                        <w:t>强化煤炭企业</w:t>
                      </w:r>
                    </w:p>
                    <w:p>
                      <w:pPr>
                        <w:spacing w:line="240" w:lineRule="auto"/>
                        <w:ind w:firstLine="0" w:firstLineChars="0"/>
                        <w:jc w:val="center"/>
                      </w:pPr>
                      <w:r>
                        <w:rPr>
                          <w:rFonts w:hint="eastAsia"/>
                        </w:rPr>
                        <w:t>控制活动力度</w:t>
                      </w:r>
                    </w:p>
                  </w:txbxContent>
                </v:textbox>
              </v:shape>
            </w:pict>
          </mc:Fallback>
        </mc:AlternateContent>
      </w:r>
      <w:r>
        <w:rPr>
          <w:rFonts w:ascii="幼圆" w:eastAsia="幼圆" w:hAnsi="幼圆" w:cs="幼圆" w:hint="eastAsia"/>
        </w:rPr>
        <mc:AlternateContent>
          <mc:Choice Requires="wps">
            <w:drawing>
              <wp:anchor distT="0" distB="0" distL="114300" distR="114300" simplePos="0" relativeHeight="251704320" behindDoc="0" locked="0" layoutInCell="1" allowOverlap="1">
                <wp:simplePos x="0" y="0"/>
                <wp:positionH relativeFrom="column">
                  <wp:posOffset>3674110</wp:posOffset>
                </wp:positionH>
                <wp:positionV relativeFrom="paragraph">
                  <wp:posOffset>121920</wp:posOffset>
                </wp:positionV>
                <wp:extent cx="1393190" cy="612140"/>
                <wp:effectExtent l="0" t="0" r="16510" b="17145"/>
                <wp:wrapNone/>
                <wp:docPr id="112" name="矩形 43"/>
                <wp:cNvGraphicFramePr/>
                <a:graphic xmlns:a="http://schemas.openxmlformats.org/drawingml/2006/main">
                  <a:graphicData uri="http://schemas.microsoft.com/office/word/2010/wordprocessingShape">
                    <wps:wsp xmlns:wps="http://schemas.microsoft.com/office/word/2010/wordprocessingShape">
                      <wps:cNvSpPr/>
                      <wps:spPr>
                        <a:xfrm>
                          <a:off x="0" y="0"/>
                          <a:ext cx="1393190" cy="612140"/>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240" w:lineRule="auto"/>
                              <w:ind w:firstLine="0" w:firstLineChars="0"/>
                              <w:jc w:val="center"/>
                            </w:pPr>
                            <w:r>
                              <w:rPr>
                                <w:rFonts w:hint="eastAsia"/>
                              </w:rPr>
                              <w:t>优化煤炭企业</w:t>
                            </w:r>
                          </w:p>
                          <w:p>
                            <w:pPr>
                              <w:spacing w:line="240" w:lineRule="auto"/>
                              <w:ind w:firstLine="0" w:firstLineChars="0"/>
                              <w:jc w:val="center"/>
                            </w:pPr>
                            <w:r>
                              <w:rPr>
                                <w:rFonts w:hint="eastAsia"/>
                              </w:rPr>
                              <w:t>信息沟通机制</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43" o:spid="_x0000_s1087" type="#_x0000_t202" style="width:109.7pt;height:48.2pt;margin-top:9.6pt;margin-left:289.3pt;mso-wrap-distance-bottom:0;mso-wrap-distance-left:9pt;mso-wrap-distance-right:9pt;mso-wrap-distance-top:0;position:absolute;v-text-anchor:middle;z-index:251703296" fillcolor="white" stroked="t" strokecolor="black" strokeweight="0.25pt">
                <v:textbox>
                  <w:txbxContent>
                    <w:p>
                      <w:pPr>
                        <w:spacing w:line="240" w:lineRule="auto"/>
                        <w:ind w:firstLine="0" w:firstLineChars="0"/>
                        <w:jc w:val="center"/>
                      </w:pPr>
                      <w:r>
                        <w:rPr>
                          <w:rFonts w:hint="eastAsia"/>
                        </w:rPr>
                        <w:t>优化煤炭企业</w:t>
                      </w:r>
                    </w:p>
                    <w:p>
                      <w:pPr>
                        <w:spacing w:line="240" w:lineRule="auto"/>
                        <w:ind w:firstLine="0" w:firstLineChars="0"/>
                        <w:jc w:val="center"/>
                      </w:pPr>
                      <w:r>
                        <w:rPr>
                          <w:rFonts w:hint="eastAsia"/>
                        </w:rPr>
                        <w:t>信息沟通机制</w:t>
                      </w:r>
                    </w:p>
                  </w:txbxContent>
                </v:textbox>
              </v:shape>
            </w:pict>
          </mc:Fallback>
        </mc:AlternateContent>
      </w:r>
      <w:r>
        <w:rPr>
          <w:rFonts w:ascii="幼圆" w:eastAsia="幼圆" w:hAnsi="幼圆" w:cs="幼圆" w:hint="eastAsia"/>
        </w:rPr>
        <mc:AlternateContent>
          <mc:Choice Requires="wps">
            <w:drawing>
              <wp:anchor distT="0" distB="0" distL="114300" distR="114300" simplePos="0" relativeHeight="251706368" behindDoc="0" locked="0" layoutInCell="1" allowOverlap="1">
                <wp:simplePos x="0" y="0"/>
                <wp:positionH relativeFrom="column">
                  <wp:posOffset>5165725</wp:posOffset>
                </wp:positionH>
                <wp:positionV relativeFrom="paragraph">
                  <wp:posOffset>131445</wp:posOffset>
                </wp:positionV>
                <wp:extent cx="1393190" cy="612140"/>
                <wp:effectExtent l="0" t="0" r="16510" b="17145"/>
                <wp:wrapNone/>
                <wp:docPr id="113" name="矩形 113"/>
                <wp:cNvGraphicFramePr/>
                <a:graphic xmlns:a="http://schemas.openxmlformats.org/drawingml/2006/main">
                  <a:graphicData uri="http://schemas.microsoft.com/office/word/2010/wordprocessingShape">
                    <wps:wsp xmlns:wps="http://schemas.microsoft.com/office/word/2010/wordprocessingShape">
                      <wps:cNvSpPr/>
                      <wps:spPr>
                        <a:xfrm>
                          <a:off x="0" y="0"/>
                          <a:ext cx="1393190" cy="612140"/>
                        </a:xfrm>
                        <a:prstGeom prst="rect">
                          <a:avLst/>
                        </a:prstGeom>
                        <a:ln w="3175"/>
                      </wps:spPr>
                      <wps:style>
                        <a:lnRef idx="2">
                          <a:schemeClr val="dk1"/>
                        </a:lnRef>
                        <a:fillRef idx="1">
                          <a:schemeClr val="lt1"/>
                        </a:fillRef>
                        <a:effectRef idx="0">
                          <a:schemeClr val="dk1"/>
                        </a:effectRef>
                        <a:fontRef idx="minor">
                          <a:schemeClr val="dk1"/>
                        </a:fontRef>
                      </wps:style>
                      <wps:txbx>
                        <w:txbxContent>
                          <w:p>
                            <w:pPr>
                              <w:spacing w:line="240" w:lineRule="auto"/>
                              <w:ind w:firstLine="0" w:firstLineChars="0"/>
                              <w:jc w:val="center"/>
                            </w:pPr>
                            <w:r>
                              <w:rPr>
                                <w:rFonts w:hint="eastAsia"/>
                              </w:rPr>
                              <w:t>优化煤炭企业</w:t>
                            </w:r>
                          </w:p>
                          <w:p>
                            <w:pPr>
                              <w:spacing w:line="240" w:lineRule="auto"/>
                              <w:ind w:firstLine="0" w:firstLineChars="0"/>
                              <w:jc w:val="center"/>
                            </w:pPr>
                            <w:r>
                              <w:rPr>
                                <w:rFonts w:hint="eastAsia"/>
                              </w:rPr>
                              <w:t>内部监督</w:t>
                            </w:r>
                          </w:p>
                        </w:txbxContent>
                      </wps:txbx>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矩形 113" o:spid="_x0000_s1088" type="#_x0000_t202" style="width:109.7pt;height:48.2pt;margin-top:10.35pt;margin-left:406.75pt;mso-wrap-distance-bottom:0;mso-wrap-distance-left:9pt;mso-wrap-distance-right:9pt;mso-wrap-distance-top:0;position:absolute;v-text-anchor:middle;z-index:251705344" fillcolor="white" stroked="t" strokecolor="black" strokeweight="0.25pt">
                <v:textbox>
                  <w:txbxContent>
                    <w:p>
                      <w:pPr>
                        <w:spacing w:line="240" w:lineRule="auto"/>
                        <w:ind w:firstLine="0" w:firstLineChars="0"/>
                        <w:jc w:val="center"/>
                      </w:pPr>
                      <w:r>
                        <w:rPr>
                          <w:rFonts w:hint="eastAsia"/>
                        </w:rPr>
                        <w:t>优化煤炭企业</w:t>
                      </w:r>
                    </w:p>
                    <w:p>
                      <w:pPr>
                        <w:spacing w:line="240" w:lineRule="auto"/>
                        <w:ind w:firstLine="0" w:firstLineChars="0"/>
                        <w:jc w:val="center"/>
                      </w:pPr>
                      <w:r>
                        <w:rPr>
                          <w:rFonts w:hint="eastAsia"/>
                        </w:rPr>
                        <w:t>内部监督</w:t>
                      </w:r>
                    </w:p>
                  </w:txbxContent>
                </v:textbox>
              </v:shape>
            </w:pict>
          </mc:Fallback>
        </mc:AlternateContent>
      </w:r>
    </w:p>
    <w:p>
      <w:pPr>
        <w:widowControl/>
        <w:spacing w:line="360" w:lineRule="auto"/>
        <w:ind w:firstLine="0" w:firstLineChars="0"/>
        <w:jc w:val="left"/>
        <w:rPr>
          <w:rFonts w:ascii="幼圆" w:eastAsia="幼圆" w:hAnsi="幼圆" w:cs="幼圆" w:hint="eastAsia"/>
        </w:rPr>
      </w:pPr>
    </w:p>
    <w:p>
      <w:pPr>
        <w:widowControl/>
        <w:spacing w:line="360" w:lineRule="auto"/>
        <w:ind w:firstLine="0" w:firstLineChars="0"/>
        <w:jc w:val="left"/>
        <w:rPr>
          <w:rFonts w:ascii="幼圆" w:eastAsia="幼圆" w:hAnsi="幼圆" w:cs="幼圆" w:hint="eastAsia"/>
        </w:rPr>
      </w:pPr>
    </w:p>
    <w:p>
      <w:pPr>
        <w:pStyle w:val="Caption"/>
        <w:keepNext/>
        <w:spacing w:line="360" w:lineRule="auto"/>
        <w:ind w:firstLine="420"/>
        <w:jc w:val="center"/>
        <w:rPr>
          <w:rFonts w:ascii="幼圆" w:eastAsia="幼圆" w:hAnsi="幼圆" w:cs="幼圆" w:hint="eastAsia"/>
        </w:rPr>
      </w:pPr>
      <w:r>
        <w:rPr>
          <w:rFonts w:ascii="幼圆" w:eastAsia="幼圆" w:hAnsi="幼圆" w:cs="幼圆" w:hint="eastAsia"/>
          <w:sz w:val="21"/>
          <w:szCs w:val="21"/>
        </w:rPr>
        <w:t>图</w:t>
      </w:r>
      <w:r>
        <w:rPr>
          <w:rFonts w:ascii="幼圆" w:eastAsia="幼圆" w:hAnsi="幼圆" w:cs="幼圆" w:hint="eastAsia"/>
          <w:sz w:val="21"/>
          <w:szCs w:val="21"/>
        </w:rPr>
        <w:t>1</w:t>
      </w:r>
      <w:r>
        <w:rPr>
          <w:rFonts w:ascii="幼圆" w:eastAsia="幼圆" w:hAnsi="幼圆" w:cs="幼圆" w:hint="eastAsia"/>
          <w:sz w:val="21"/>
          <w:szCs w:val="21"/>
        </w:rPr>
        <w:noBreakHyphen/>
      </w:r>
      <w:r>
        <w:rPr>
          <w:rFonts w:ascii="幼圆" w:eastAsia="幼圆" w:hAnsi="幼圆" w:cs="幼圆" w:hint="eastAsia"/>
          <w:sz w:val="21"/>
          <w:szCs w:val="21"/>
        </w:rPr>
        <w:fldChar w:fldCharType="begin"/>
      </w:r>
      <w:r>
        <w:rPr>
          <w:rFonts w:ascii="幼圆" w:eastAsia="幼圆" w:hAnsi="幼圆" w:cs="幼圆" w:hint="eastAsia"/>
          <w:sz w:val="21"/>
          <w:szCs w:val="21"/>
        </w:rPr>
        <w:instrText xml:space="preserve"> SEQ 表格 \* ARABIC \s 0 </w:instrText>
      </w:r>
      <w:r>
        <w:rPr>
          <w:rFonts w:ascii="幼圆" w:eastAsia="幼圆" w:hAnsi="幼圆" w:cs="幼圆" w:hint="eastAsia"/>
          <w:sz w:val="21"/>
          <w:szCs w:val="21"/>
        </w:rPr>
        <w:fldChar w:fldCharType="separate"/>
      </w:r>
      <w:r>
        <w:rPr>
          <w:rFonts w:ascii="幼圆" w:eastAsia="幼圆" w:hAnsi="幼圆" w:cs="幼圆" w:hint="eastAsia"/>
          <w:sz w:val="21"/>
          <w:szCs w:val="21"/>
        </w:rPr>
        <w:t>1</w:t>
      </w:r>
      <w:r>
        <w:rPr>
          <w:rFonts w:ascii="幼圆" w:eastAsia="幼圆" w:hAnsi="幼圆" w:cs="幼圆" w:hint="eastAsia"/>
          <w:sz w:val="21"/>
          <w:szCs w:val="21"/>
        </w:rPr>
        <w:fldChar w:fldCharType="end"/>
      </w:r>
      <w:r>
        <w:rPr>
          <w:rFonts w:ascii="幼圆" w:eastAsia="幼圆" w:hAnsi="幼圆" w:cs="幼圆" w:hint="eastAsia"/>
        </w:rPr>
        <w:t xml:space="preserve"> </w:t>
      </w:r>
      <w:r>
        <w:rPr>
          <w:rFonts w:ascii="幼圆" w:eastAsia="幼圆" w:hAnsi="幼圆" w:cs="幼圆" w:hint="eastAsia"/>
          <w:sz w:val="21"/>
          <w:szCs w:val="21"/>
        </w:rPr>
        <w:t>本文研究思路</w:t>
      </w:r>
    </w:p>
    <w:p>
      <w:pPr>
        <w:widowControl/>
        <w:spacing w:line="360" w:lineRule="auto"/>
        <w:ind w:firstLine="0" w:firstLineChars="0"/>
        <w:jc w:val="left"/>
        <w:rPr>
          <w:rFonts w:ascii="幼圆" w:eastAsia="幼圆" w:hAnsi="幼圆" w:cs="幼圆" w:hint="eastAsia"/>
        </w:rPr>
      </w:pPr>
    </w:p>
    <w:p>
      <w:pPr>
        <w:pStyle w:val="Heading1"/>
        <w:spacing w:after="312" w:line="360" w:lineRule="auto"/>
        <w:ind w:firstLine="600"/>
        <w:rPr>
          <w:rFonts w:ascii="幼圆" w:eastAsia="幼圆" w:hAnsi="幼圆" w:cs="幼圆" w:hint="eastAsia"/>
        </w:rPr>
      </w:pPr>
      <w:bookmarkStart w:id="30" w:name="_Toc71287685"/>
      <w:bookmarkStart w:id="31" w:name="_Toc67927080"/>
      <w:bookmarkStart w:id="32" w:name="_Toc21828"/>
      <w:r>
        <w:rPr>
          <w:rFonts w:ascii="幼圆" w:eastAsia="幼圆" w:hAnsi="幼圆" w:cs="幼圆" w:hint="eastAsia"/>
        </w:rPr>
        <w:t>第</w:t>
      </w:r>
      <w:r>
        <w:rPr>
          <w:rFonts w:ascii="幼圆" w:eastAsia="幼圆" w:hAnsi="幼圆" w:cs="幼圆" w:hint="eastAsia"/>
        </w:rPr>
        <w:t>2</w:t>
      </w:r>
      <w:r>
        <w:rPr>
          <w:rFonts w:ascii="幼圆" w:eastAsia="幼圆" w:hAnsi="幼圆" w:cs="幼圆" w:hint="eastAsia"/>
        </w:rPr>
        <w:t>章 相关概念与理论基础</w:t>
      </w:r>
      <w:bookmarkEnd w:id="30"/>
      <w:bookmarkEnd w:id="31"/>
      <w:bookmarkEnd w:id="32"/>
    </w:p>
    <w:p>
      <w:pPr>
        <w:spacing w:line="360" w:lineRule="auto"/>
        <w:ind w:firstLine="480"/>
        <w:rPr>
          <w:rFonts w:ascii="幼圆" w:eastAsia="幼圆" w:hAnsi="幼圆" w:cs="幼圆" w:hint="eastAsia"/>
        </w:rPr>
      </w:pPr>
      <w:r>
        <w:rPr>
          <w:rFonts w:ascii="幼圆" w:eastAsia="幼圆" w:hAnsi="幼圆" w:cs="幼圆" w:hint="eastAsia"/>
        </w:rPr>
        <w:t>本章节主要从概念界定和理论基础两个方面展开论述，首先对内部控制和煤炭企业进行了概念上的界定，随后对委托代理理论和风险管理理论这两个内部控制基本理论进行了概述，奠定了本篇论文行文的理论基础。</w:t>
      </w:r>
    </w:p>
    <w:p>
      <w:pPr>
        <w:pStyle w:val="Heading2"/>
        <w:spacing w:before="156" w:after="156" w:line="360" w:lineRule="auto"/>
        <w:ind w:firstLine="480"/>
        <w:rPr>
          <w:rFonts w:ascii="幼圆" w:eastAsia="幼圆" w:hAnsi="幼圆" w:cs="幼圆" w:hint="eastAsia"/>
        </w:rPr>
      </w:pPr>
      <w:bookmarkStart w:id="33" w:name="_Toc67927081"/>
      <w:bookmarkStart w:id="34" w:name="_Toc71287686"/>
      <w:bookmarkStart w:id="35" w:name="_Toc28137"/>
      <w:r>
        <w:rPr>
          <w:rFonts w:ascii="幼圆" w:eastAsia="幼圆" w:hAnsi="幼圆" w:cs="幼圆" w:hint="eastAsia"/>
        </w:rPr>
        <w:t>2.1 概念界定</w:t>
      </w:r>
      <w:bookmarkEnd w:id="33"/>
      <w:bookmarkEnd w:id="34"/>
      <w:bookmarkEnd w:id="35"/>
    </w:p>
    <w:p>
      <w:pPr>
        <w:pStyle w:val="Heading3"/>
        <w:spacing w:line="360" w:lineRule="auto"/>
        <w:ind w:firstLine="480"/>
        <w:rPr>
          <w:rFonts w:ascii="幼圆" w:eastAsia="幼圆" w:hAnsi="幼圆" w:cs="幼圆" w:hint="eastAsia"/>
        </w:rPr>
      </w:pPr>
      <w:bookmarkStart w:id="36" w:name="_Toc71287687"/>
      <w:bookmarkStart w:id="37" w:name="_Toc67927082"/>
      <w:r>
        <w:rPr>
          <w:rFonts w:ascii="幼圆" w:eastAsia="幼圆" w:hAnsi="幼圆" w:cs="幼圆" w:hint="eastAsia"/>
        </w:rPr>
        <w:t>2.1.1 内部控制</w:t>
      </w:r>
      <w:bookmarkEnd w:id="36"/>
      <w:bookmarkEnd w:id="37"/>
    </w:p>
    <w:p>
      <w:pPr>
        <w:spacing w:line="360" w:lineRule="auto"/>
        <w:ind w:firstLine="480"/>
        <w:rPr>
          <w:rFonts w:ascii="幼圆" w:eastAsia="幼圆" w:hAnsi="幼圆" w:cs="幼圆" w:hint="eastAsia"/>
        </w:rPr>
      </w:pPr>
      <w:r>
        <w:rPr>
          <w:rFonts w:ascii="幼圆" w:eastAsia="幼圆" w:hAnsi="幼圆" w:cs="幼圆" w:hint="eastAsia"/>
        </w:rPr>
        <w:t>（</w:t>
      </w:r>
      <w:r>
        <w:rPr>
          <w:rFonts w:ascii="幼圆" w:eastAsia="幼圆" w:hAnsi="幼圆" w:cs="幼圆" w:hint="eastAsia"/>
        </w:rPr>
        <w:t>1</w:t>
      </w:r>
      <w:r>
        <w:rPr>
          <w:rFonts w:ascii="幼圆" w:eastAsia="幼圆" w:hAnsi="幼圆" w:cs="幼圆" w:hint="eastAsia"/>
        </w:rPr>
        <w:t>）基本概念</w:t>
      </w:r>
    </w:p>
    <w:p>
      <w:pPr>
        <w:spacing w:line="360" w:lineRule="auto"/>
        <w:ind w:firstLine="480"/>
        <w:rPr>
          <w:rFonts w:ascii="幼圆" w:eastAsia="幼圆" w:hAnsi="幼圆" w:cs="幼圆" w:hint="eastAsia"/>
        </w:rPr>
      </w:pPr>
      <w:r>
        <w:rPr>
          <w:rFonts w:ascii="幼圆" w:eastAsia="幼圆" w:hAnsi="幼圆" w:cs="幼圆" w:hint="eastAsia"/>
        </w:rPr>
        <w:t>1992</w:t>
      </w:r>
      <w:r>
        <w:rPr>
          <w:rFonts w:ascii="幼圆" w:eastAsia="幼圆" w:hAnsi="幼圆" w:cs="幼圆" w:hint="eastAsia"/>
        </w:rPr>
        <w:t>年，美国的</w:t>
      </w:r>
      <w:r>
        <w:rPr>
          <w:rFonts w:ascii="幼圆" w:eastAsia="幼圆" w:hAnsi="幼圆" w:cs="幼圆" w:hint="eastAsia"/>
        </w:rPr>
        <w:t>COSO</w:t>
      </w:r>
      <w:r>
        <w:rPr>
          <w:rFonts w:ascii="幼圆" w:eastAsia="幼圆" w:hAnsi="幼圆" w:cs="幼圆" w:hint="eastAsia"/>
        </w:rPr>
        <w:t>委员会发布了《内部控制整体框架》（以下简称《整体框架》），并在框架中第一次对内部控制做出了明确的定义，《整体框架》认为，由于受到企业董事会、管理当局和其他职员的影响，内部控制通常是指一种以取得经营效果、经营效率和财务报告的可靠性为目的，同时遵循适当的法律法规等目标从而提供合理保证的过程。在</w:t>
      </w:r>
      <w:r>
        <w:rPr>
          <w:rFonts w:ascii="幼圆" w:eastAsia="幼圆" w:hAnsi="幼圆" w:cs="幼圆" w:hint="eastAsia"/>
        </w:rPr>
        <w:t>2002</w:t>
      </w:r>
      <w:r>
        <w:rPr>
          <w:rFonts w:ascii="幼圆" w:eastAsia="幼圆" w:hAnsi="幼圆" w:cs="幼圆" w:hint="eastAsia"/>
        </w:rPr>
        <w:t>年，</w:t>
      </w:r>
      <w:r>
        <w:rPr>
          <w:rFonts w:ascii="幼圆" w:eastAsia="幼圆" w:hAnsi="幼圆" w:cs="幼圆" w:hint="eastAsia"/>
        </w:rPr>
        <w:t>SOX</w:t>
      </w:r>
      <w:r>
        <w:rPr>
          <w:rFonts w:ascii="幼圆" w:eastAsia="幼圆" w:hAnsi="幼圆" w:cs="幼圆" w:hint="eastAsia"/>
        </w:rPr>
        <w:t>法案将《整体框架》确立为评价企业内部控制的标注。到了</w:t>
      </w:r>
      <w:r>
        <w:rPr>
          <w:rFonts w:ascii="幼圆" w:eastAsia="幼圆" w:hAnsi="幼圆" w:cs="幼圆" w:hint="eastAsia"/>
        </w:rPr>
        <w:t>2013</w:t>
      </w:r>
      <w:r>
        <w:rPr>
          <w:rFonts w:ascii="幼圆" w:eastAsia="幼圆" w:hAnsi="幼圆" w:cs="幼圆" w:hint="eastAsia"/>
        </w:rPr>
        <w:t>年，</w:t>
      </w:r>
      <w:r>
        <w:rPr>
          <w:rFonts w:ascii="幼圆" w:eastAsia="幼圆" w:hAnsi="幼圆" w:cs="幼圆" w:hint="eastAsia"/>
        </w:rPr>
        <w:t>COSO</w:t>
      </w:r>
      <w:r>
        <w:rPr>
          <w:rFonts w:ascii="幼圆" w:eastAsia="幼圆" w:hAnsi="幼圆" w:cs="幼圆" w:hint="eastAsia"/>
        </w:rPr>
        <w:t>委员会又重新修订了内部控制的定义，着重突出内部控制的风险导向特征。</w:t>
      </w:r>
    </w:p>
    <w:p>
      <w:pPr>
        <w:spacing w:line="360" w:lineRule="auto"/>
        <w:ind w:firstLine="480"/>
        <w:rPr>
          <w:rFonts w:ascii="幼圆" w:eastAsia="幼圆" w:hAnsi="幼圆" w:cs="幼圆" w:hint="eastAsia"/>
        </w:rPr>
      </w:pPr>
      <w:r>
        <w:rPr>
          <w:rFonts w:ascii="幼圆" w:eastAsia="幼圆" w:hAnsi="幼圆" w:cs="幼圆" w:hint="eastAsia"/>
        </w:rPr>
        <w:t>2008</w:t>
      </w:r>
      <w:r>
        <w:rPr>
          <w:rFonts w:ascii="幼圆" w:eastAsia="幼圆" w:hAnsi="幼圆" w:cs="幼圆" w:hint="eastAsia"/>
        </w:rPr>
        <w:t>年，五部委（财政部、证监会、审计署、银监会、保监会）在《整体框架》的基础上，制定并颁布了适合中国国情的《企业内部控制基本规范》（以下简称《基本规范》），《基本规范》认为，内部控制是一种“由企业董事会、监事会、经理层和全体员工实施的、旨在实现控制目标的过程”，强调内部控制的全员性，全面性和全程性。</w:t>
      </w:r>
      <w:r>
        <w:rPr>
          <w:rFonts w:ascii="幼圆" w:eastAsia="幼圆" w:hAnsi="幼圆" w:cs="幼圆" w:hint="eastAsia"/>
        </w:rPr>
        <w:t>2010</w:t>
      </w:r>
      <w:r>
        <w:rPr>
          <w:rFonts w:ascii="幼圆" w:eastAsia="幼圆" w:hAnsi="幼圆" w:cs="幼圆" w:hint="eastAsia"/>
        </w:rPr>
        <w:br/>
      </w:r>
      <w:r>
        <w:rPr>
          <w:rFonts w:ascii="幼圆" w:eastAsia="幼圆" w:hAnsi="幼圆" w:cs="幼圆" w:hint="eastAsia"/>
        </w:rPr>
        <w:br/>
      </w:r>
    </w:p>
    <w:p>
      <w:pPr>
        <w:widowControl/>
        <w:spacing w:line="240" w:lineRule="auto"/>
        <w:ind w:firstLine="0" w:firstLineChars="0"/>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0" w:history="1">
        <w:r>
          <w:rPr>
            <w:rFonts w:ascii="SimSun" w:eastAsia="SimSun" w:hAnsi="SimSun" w:cs="SimSun"/>
            <w:b/>
            <w:bCs/>
            <w:color w:val="0000EE"/>
            <w:kern w:val="0"/>
            <w:sz w:val="30"/>
            <w:szCs w:val="30"/>
            <w:u w:val="single" w:color="0000EE"/>
          </w:rPr>
          <w:t>https://d.book118.com/245041040120011101</w:t>
        </w:r>
      </w:hyperlink>
    </w:p>
    <w:p>
      <w:pPr>
        <w:spacing w:line="360" w:lineRule="auto"/>
        <w:ind w:firstLine="480"/>
        <w:rPr>
          <w:rFonts w:ascii="幼圆" w:eastAsia="幼圆" w:hAnsi="幼圆" w:cs="幼圆" w:hint="eastAsia"/>
        </w:rPr>
      </w:pPr>
    </w:p>
    <w:sectPr>
      <w:headerReference w:type="default" r:id="rId21"/>
      <w:footerReference w:type="default" r:id="rId22"/>
      <w:type w:val="nextPage"/>
      <w:pgSz w:w="11906" w:h="16838"/>
      <w:pgMar w:top="1134" w:right="1134" w:bottom="1134" w:left="1418" w:header="851" w:footer="851" w:gutter="0"/>
      <w:pgNumType w:start="7"/>
      <w:cols w:num="1" w:space="425"/>
      <w:titlePg w:val="0"/>
      <w:docGrid w:type="lines" w:linePitch="312" w:char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43993460"/>
      <w:richText/>
    </w:sdtPr>
    <w:sdtEndPr>
      <w:rPr>
        <w:rFonts w:ascii="Times New Roman" w:hAnsi="Times New Roman" w:cs="Times New Roman"/>
      </w:rPr>
    </w:sdtEndPr>
    <w:sdtContent>
      <w:p>
        <w:pPr>
          <w:pStyle w:val="Footer"/>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p>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47308253"/>
      <w:richText/>
    </w:sdtPr>
    <w:sdtEndPr>
      <w:rPr>
        <w:rFonts w:ascii="Times New Roman" w:hAnsi="Times New Roman" w:cs="Times New Roman"/>
      </w:rPr>
    </w:sdtEndPr>
    <w:sdtContent>
      <w:p>
        <w:pPr>
          <w:pStyle w:val="Footer"/>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20135624"/>
      <w:richText/>
    </w:sdtPr>
    <w:sdtEndPr>
      <w:rPr>
        <w:rFonts w:ascii="Times New Roman" w:hAnsi="Times New Roman" w:cs="Times New Roman"/>
      </w:rPr>
    </w:sdtEndPr>
    <w:sdtContent>
      <w:p>
        <w:pPr>
          <w:pStyle w:val="Footer"/>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3</w:t>
        </w:r>
        <w:r>
          <w:rPr>
            <w:rFonts w:ascii="Times New Roman" w:hAnsi="Times New Roman" w:cs="Times New Roman"/>
          </w:rPr>
          <w:fldChar w:fldCharType="end"/>
        </w:r>
      </w:p>
    </w:sdtContent>
  </w:sdt>
  <w:p>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04650476"/>
      <w:richText/>
    </w:sdtPr>
    <w:sdtEndPr>
      <w:rPr>
        <w:rFonts w:ascii="Times New Roman" w:hAnsi="Times New Roman" w:cs="Times New Roman"/>
      </w:rPr>
    </w:sdtEndPr>
    <w:sdtContent>
      <w:p>
        <w:pPr>
          <w:pStyle w:val="Footer"/>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4</w:t>
        </w:r>
        <w:r>
          <w:rPr>
            <w:rFonts w:ascii="Times New Roman" w:hAnsi="Times New Roman" w:cs="Times New Roman"/>
          </w:rPr>
          <w:fldChar w:fldCharType="end"/>
        </w:r>
      </w:p>
    </w:sdtContent>
  </w:sdt>
  <w:p>
    <w:pPr>
      <w:pStyle w:val="Footer"/>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3929316"/>
      <w:richText/>
    </w:sdtPr>
    <w:sdtEndPr>
      <w:rPr>
        <w:rFonts w:ascii="Times New Roman" w:hAnsi="Times New Roman" w:cs="Times New Roman"/>
      </w:rPr>
    </w:sdtEndPr>
    <w:sdtContent>
      <w:p>
        <w:pPr>
          <w:pStyle w:val="Footer"/>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6</w:t>
        </w:r>
        <w:r>
          <w:rPr>
            <w:rFonts w:ascii="Times New Roman" w:hAnsi="Times New Roman" w:cs="Times New Roman"/>
          </w:rPr>
          <w:fldChar w:fldCharType="end"/>
        </w:r>
      </w:p>
    </w:sdtContent>
  </w:sdt>
  <w:p>
    <w:pPr>
      <w:pStyle w:val="Footer"/>
      <w:ind w:right="360"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09908514"/>
      <w:richText/>
    </w:sdtPr>
    <w:sdtEndPr>
      <w:rPr>
        <w:rFonts w:ascii="Times New Roman" w:hAnsi="Times New Roman" w:cs="Times New Roman"/>
      </w:rPr>
    </w:sdtEndPr>
    <w:sdtContent>
      <w:p>
        <w:pPr>
          <w:pStyle w:val="Footer"/>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6</w:t>
        </w:r>
        <w:r>
          <w:rPr>
            <w:rFonts w:ascii="Times New Roman" w:hAnsi="Times New Roman" w:cs="Times New Roman"/>
          </w:rPr>
          <w:fldChar w:fldCharType="end"/>
        </w:r>
      </w:p>
    </w:sdtContent>
  </w:sdt>
  <w:p>
    <w:pPr>
      <w:pStyle w:val="Footer"/>
      <w:ind w:right="360" w:firstLine="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71829197"/>
      <w:richText/>
    </w:sdtPr>
    <w:sdtEndPr>
      <w:rPr>
        <w:rFonts w:ascii="Times New Roman" w:hAnsi="Times New Roman" w:cs="Times New Roman"/>
      </w:rPr>
    </w:sdtEndPr>
    <w:sdtContent>
      <w:p>
        <w:pPr>
          <w:pStyle w:val="Footer"/>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7</w:t>
        </w:r>
        <w:r>
          <w:rPr>
            <w:rFonts w:ascii="Times New Roman" w:hAnsi="Times New Roman" w:cs="Times New Roman"/>
          </w:rPr>
          <w:fldChar w:fldCharType="end"/>
        </w:r>
      </w:p>
    </w:sdtContent>
  </w:sdt>
  <w:p>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color w:val="FF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color w:val="FF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color w:val="FF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firstLine="360"/>
      <w:rPr>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EFD"/>
    <w:rsid w:val="B3BB6B41"/>
    <w:rsid w:val="F7DBC252"/>
    <w:rsid w:val="FBFDB08B"/>
    <w:rsid w:val="FEBB04C3"/>
    <w:rsid w:val="FFFD0CD0"/>
    <w:rsid w:val="00000CF3"/>
    <w:rsid w:val="00001E7D"/>
    <w:rsid w:val="000053E3"/>
    <w:rsid w:val="00006BE7"/>
    <w:rsid w:val="00006EAF"/>
    <w:rsid w:val="00017F2E"/>
    <w:rsid w:val="00020A2A"/>
    <w:rsid w:val="00027C57"/>
    <w:rsid w:val="0003693A"/>
    <w:rsid w:val="00050C4B"/>
    <w:rsid w:val="000524A4"/>
    <w:rsid w:val="00054453"/>
    <w:rsid w:val="00054D69"/>
    <w:rsid w:val="00070FF5"/>
    <w:rsid w:val="00072FA5"/>
    <w:rsid w:val="00075318"/>
    <w:rsid w:val="00081C76"/>
    <w:rsid w:val="00082B1E"/>
    <w:rsid w:val="00083249"/>
    <w:rsid w:val="00084DBA"/>
    <w:rsid w:val="00085C26"/>
    <w:rsid w:val="00090E16"/>
    <w:rsid w:val="00091184"/>
    <w:rsid w:val="00097077"/>
    <w:rsid w:val="000A0E43"/>
    <w:rsid w:val="000A231D"/>
    <w:rsid w:val="000A4335"/>
    <w:rsid w:val="000B105F"/>
    <w:rsid w:val="000B3108"/>
    <w:rsid w:val="000B5170"/>
    <w:rsid w:val="000C2774"/>
    <w:rsid w:val="000D264A"/>
    <w:rsid w:val="000E597D"/>
    <w:rsid w:val="000E79E9"/>
    <w:rsid w:val="000F0CB5"/>
    <w:rsid w:val="000F12E6"/>
    <w:rsid w:val="000F2B0E"/>
    <w:rsid w:val="000F4EB7"/>
    <w:rsid w:val="001023A3"/>
    <w:rsid w:val="00104FFB"/>
    <w:rsid w:val="00113CCF"/>
    <w:rsid w:val="00116605"/>
    <w:rsid w:val="00116676"/>
    <w:rsid w:val="00121381"/>
    <w:rsid w:val="00123834"/>
    <w:rsid w:val="00123839"/>
    <w:rsid w:val="00125BED"/>
    <w:rsid w:val="00125F14"/>
    <w:rsid w:val="001302BC"/>
    <w:rsid w:val="001305C8"/>
    <w:rsid w:val="00130B40"/>
    <w:rsid w:val="001316D0"/>
    <w:rsid w:val="00135E17"/>
    <w:rsid w:val="0013682D"/>
    <w:rsid w:val="00143C70"/>
    <w:rsid w:val="00143CF3"/>
    <w:rsid w:val="00144F15"/>
    <w:rsid w:val="00151EA0"/>
    <w:rsid w:val="001553F6"/>
    <w:rsid w:val="0016077A"/>
    <w:rsid w:val="0016154C"/>
    <w:rsid w:val="001642C1"/>
    <w:rsid w:val="0016506A"/>
    <w:rsid w:val="00170D32"/>
    <w:rsid w:val="001712EC"/>
    <w:rsid w:val="001736E1"/>
    <w:rsid w:val="00177E0E"/>
    <w:rsid w:val="001847D5"/>
    <w:rsid w:val="0019069B"/>
    <w:rsid w:val="0019085D"/>
    <w:rsid w:val="00190B3F"/>
    <w:rsid w:val="00194955"/>
    <w:rsid w:val="00197BA5"/>
    <w:rsid w:val="001A1509"/>
    <w:rsid w:val="001A2956"/>
    <w:rsid w:val="001A33DB"/>
    <w:rsid w:val="001B1981"/>
    <w:rsid w:val="001B5332"/>
    <w:rsid w:val="001B5BCD"/>
    <w:rsid w:val="001B6B67"/>
    <w:rsid w:val="001C6607"/>
    <w:rsid w:val="001C7992"/>
    <w:rsid w:val="001D24E0"/>
    <w:rsid w:val="001D2C6C"/>
    <w:rsid w:val="001E4699"/>
    <w:rsid w:val="001E7583"/>
    <w:rsid w:val="001E781C"/>
    <w:rsid w:val="001F0488"/>
    <w:rsid w:val="001F311E"/>
    <w:rsid w:val="001F35EA"/>
    <w:rsid w:val="00202D1B"/>
    <w:rsid w:val="002078A9"/>
    <w:rsid w:val="00210EC8"/>
    <w:rsid w:val="00211ADC"/>
    <w:rsid w:val="00211FCA"/>
    <w:rsid w:val="00214241"/>
    <w:rsid w:val="00214690"/>
    <w:rsid w:val="0021480A"/>
    <w:rsid w:val="0022275E"/>
    <w:rsid w:val="00222F62"/>
    <w:rsid w:val="002306FB"/>
    <w:rsid w:val="00230FF0"/>
    <w:rsid w:val="00236799"/>
    <w:rsid w:val="002377BA"/>
    <w:rsid w:val="0025089F"/>
    <w:rsid w:val="00252B82"/>
    <w:rsid w:val="0025765C"/>
    <w:rsid w:val="00262B1A"/>
    <w:rsid w:val="0026302F"/>
    <w:rsid w:val="00263194"/>
    <w:rsid w:val="00274A13"/>
    <w:rsid w:val="002754E9"/>
    <w:rsid w:val="00276ED1"/>
    <w:rsid w:val="00281E09"/>
    <w:rsid w:val="00291C27"/>
    <w:rsid w:val="002926EE"/>
    <w:rsid w:val="00293CD2"/>
    <w:rsid w:val="002941D3"/>
    <w:rsid w:val="00294ACB"/>
    <w:rsid w:val="002962A0"/>
    <w:rsid w:val="002A008B"/>
    <w:rsid w:val="002A2F70"/>
    <w:rsid w:val="002A4743"/>
    <w:rsid w:val="002B074B"/>
    <w:rsid w:val="002B1734"/>
    <w:rsid w:val="002C0450"/>
    <w:rsid w:val="002C0D43"/>
    <w:rsid w:val="002C0F96"/>
    <w:rsid w:val="002C36C7"/>
    <w:rsid w:val="002D095B"/>
    <w:rsid w:val="002D2E95"/>
    <w:rsid w:val="002F0C1F"/>
    <w:rsid w:val="002F7787"/>
    <w:rsid w:val="003058F9"/>
    <w:rsid w:val="00310A53"/>
    <w:rsid w:val="00310D76"/>
    <w:rsid w:val="003150FB"/>
    <w:rsid w:val="00317B7F"/>
    <w:rsid w:val="00323B75"/>
    <w:rsid w:val="003248C6"/>
    <w:rsid w:val="00330068"/>
    <w:rsid w:val="00335F8E"/>
    <w:rsid w:val="00344272"/>
    <w:rsid w:val="00345201"/>
    <w:rsid w:val="00345ECF"/>
    <w:rsid w:val="00346F24"/>
    <w:rsid w:val="0036009C"/>
    <w:rsid w:val="00360D44"/>
    <w:rsid w:val="00361FBB"/>
    <w:rsid w:val="003640E0"/>
    <w:rsid w:val="00366CA5"/>
    <w:rsid w:val="0037212E"/>
    <w:rsid w:val="00373210"/>
    <w:rsid w:val="00373890"/>
    <w:rsid w:val="00373B3D"/>
    <w:rsid w:val="00374DF5"/>
    <w:rsid w:val="00375053"/>
    <w:rsid w:val="00377FFE"/>
    <w:rsid w:val="00381715"/>
    <w:rsid w:val="00384777"/>
    <w:rsid w:val="00391C05"/>
    <w:rsid w:val="003A1948"/>
    <w:rsid w:val="003A20C6"/>
    <w:rsid w:val="003A2750"/>
    <w:rsid w:val="003A687B"/>
    <w:rsid w:val="003B3AC1"/>
    <w:rsid w:val="003D1405"/>
    <w:rsid w:val="003D2BAE"/>
    <w:rsid w:val="003D33D3"/>
    <w:rsid w:val="003D41D0"/>
    <w:rsid w:val="003E190C"/>
    <w:rsid w:val="003E2E69"/>
    <w:rsid w:val="003E46A6"/>
    <w:rsid w:val="003E4EFE"/>
    <w:rsid w:val="003F3EE2"/>
    <w:rsid w:val="00422314"/>
    <w:rsid w:val="00423A01"/>
    <w:rsid w:val="00425C29"/>
    <w:rsid w:val="004277CD"/>
    <w:rsid w:val="004278B8"/>
    <w:rsid w:val="00430977"/>
    <w:rsid w:val="0043387F"/>
    <w:rsid w:val="0043658F"/>
    <w:rsid w:val="004366D1"/>
    <w:rsid w:val="00441210"/>
    <w:rsid w:val="00442095"/>
    <w:rsid w:val="00453556"/>
    <w:rsid w:val="00463204"/>
    <w:rsid w:val="00464813"/>
    <w:rsid w:val="00471676"/>
    <w:rsid w:val="0047228A"/>
    <w:rsid w:val="00482381"/>
    <w:rsid w:val="00487C08"/>
    <w:rsid w:val="00487E31"/>
    <w:rsid w:val="00494B23"/>
    <w:rsid w:val="004B1246"/>
    <w:rsid w:val="004B2132"/>
    <w:rsid w:val="004C1D83"/>
    <w:rsid w:val="004C31B3"/>
    <w:rsid w:val="004C515F"/>
    <w:rsid w:val="004C783E"/>
    <w:rsid w:val="004D49FA"/>
    <w:rsid w:val="004D6E2A"/>
    <w:rsid w:val="004E0F71"/>
    <w:rsid w:val="004E315E"/>
    <w:rsid w:val="004E340A"/>
    <w:rsid w:val="004E37D0"/>
    <w:rsid w:val="004E47F5"/>
    <w:rsid w:val="004F1195"/>
    <w:rsid w:val="004F2F2B"/>
    <w:rsid w:val="00501BAB"/>
    <w:rsid w:val="005028CD"/>
    <w:rsid w:val="00507F3E"/>
    <w:rsid w:val="00511A7C"/>
    <w:rsid w:val="0051422B"/>
    <w:rsid w:val="00514592"/>
    <w:rsid w:val="0051768E"/>
    <w:rsid w:val="00521AA7"/>
    <w:rsid w:val="005304F6"/>
    <w:rsid w:val="0053093C"/>
    <w:rsid w:val="00531412"/>
    <w:rsid w:val="00531B28"/>
    <w:rsid w:val="00536D02"/>
    <w:rsid w:val="005422C3"/>
    <w:rsid w:val="00550605"/>
    <w:rsid w:val="00551A07"/>
    <w:rsid w:val="00554FA7"/>
    <w:rsid w:val="0055785B"/>
    <w:rsid w:val="00557DF3"/>
    <w:rsid w:val="00560034"/>
    <w:rsid w:val="00561287"/>
    <w:rsid w:val="0056410A"/>
    <w:rsid w:val="005663F6"/>
    <w:rsid w:val="005734B4"/>
    <w:rsid w:val="005737F9"/>
    <w:rsid w:val="0058139C"/>
    <w:rsid w:val="005833CA"/>
    <w:rsid w:val="00583F4F"/>
    <w:rsid w:val="00584FF9"/>
    <w:rsid w:val="0059165C"/>
    <w:rsid w:val="00592BAA"/>
    <w:rsid w:val="00596AD4"/>
    <w:rsid w:val="005A2228"/>
    <w:rsid w:val="005A51C6"/>
    <w:rsid w:val="005B18B2"/>
    <w:rsid w:val="005B35D2"/>
    <w:rsid w:val="005B41E1"/>
    <w:rsid w:val="005B6BF1"/>
    <w:rsid w:val="005B78F3"/>
    <w:rsid w:val="005C2BEF"/>
    <w:rsid w:val="005C4838"/>
    <w:rsid w:val="005C5291"/>
    <w:rsid w:val="005C6D69"/>
    <w:rsid w:val="005D3E40"/>
    <w:rsid w:val="005D52F3"/>
    <w:rsid w:val="005D5BD6"/>
    <w:rsid w:val="005E0F93"/>
    <w:rsid w:val="005F1AD5"/>
    <w:rsid w:val="005F4F86"/>
    <w:rsid w:val="005F708D"/>
    <w:rsid w:val="006128C7"/>
    <w:rsid w:val="006140A3"/>
    <w:rsid w:val="006159B1"/>
    <w:rsid w:val="00615DE5"/>
    <w:rsid w:val="00616109"/>
    <w:rsid w:val="00617CAB"/>
    <w:rsid w:val="0062137A"/>
    <w:rsid w:val="00623C97"/>
    <w:rsid w:val="0063677E"/>
    <w:rsid w:val="00637694"/>
    <w:rsid w:val="0064483F"/>
    <w:rsid w:val="00645A2D"/>
    <w:rsid w:val="0064675A"/>
    <w:rsid w:val="006513A3"/>
    <w:rsid w:val="006522DF"/>
    <w:rsid w:val="006555EC"/>
    <w:rsid w:val="0066124B"/>
    <w:rsid w:val="00663DDB"/>
    <w:rsid w:val="00664DF0"/>
    <w:rsid w:val="00666D94"/>
    <w:rsid w:val="00672F32"/>
    <w:rsid w:val="00674363"/>
    <w:rsid w:val="0068180A"/>
    <w:rsid w:val="00682023"/>
    <w:rsid w:val="006903B1"/>
    <w:rsid w:val="00694102"/>
    <w:rsid w:val="006A20C9"/>
    <w:rsid w:val="006A2E5F"/>
    <w:rsid w:val="006A4429"/>
    <w:rsid w:val="006A481F"/>
    <w:rsid w:val="006A6C32"/>
    <w:rsid w:val="006B0316"/>
    <w:rsid w:val="006B3B01"/>
    <w:rsid w:val="006D0D0E"/>
    <w:rsid w:val="006D3B29"/>
    <w:rsid w:val="006E01B6"/>
    <w:rsid w:val="006E3772"/>
    <w:rsid w:val="006E4ACD"/>
    <w:rsid w:val="006F24D7"/>
    <w:rsid w:val="006F2A0D"/>
    <w:rsid w:val="006F4E03"/>
    <w:rsid w:val="006F5F9E"/>
    <w:rsid w:val="00703083"/>
    <w:rsid w:val="00705D61"/>
    <w:rsid w:val="00707125"/>
    <w:rsid w:val="00724A60"/>
    <w:rsid w:val="00726151"/>
    <w:rsid w:val="00727F35"/>
    <w:rsid w:val="00730847"/>
    <w:rsid w:val="00732683"/>
    <w:rsid w:val="00732BA0"/>
    <w:rsid w:val="007418AF"/>
    <w:rsid w:val="00741983"/>
    <w:rsid w:val="007456E1"/>
    <w:rsid w:val="0074615F"/>
    <w:rsid w:val="00747571"/>
    <w:rsid w:val="00747FC1"/>
    <w:rsid w:val="00750418"/>
    <w:rsid w:val="00750C11"/>
    <w:rsid w:val="00766F12"/>
    <w:rsid w:val="0077226E"/>
    <w:rsid w:val="00777B27"/>
    <w:rsid w:val="00780685"/>
    <w:rsid w:val="00780DB3"/>
    <w:rsid w:val="00781A4F"/>
    <w:rsid w:val="00781EFD"/>
    <w:rsid w:val="0078692F"/>
    <w:rsid w:val="00787077"/>
    <w:rsid w:val="00787327"/>
    <w:rsid w:val="00792FF0"/>
    <w:rsid w:val="007949E3"/>
    <w:rsid w:val="007A2074"/>
    <w:rsid w:val="007A23C5"/>
    <w:rsid w:val="007A485C"/>
    <w:rsid w:val="007A7807"/>
    <w:rsid w:val="007B0FD5"/>
    <w:rsid w:val="007B1248"/>
    <w:rsid w:val="007B5EEA"/>
    <w:rsid w:val="007B7DBB"/>
    <w:rsid w:val="007C3681"/>
    <w:rsid w:val="007D078C"/>
    <w:rsid w:val="007D2C34"/>
    <w:rsid w:val="007D3666"/>
    <w:rsid w:val="007D3FFA"/>
    <w:rsid w:val="007D5FD1"/>
    <w:rsid w:val="007E091A"/>
    <w:rsid w:val="007E1F58"/>
    <w:rsid w:val="007F756F"/>
    <w:rsid w:val="00802841"/>
    <w:rsid w:val="00802A3A"/>
    <w:rsid w:val="0080576B"/>
    <w:rsid w:val="00807A98"/>
    <w:rsid w:val="00811805"/>
    <w:rsid w:val="008142F0"/>
    <w:rsid w:val="00814F5A"/>
    <w:rsid w:val="00816101"/>
    <w:rsid w:val="008206C4"/>
    <w:rsid w:val="008211E8"/>
    <w:rsid w:val="0083689D"/>
    <w:rsid w:val="00840CCE"/>
    <w:rsid w:val="00843CC2"/>
    <w:rsid w:val="00845479"/>
    <w:rsid w:val="008470C4"/>
    <w:rsid w:val="008527B3"/>
    <w:rsid w:val="00856DF5"/>
    <w:rsid w:val="00863AB2"/>
    <w:rsid w:val="008677FB"/>
    <w:rsid w:val="00870BE8"/>
    <w:rsid w:val="00873797"/>
    <w:rsid w:val="0088323E"/>
    <w:rsid w:val="008852CD"/>
    <w:rsid w:val="008912A0"/>
    <w:rsid w:val="0089167C"/>
    <w:rsid w:val="00891E6F"/>
    <w:rsid w:val="0089764E"/>
    <w:rsid w:val="00897D67"/>
    <w:rsid w:val="008A18E5"/>
    <w:rsid w:val="008A2858"/>
    <w:rsid w:val="008A2A65"/>
    <w:rsid w:val="008A45DE"/>
    <w:rsid w:val="008A5791"/>
    <w:rsid w:val="008B0155"/>
    <w:rsid w:val="008B3569"/>
    <w:rsid w:val="008B4E0A"/>
    <w:rsid w:val="008B663B"/>
    <w:rsid w:val="008C28B6"/>
    <w:rsid w:val="008C4ED0"/>
    <w:rsid w:val="008C7C66"/>
    <w:rsid w:val="008D4BBE"/>
    <w:rsid w:val="008D4C3E"/>
    <w:rsid w:val="008D5069"/>
    <w:rsid w:val="008D6544"/>
    <w:rsid w:val="008D78FF"/>
    <w:rsid w:val="008E1E2A"/>
    <w:rsid w:val="008E2E6A"/>
    <w:rsid w:val="008E4D7C"/>
    <w:rsid w:val="008E7880"/>
    <w:rsid w:val="008E7A9D"/>
    <w:rsid w:val="008F0745"/>
    <w:rsid w:val="008F2089"/>
    <w:rsid w:val="008F23A2"/>
    <w:rsid w:val="008F44A6"/>
    <w:rsid w:val="00905DAB"/>
    <w:rsid w:val="00917A19"/>
    <w:rsid w:val="009217FD"/>
    <w:rsid w:val="00924280"/>
    <w:rsid w:val="009304CE"/>
    <w:rsid w:val="00930979"/>
    <w:rsid w:val="0093619B"/>
    <w:rsid w:val="009369D1"/>
    <w:rsid w:val="00936FDF"/>
    <w:rsid w:val="00937D1E"/>
    <w:rsid w:val="0094065E"/>
    <w:rsid w:val="00942B87"/>
    <w:rsid w:val="00952478"/>
    <w:rsid w:val="00955FCC"/>
    <w:rsid w:val="00961A97"/>
    <w:rsid w:val="009632CA"/>
    <w:rsid w:val="009656C5"/>
    <w:rsid w:val="009674E2"/>
    <w:rsid w:val="009679F4"/>
    <w:rsid w:val="009706A7"/>
    <w:rsid w:val="0097074D"/>
    <w:rsid w:val="009715C2"/>
    <w:rsid w:val="009736AA"/>
    <w:rsid w:val="00974ABE"/>
    <w:rsid w:val="009762F4"/>
    <w:rsid w:val="00981F9A"/>
    <w:rsid w:val="0098279C"/>
    <w:rsid w:val="00984EC4"/>
    <w:rsid w:val="00985C1E"/>
    <w:rsid w:val="00991ECA"/>
    <w:rsid w:val="0099320C"/>
    <w:rsid w:val="00997DC5"/>
    <w:rsid w:val="009A1BDB"/>
    <w:rsid w:val="009A2B90"/>
    <w:rsid w:val="009A5CAE"/>
    <w:rsid w:val="009A744D"/>
    <w:rsid w:val="009B32D0"/>
    <w:rsid w:val="009B351A"/>
    <w:rsid w:val="009B5AEB"/>
    <w:rsid w:val="009D0978"/>
    <w:rsid w:val="009D602A"/>
    <w:rsid w:val="009E196B"/>
    <w:rsid w:val="009E320B"/>
    <w:rsid w:val="009E71BB"/>
    <w:rsid w:val="009F00B7"/>
    <w:rsid w:val="009F0BB6"/>
    <w:rsid w:val="009F6863"/>
    <w:rsid w:val="00A0457F"/>
    <w:rsid w:val="00A04D27"/>
    <w:rsid w:val="00A061A7"/>
    <w:rsid w:val="00A10E90"/>
    <w:rsid w:val="00A1288A"/>
    <w:rsid w:val="00A20173"/>
    <w:rsid w:val="00A20799"/>
    <w:rsid w:val="00A351FC"/>
    <w:rsid w:val="00A37385"/>
    <w:rsid w:val="00A379D5"/>
    <w:rsid w:val="00A42609"/>
    <w:rsid w:val="00A453EE"/>
    <w:rsid w:val="00A46D4C"/>
    <w:rsid w:val="00A46EBE"/>
    <w:rsid w:val="00A54C72"/>
    <w:rsid w:val="00A57594"/>
    <w:rsid w:val="00A60833"/>
    <w:rsid w:val="00A643AB"/>
    <w:rsid w:val="00A66A40"/>
    <w:rsid w:val="00A719C5"/>
    <w:rsid w:val="00A73B12"/>
    <w:rsid w:val="00A75044"/>
    <w:rsid w:val="00A760E3"/>
    <w:rsid w:val="00A837A4"/>
    <w:rsid w:val="00A868F5"/>
    <w:rsid w:val="00A92DB8"/>
    <w:rsid w:val="00A94B0B"/>
    <w:rsid w:val="00AA5544"/>
    <w:rsid w:val="00AB0524"/>
    <w:rsid w:val="00AB2300"/>
    <w:rsid w:val="00AB2692"/>
    <w:rsid w:val="00AB5FC0"/>
    <w:rsid w:val="00AB7250"/>
    <w:rsid w:val="00AB7E5A"/>
    <w:rsid w:val="00AC2849"/>
    <w:rsid w:val="00AC76F2"/>
    <w:rsid w:val="00AD0F3C"/>
    <w:rsid w:val="00AD15F4"/>
    <w:rsid w:val="00AD45C9"/>
    <w:rsid w:val="00AD5243"/>
    <w:rsid w:val="00AE4FE7"/>
    <w:rsid w:val="00AF2BB9"/>
    <w:rsid w:val="00AF3940"/>
    <w:rsid w:val="00AF4845"/>
    <w:rsid w:val="00AF50DF"/>
    <w:rsid w:val="00AF73B7"/>
    <w:rsid w:val="00B0631E"/>
    <w:rsid w:val="00B07AAB"/>
    <w:rsid w:val="00B142D1"/>
    <w:rsid w:val="00B15E39"/>
    <w:rsid w:val="00B16B39"/>
    <w:rsid w:val="00B174E6"/>
    <w:rsid w:val="00B22AC4"/>
    <w:rsid w:val="00B23FD8"/>
    <w:rsid w:val="00B279F8"/>
    <w:rsid w:val="00B36B4C"/>
    <w:rsid w:val="00B403B4"/>
    <w:rsid w:val="00B41CBF"/>
    <w:rsid w:val="00B434E7"/>
    <w:rsid w:val="00B440E6"/>
    <w:rsid w:val="00B46613"/>
    <w:rsid w:val="00B560FB"/>
    <w:rsid w:val="00B56C11"/>
    <w:rsid w:val="00B61F06"/>
    <w:rsid w:val="00B6342C"/>
    <w:rsid w:val="00B6538A"/>
    <w:rsid w:val="00B822A1"/>
    <w:rsid w:val="00B82B12"/>
    <w:rsid w:val="00B83BE9"/>
    <w:rsid w:val="00B857AA"/>
    <w:rsid w:val="00B936A8"/>
    <w:rsid w:val="00B96C48"/>
    <w:rsid w:val="00BA6A92"/>
    <w:rsid w:val="00BB0851"/>
    <w:rsid w:val="00BB6609"/>
    <w:rsid w:val="00BD7EC2"/>
    <w:rsid w:val="00BE0D00"/>
    <w:rsid w:val="00BE195F"/>
    <w:rsid w:val="00BE645B"/>
    <w:rsid w:val="00BE6796"/>
    <w:rsid w:val="00BE707C"/>
    <w:rsid w:val="00BF34B1"/>
    <w:rsid w:val="00BF67F3"/>
    <w:rsid w:val="00BF6DD2"/>
    <w:rsid w:val="00C0407C"/>
    <w:rsid w:val="00C05625"/>
    <w:rsid w:val="00C06683"/>
    <w:rsid w:val="00C14520"/>
    <w:rsid w:val="00C24559"/>
    <w:rsid w:val="00C3104F"/>
    <w:rsid w:val="00C36A0F"/>
    <w:rsid w:val="00C36C32"/>
    <w:rsid w:val="00C4023F"/>
    <w:rsid w:val="00C409EE"/>
    <w:rsid w:val="00C41D80"/>
    <w:rsid w:val="00C44C37"/>
    <w:rsid w:val="00C717BA"/>
    <w:rsid w:val="00C72B9F"/>
    <w:rsid w:val="00C73505"/>
    <w:rsid w:val="00C75AFB"/>
    <w:rsid w:val="00C75EEC"/>
    <w:rsid w:val="00C77440"/>
    <w:rsid w:val="00C825B5"/>
    <w:rsid w:val="00C83870"/>
    <w:rsid w:val="00C85DEA"/>
    <w:rsid w:val="00C87F43"/>
    <w:rsid w:val="00C9141D"/>
    <w:rsid w:val="00C92A84"/>
    <w:rsid w:val="00C9366F"/>
    <w:rsid w:val="00C9495E"/>
    <w:rsid w:val="00C974F3"/>
    <w:rsid w:val="00C97ED2"/>
    <w:rsid w:val="00CA2FB5"/>
    <w:rsid w:val="00CB1C27"/>
    <w:rsid w:val="00CB55AD"/>
    <w:rsid w:val="00CD5CB1"/>
    <w:rsid w:val="00CE0311"/>
    <w:rsid w:val="00CE12DA"/>
    <w:rsid w:val="00CE1DCF"/>
    <w:rsid w:val="00CE3AD8"/>
    <w:rsid w:val="00CE6755"/>
    <w:rsid w:val="00CE738F"/>
    <w:rsid w:val="00CF6342"/>
    <w:rsid w:val="00D03135"/>
    <w:rsid w:val="00D03772"/>
    <w:rsid w:val="00D06197"/>
    <w:rsid w:val="00D07622"/>
    <w:rsid w:val="00D07DDE"/>
    <w:rsid w:val="00D12911"/>
    <w:rsid w:val="00D1718E"/>
    <w:rsid w:val="00D233A1"/>
    <w:rsid w:val="00D33734"/>
    <w:rsid w:val="00D35CC2"/>
    <w:rsid w:val="00D362F0"/>
    <w:rsid w:val="00D37004"/>
    <w:rsid w:val="00D40136"/>
    <w:rsid w:val="00D4239D"/>
    <w:rsid w:val="00D62F5E"/>
    <w:rsid w:val="00D63E0C"/>
    <w:rsid w:val="00D67611"/>
    <w:rsid w:val="00D67DA8"/>
    <w:rsid w:val="00D71FAA"/>
    <w:rsid w:val="00D761D5"/>
    <w:rsid w:val="00D76D07"/>
    <w:rsid w:val="00D816EE"/>
    <w:rsid w:val="00D81D3C"/>
    <w:rsid w:val="00D82D4A"/>
    <w:rsid w:val="00D82E8E"/>
    <w:rsid w:val="00D859CB"/>
    <w:rsid w:val="00D86BE8"/>
    <w:rsid w:val="00D901CD"/>
    <w:rsid w:val="00D9494C"/>
    <w:rsid w:val="00DA1CF8"/>
    <w:rsid w:val="00DA463A"/>
    <w:rsid w:val="00DA47A6"/>
    <w:rsid w:val="00DB788A"/>
    <w:rsid w:val="00DC4A06"/>
    <w:rsid w:val="00DC4DDF"/>
    <w:rsid w:val="00DD1350"/>
    <w:rsid w:val="00DD2DDB"/>
    <w:rsid w:val="00DD5488"/>
    <w:rsid w:val="00DD7E28"/>
    <w:rsid w:val="00DE0E2B"/>
    <w:rsid w:val="00DE1A2F"/>
    <w:rsid w:val="00DE3C20"/>
    <w:rsid w:val="00DE5315"/>
    <w:rsid w:val="00DF07B9"/>
    <w:rsid w:val="00DF1D62"/>
    <w:rsid w:val="00E028C8"/>
    <w:rsid w:val="00E061E6"/>
    <w:rsid w:val="00E1070A"/>
    <w:rsid w:val="00E107BF"/>
    <w:rsid w:val="00E10CEB"/>
    <w:rsid w:val="00E10FC0"/>
    <w:rsid w:val="00E1155A"/>
    <w:rsid w:val="00E11FF3"/>
    <w:rsid w:val="00E1479C"/>
    <w:rsid w:val="00E156E8"/>
    <w:rsid w:val="00E20DBB"/>
    <w:rsid w:val="00E22379"/>
    <w:rsid w:val="00E22CC5"/>
    <w:rsid w:val="00E24174"/>
    <w:rsid w:val="00E24F5C"/>
    <w:rsid w:val="00E25B05"/>
    <w:rsid w:val="00E30450"/>
    <w:rsid w:val="00E311C2"/>
    <w:rsid w:val="00E31DE4"/>
    <w:rsid w:val="00E324E4"/>
    <w:rsid w:val="00E36C7F"/>
    <w:rsid w:val="00E4111B"/>
    <w:rsid w:val="00E46A58"/>
    <w:rsid w:val="00E47D90"/>
    <w:rsid w:val="00E617B6"/>
    <w:rsid w:val="00E65E8A"/>
    <w:rsid w:val="00E6622E"/>
    <w:rsid w:val="00E70384"/>
    <w:rsid w:val="00E70ABB"/>
    <w:rsid w:val="00E72BDE"/>
    <w:rsid w:val="00E76571"/>
    <w:rsid w:val="00E805D3"/>
    <w:rsid w:val="00E81368"/>
    <w:rsid w:val="00E82760"/>
    <w:rsid w:val="00E82AF8"/>
    <w:rsid w:val="00E83635"/>
    <w:rsid w:val="00E857F4"/>
    <w:rsid w:val="00E86873"/>
    <w:rsid w:val="00E907BD"/>
    <w:rsid w:val="00E9353D"/>
    <w:rsid w:val="00E947C1"/>
    <w:rsid w:val="00E9490D"/>
    <w:rsid w:val="00E961A1"/>
    <w:rsid w:val="00EA2543"/>
    <w:rsid w:val="00EB2A1E"/>
    <w:rsid w:val="00EB317E"/>
    <w:rsid w:val="00EB6089"/>
    <w:rsid w:val="00EB797D"/>
    <w:rsid w:val="00EC2645"/>
    <w:rsid w:val="00EC529A"/>
    <w:rsid w:val="00ED4A4B"/>
    <w:rsid w:val="00ED51D7"/>
    <w:rsid w:val="00ED6E65"/>
    <w:rsid w:val="00EE552E"/>
    <w:rsid w:val="00EE61B4"/>
    <w:rsid w:val="00EF5EC3"/>
    <w:rsid w:val="00F02FE2"/>
    <w:rsid w:val="00F04061"/>
    <w:rsid w:val="00F0449C"/>
    <w:rsid w:val="00F05D9F"/>
    <w:rsid w:val="00F10BD2"/>
    <w:rsid w:val="00F1505F"/>
    <w:rsid w:val="00F16C46"/>
    <w:rsid w:val="00F1766E"/>
    <w:rsid w:val="00F2098B"/>
    <w:rsid w:val="00F20EF7"/>
    <w:rsid w:val="00F24319"/>
    <w:rsid w:val="00F24B0F"/>
    <w:rsid w:val="00F310AB"/>
    <w:rsid w:val="00F31131"/>
    <w:rsid w:val="00F327A4"/>
    <w:rsid w:val="00F363C9"/>
    <w:rsid w:val="00F366BD"/>
    <w:rsid w:val="00F43844"/>
    <w:rsid w:val="00F62976"/>
    <w:rsid w:val="00F63018"/>
    <w:rsid w:val="00F63A00"/>
    <w:rsid w:val="00F64751"/>
    <w:rsid w:val="00F75DC7"/>
    <w:rsid w:val="00F818C6"/>
    <w:rsid w:val="00F84DFC"/>
    <w:rsid w:val="00F84F2C"/>
    <w:rsid w:val="00F86C0A"/>
    <w:rsid w:val="00F875C9"/>
    <w:rsid w:val="00F87930"/>
    <w:rsid w:val="00F94AFF"/>
    <w:rsid w:val="00F9550C"/>
    <w:rsid w:val="00FA0CAE"/>
    <w:rsid w:val="00FA3F51"/>
    <w:rsid w:val="00FA6156"/>
    <w:rsid w:val="00FB3F99"/>
    <w:rsid w:val="00FB51EF"/>
    <w:rsid w:val="00FD35BF"/>
    <w:rsid w:val="00FD5B41"/>
    <w:rsid w:val="00FD7A34"/>
    <w:rsid w:val="00FE18EB"/>
    <w:rsid w:val="00FE3D81"/>
    <w:rsid w:val="00FE3EB2"/>
    <w:rsid w:val="00FE4489"/>
    <w:rsid w:val="00FE5017"/>
    <w:rsid w:val="00FE533E"/>
    <w:rsid w:val="00FE568C"/>
    <w:rsid w:val="00FF2462"/>
    <w:rsid w:val="00FF4358"/>
    <w:rsid w:val="00FF4E0B"/>
    <w:rsid w:val="03CD51B3"/>
    <w:rsid w:val="03CE6E6D"/>
    <w:rsid w:val="06F2197D"/>
    <w:rsid w:val="0AF4451A"/>
    <w:rsid w:val="0EDC2CD2"/>
    <w:rsid w:val="10515A27"/>
    <w:rsid w:val="22EF79E4"/>
    <w:rsid w:val="26521288"/>
    <w:rsid w:val="32741190"/>
    <w:rsid w:val="3D3B2FE9"/>
    <w:rsid w:val="3FFBDA51"/>
    <w:rsid w:val="405003EA"/>
    <w:rsid w:val="455D3E80"/>
    <w:rsid w:val="48DB69D3"/>
    <w:rsid w:val="491B6B6A"/>
    <w:rsid w:val="557F0CA1"/>
    <w:rsid w:val="563E0A60"/>
    <w:rsid w:val="56621059"/>
    <w:rsid w:val="5A7FE810"/>
    <w:rsid w:val="5A957396"/>
    <w:rsid w:val="5ACA0EAE"/>
    <w:rsid w:val="5EED801C"/>
    <w:rsid w:val="603C31BF"/>
    <w:rsid w:val="66DF3FCE"/>
    <w:rsid w:val="6F57229F"/>
    <w:rsid w:val="709A1C2F"/>
    <w:rsid w:val="775CD562"/>
    <w:rsid w:val="79ED6304"/>
    <w:rsid w:val="7E7F6040"/>
    <w:rsid w:val="7FDB7006"/>
  </w:rsids>
  <w:docVars>
    <w:docVar w:name="commondata" w:val="eyJoZGlkIjoiNWFhMWI5MDQwNDBiYWI1ZmY5ZTQxYWNiYzY0MTdmZDA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unhideWhenUsed="0" w:qFormat="1"/>
    <w:lsdException w:name="toc 2" w:semiHidden="0" w:uiPriority="39" w:unhideWhenUsed="0"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qFormat="1"/>
    <w:lsdException w:name="annotation text" w:semiHidden="0" w:uiPriority="0" w:qFormat="1"/>
    <w:lsdException w:name="header" w:semiHidden="0" w:qFormat="1"/>
    <w:lsdException w:name="footer" w:semiHidden="0" w:qFormat="1"/>
    <w:lsdException w:name="index heading"/>
    <w:lsdException w:name="caption" w:semiHidden="0" w:uiPriority="35" w:qFormat="1"/>
    <w:lsdException w:name="table of figures"/>
    <w:lsdException w:name="envelope address"/>
    <w:lsdException w:name="envelope return"/>
    <w:lsdException w:name="footnote reference" w:qFormat="1"/>
    <w:lsdException w:name="annotation reference" w:qFormat="1"/>
    <w:lsdException w:name="line number"/>
    <w:lsdException w:name="page number" w:semiHidden="0" w:uiPriority="0" w:unhideWhenUsed="0" w:qFormat="1"/>
    <w:lsdException w:name="endnote reference" w:qFormat="1"/>
    <w:lsdException w:name="endnote text"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qFormat="1"/>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lsdException w:name="Strong" w:semiHidden="0" w:uiPriority="22" w:unhideWhenUsed="0" w:qFormat="1"/>
    <w:lsdException w:name="Emphasis" w:semiHidden="0" w:uiPriority="20" w:unhideWhenUsed="0" w:qFormat="1"/>
    <w:lsdException w:name="Document Map"/>
    <w:lsdException w:name="Plain Text"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semiHidden="0" w:qFormat="1"/>
    <w:lsdException w:name="HTML Sample"/>
    <w:lsdException w:name="HTML Typewriter"/>
    <w:lsdException w:name="HTML Variable"/>
    <w:lsdException w:name="Normal Table"/>
    <w:lsdException w:name="annotation subject"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spacing w:line="360" w:lineRule="auto"/>
      <w:ind w:firstLine="200" w:firstLineChars="200"/>
      <w:jc w:val="both"/>
    </w:pPr>
    <w:rPr>
      <w:rFonts w:asciiTheme="minorHAnsi" w:eastAsiaTheme="minorEastAsia" w:hAnsiTheme="minorHAnsi" w:cstheme="minorBidi"/>
      <w:kern w:val="2"/>
      <w:sz w:val="24"/>
      <w:szCs w:val="22"/>
      <w:lang w:val="en-US" w:eastAsia="zh-CN" w:bidi="ar-SA"/>
    </w:rPr>
  </w:style>
  <w:style w:type="paragraph" w:styleId="Heading1">
    <w:name w:val="heading 1"/>
    <w:basedOn w:val="Normal"/>
    <w:next w:val="Normal"/>
    <w:link w:val="1Char"/>
    <w:autoRedefine/>
    <w:qFormat/>
    <w:pPr>
      <w:keepNext/>
      <w:keepLines/>
      <w:spacing w:after="100" w:afterLines="100"/>
      <w:jc w:val="center"/>
      <w:outlineLvl w:val="0"/>
    </w:pPr>
    <w:rPr>
      <w:rFonts w:ascii="Times New Roman" w:eastAsia="黑体" w:hAnsi="Times New Roman" w:cs="Times New Roman"/>
      <w:bCs/>
      <w:kern w:val="44"/>
      <w:sz w:val="30"/>
      <w:szCs w:val="44"/>
    </w:rPr>
  </w:style>
  <w:style w:type="paragraph" w:styleId="Heading2">
    <w:name w:val="heading 2"/>
    <w:basedOn w:val="Normal"/>
    <w:next w:val="Normal"/>
    <w:link w:val="2Char"/>
    <w:qFormat/>
    <w:pPr>
      <w:keepNext/>
      <w:keepLines/>
      <w:spacing w:before="50" w:beforeLines="50" w:after="50" w:afterLines="50"/>
      <w:ind w:firstLine="0" w:firstLineChars="0"/>
      <w:jc w:val="left"/>
      <w:outlineLvl w:val="1"/>
    </w:pPr>
    <w:rPr>
      <w:rFonts w:ascii="Times New Roman" w:eastAsia="宋体" w:hAnsi="Times New Roman" w:cs="Times New Roman"/>
      <w:bCs/>
      <w:szCs w:val="32"/>
    </w:rPr>
  </w:style>
  <w:style w:type="paragraph" w:styleId="Heading3">
    <w:name w:val="heading 3"/>
    <w:basedOn w:val="Normal"/>
    <w:next w:val="Normal"/>
    <w:link w:val="3Char"/>
    <w:qFormat/>
    <w:pPr>
      <w:keepNext/>
      <w:keepLines/>
      <w:outlineLvl w:val="2"/>
    </w:pPr>
    <w:rPr>
      <w:rFonts w:ascii="Times New Roman" w:eastAsia="宋体" w:hAnsi="Times New Roman" w:cs="Times New Roman"/>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Caption">
    <w:name w:val="caption"/>
    <w:basedOn w:val="Normal"/>
    <w:next w:val="Normal"/>
    <w:autoRedefine/>
    <w:uiPriority w:val="35"/>
    <w:unhideWhenUsed/>
    <w:qFormat/>
    <w:rPr>
      <w:rFonts w:eastAsia="黑体" w:asciiTheme="majorHAnsi" w:hAnsiTheme="majorHAnsi" w:cstheme="majorBidi"/>
      <w:sz w:val="20"/>
      <w:szCs w:val="20"/>
    </w:rPr>
  </w:style>
  <w:style w:type="paragraph" w:styleId="CommentText">
    <w:name w:val="annotation text"/>
    <w:basedOn w:val="Normal"/>
    <w:link w:val="Char3"/>
    <w:unhideWhenUsed/>
    <w:qFormat/>
    <w:pPr>
      <w:jc w:val="left"/>
    </w:pPr>
  </w:style>
  <w:style w:type="paragraph" w:styleId="TOC3">
    <w:name w:val="toc 3"/>
    <w:basedOn w:val="Normal"/>
    <w:next w:val="Normal"/>
    <w:uiPriority w:val="39"/>
    <w:qFormat/>
    <w:pPr>
      <w:tabs>
        <w:tab w:val="right" w:leader="dot" w:pos="8296"/>
      </w:tabs>
      <w:ind w:left="840" w:leftChars="400"/>
    </w:pPr>
    <w:rPr>
      <w:rFonts w:ascii="宋体" w:eastAsia="宋体" w:hAnsi="宋体" w:cs="Times New Roman"/>
      <w:szCs w:val="24"/>
    </w:rPr>
  </w:style>
  <w:style w:type="paragraph" w:styleId="PlainText">
    <w:name w:val="Plain Text"/>
    <w:basedOn w:val="Normal"/>
    <w:link w:val="Char5"/>
    <w:uiPriority w:val="99"/>
    <w:semiHidden/>
    <w:unhideWhenUsed/>
    <w:qFormat/>
    <w:rPr>
      <w:rFonts w:ascii="宋体" w:eastAsia="宋体" w:hAnsi="Courier New" w:cs="Times New Roman" w:hint="eastAsia"/>
      <w:szCs w:val="21"/>
    </w:rPr>
  </w:style>
  <w:style w:type="paragraph" w:styleId="Date">
    <w:name w:val="Date"/>
    <w:basedOn w:val="Normal"/>
    <w:next w:val="Normal"/>
    <w:link w:val="Char2"/>
    <w:uiPriority w:val="99"/>
    <w:semiHidden/>
    <w:unhideWhenUsed/>
    <w:qFormat/>
    <w:pPr>
      <w:ind w:left="100" w:leftChars="2500"/>
    </w:pPr>
  </w:style>
  <w:style w:type="paragraph" w:styleId="EndnoteText">
    <w:name w:val="endnote text"/>
    <w:basedOn w:val="Normal"/>
    <w:link w:val="Char7"/>
    <w:autoRedefine/>
    <w:uiPriority w:val="99"/>
    <w:semiHidden/>
    <w:unhideWhenUsed/>
    <w:qFormat/>
    <w:pPr>
      <w:snapToGrid w:val="0"/>
      <w:jc w:val="left"/>
    </w:p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autoRedefine/>
    <w:uiPriority w:val="39"/>
    <w:qFormat/>
    <w:rPr>
      <w:rFonts w:ascii="Times New Roman" w:eastAsia="黑体" w:hAnsi="Times New Roman" w:cs="Times New Roman"/>
      <w:szCs w:val="24"/>
    </w:rPr>
  </w:style>
  <w:style w:type="paragraph" w:styleId="FootnoteText">
    <w:name w:val="footnote text"/>
    <w:basedOn w:val="Normal"/>
    <w:link w:val="Char6"/>
    <w:uiPriority w:val="99"/>
    <w:semiHidden/>
    <w:unhideWhenUsed/>
    <w:qFormat/>
    <w:pPr>
      <w:snapToGrid w:val="0"/>
      <w:jc w:val="left"/>
    </w:pPr>
    <w:rPr>
      <w:sz w:val="18"/>
      <w:szCs w:val="18"/>
    </w:rPr>
  </w:style>
  <w:style w:type="paragraph" w:styleId="TOC2">
    <w:name w:val="toc 2"/>
    <w:basedOn w:val="Normal"/>
    <w:next w:val="Normal"/>
    <w:uiPriority w:val="39"/>
    <w:qFormat/>
    <w:pPr>
      <w:tabs>
        <w:tab w:val="right" w:leader="dot" w:pos="8296"/>
      </w:tabs>
      <w:ind w:left="420" w:leftChars="200"/>
    </w:pPr>
    <w:rPr>
      <w:rFonts w:ascii="黑体" w:eastAsia="宋体" w:hAnsi="黑体" w:cs="Times New Roman"/>
      <w:szCs w:val="24"/>
    </w:rPr>
  </w:style>
  <w:style w:type="paragraph" w:styleId="HTMLPreformatted">
    <w:name w:val="HTML Preformatted"/>
    <w:basedOn w:val="Normal"/>
    <w:link w:val="HTML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Cs w:val="24"/>
    </w:rPr>
  </w:style>
  <w:style w:type="paragraph" w:styleId="CommentSubject">
    <w:name w:val="annotation subject"/>
    <w:basedOn w:val="CommentText"/>
    <w:next w:val="CommentText"/>
    <w:link w:val="Char4"/>
    <w:autoRedefine/>
    <w:uiPriority w:val="99"/>
    <w:semiHidden/>
    <w:unhideWhenUsed/>
    <w:qFormat/>
    <w:rPr>
      <w:b/>
      <w:bCs/>
    </w:rPr>
  </w:style>
  <w:style w:type="table" w:styleId="TableGrid">
    <w:name w:val="Table Grid"/>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character" w:styleId="EndnoteReference">
    <w:name w:val="endnote reference"/>
    <w:basedOn w:val="DefaultParagraphFont"/>
    <w:autoRedefine/>
    <w:uiPriority w:val="99"/>
    <w:semiHidden/>
    <w:unhideWhenUsed/>
    <w:qFormat/>
    <w:rPr>
      <w:vertAlign w:val="superscript"/>
    </w:rPr>
  </w:style>
  <w:style w:type="character" w:styleId="PageNumber">
    <w:name w:val="page number"/>
    <w:basedOn w:val="DefaultParagraphFont"/>
    <w:qFormat/>
  </w:style>
  <w:style w:type="character" w:styleId="Hyperlink">
    <w:name w:val="Hyperlink"/>
    <w:autoRedefine/>
    <w:uiPriority w:val="99"/>
    <w:qFormat/>
    <w:rPr>
      <w:color w:val="0000FF"/>
      <w:u w:val="single"/>
    </w:rPr>
  </w:style>
  <w:style w:type="character" w:styleId="CommentReference">
    <w:name w:val="annotation reference"/>
    <w:basedOn w:val="DefaultParagraphFont"/>
    <w:autoRedefine/>
    <w:uiPriority w:val="99"/>
    <w:semiHidden/>
    <w:unhideWhenUsed/>
    <w:qFormat/>
    <w:rPr>
      <w:sz w:val="21"/>
      <w:szCs w:val="21"/>
    </w:rPr>
  </w:style>
  <w:style w:type="character" w:styleId="FootnoteReference">
    <w:name w:val="footnote reference"/>
    <w:basedOn w:val="DefaultParagraphFont"/>
    <w:autoRedefine/>
    <w:uiPriority w:val="99"/>
    <w:semiHidden/>
    <w:unhideWhenUsed/>
    <w:qFormat/>
    <w:rPr>
      <w:vertAlign w:val="superscript"/>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uiPriority w:val="99"/>
    <w:semiHidden/>
    <w:qFormat/>
    <w:rPr>
      <w:sz w:val="18"/>
      <w:szCs w:val="18"/>
    </w:rPr>
  </w:style>
  <w:style w:type="character" w:customStyle="1" w:styleId="1Char">
    <w:name w:val="标题 1 Char"/>
    <w:basedOn w:val="DefaultParagraphFont"/>
    <w:link w:val="Heading1"/>
    <w:qFormat/>
    <w:rPr>
      <w:rFonts w:ascii="Times New Roman" w:eastAsia="黑体" w:hAnsi="Times New Roman" w:cs="Times New Roman"/>
      <w:bCs/>
      <w:kern w:val="44"/>
      <w:sz w:val="30"/>
      <w:szCs w:val="44"/>
    </w:rPr>
  </w:style>
  <w:style w:type="character" w:customStyle="1" w:styleId="2Char">
    <w:name w:val="标题 2 Char"/>
    <w:basedOn w:val="DefaultParagraphFont"/>
    <w:link w:val="Heading2"/>
    <w:autoRedefine/>
    <w:qFormat/>
    <w:rPr>
      <w:rFonts w:ascii="Times New Roman" w:hAnsi="Times New Roman" w:cs="Times New Roman"/>
      <w:bCs/>
      <w:kern w:val="2"/>
      <w:sz w:val="24"/>
      <w:szCs w:val="32"/>
    </w:rPr>
  </w:style>
  <w:style w:type="character" w:customStyle="1" w:styleId="3Char">
    <w:name w:val="标题 3 Char"/>
    <w:basedOn w:val="DefaultParagraphFont"/>
    <w:link w:val="Heading3"/>
    <w:qFormat/>
    <w:rPr>
      <w:rFonts w:ascii="Times New Roman" w:hAnsi="Times New Roman" w:cs="Times New Roman"/>
      <w:bCs/>
      <w:kern w:val="2"/>
      <w:sz w:val="24"/>
      <w:szCs w:val="32"/>
    </w:rPr>
  </w:style>
  <w:style w:type="character" w:customStyle="1" w:styleId="Char2">
    <w:name w:val="日期 Char"/>
    <w:basedOn w:val="DefaultParagraphFont"/>
    <w:link w:val="Date"/>
    <w:autoRedefine/>
    <w:uiPriority w:val="99"/>
    <w:semiHidden/>
    <w:qFormat/>
  </w:style>
  <w:style w:type="character" w:customStyle="1" w:styleId="Char3">
    <w:name w:val="批注文字 Char"/>
    <w:basedOn w:val="DefaultParagraphFont"/>
    <w:link w:val="CommentText"/>
    <w:qFormat/>
    <w:rPr>
      <w:kern w:val="2"/>
      <w:sz w:val="21"/>
      <w:szCs w:val="22"/>
    </w:rPr>
  </w:style>
  <w:style w:type="character" w:customStyle="1" w:styleId="Char4">
    <w:name w:val="批注主题 Char"/>
    <w:basedOn w:val="Char3"/>
    <w:link w:val="CommentSubject"/>
    <w:autoRedefine/>
    <w:uiPriority w:val="99"/>
    <w:semiHidden/>
    <w:qFormat/>
    <w:rPr>
      <w:b/>
      <w:bCs/>
      <w:kern w:val="2"/>
      <w:sz w:val="21"/>
      <w:szCs w:val="22"/>
    </w:rPr>
  </w:style>
  <w:style w:type="character" w:customStyle="1" w:styleId="Char5">
    <w:name w:val="纯文本 Char"/>
    <w:basedOn w:val="DefaultParagraphFont"/>
    <w:link w:val="PlainText"/>
    <w:qFormat/>
    <w:rPr>
      <w:rFonts w:ascii="宋体" w:eastAsia="宋体" w:hAnsi="Courier New" w:cs="Courier New" w:hint="eastAsia"/>
      <w:szCs w:val="21"/>
    </w:rPr>
  </w:style>
  <w:style w:type="character" w:customStyle="1" w:styleId="HTMLChar">
    <w:name w:val="HTML 预设格式 Char"/>
    <w:basedOn w:val="DefaultParagraphFont"/>
    <w:link w:val="HTMLPreformatted"/>
    <w:autoRedefine/>
    <w:uiPriority w:val="99"/>
    <w:qFormat/>
    <w:rPr>
      <w:rFonts w:ascii="宋体" w:hAnsi="宋体" w:cs="Times New Roman"/>
      <w:sz w:val="24"/>
      <w:szCs w:val="24"/>
    </w:rPr>
  </w:style>
  <w:style w:type="character" w:customStyle="1" w:styleId="Char6">
    <w:name w:val="脚注文本 Char"/>
    <w:basedOn w:val="DefaultParagraphFont"/>
    <w:link w:val="FootnoteText"/>
    <w:uiPriority w:val="99"/>
    <w:semiHidden/>
    <w:qFormat/>
    <w:rPr>
      <w:rFonts w:asciiTheme="minorHAnsi" w:eastAsiaTheme="minorEastAsia" w:hAnsiTheme="minorHAnsi" w:cstheme="minorBidi"/>
      <w:kern w:val="2"/>
      <w:sz w:val="18"/>
      <w:szCs w:val="18"/>
    </w:rPr>
  </w:style>
  <w:style w:type="character" w:customStyle="1" w:styleId="Char7">
    <w:name w:val="尾注文本 Char"/>
    <w:basedOn w:val="DefaultParagraphFont"/>
    <w:link w:val="EndnoteText"/>
    <w:uiPriority w:val="99"/>
    <w:semiHidden/>
    <w:rPr>
      <w:rFonts w:asciiTheme="minorHAnsi" w:eastAsiaTheme="minorEastAsia" w:hAnsiTheme="minorHAnsi" w:cstheme="minorBidi"/>
      <w:kern w:val="2"/>
      <w:sz w:val="24"/>
      <w:szCs w:val="22"/>
    </w:rPr>
  </w:style>
  <w:style w:type="paragraph" w:customStyle="1" w:styleId="WPSOffice1">
    <w:name w:val="WPSOffice手动目录 1"/>
    <w:pPr>
      <w:ind w:leftChars="0"/>
    </w:pPr>
    <w:rPr>
      <w:sz w:val="20"/>
      <w:szCs w:val="20"/>
    </w:rPr>
  </w:style>
  <w:style w:type="paragraph" w:customStyle="1" w:styleId="WPSOffice2">
    <w:name w:val="WPSOffice手动目录 2"/>
    <w:pPr>
      <w:ind w:leftChars="20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endnotes" Target="endnotes.xml" /><Relationship Id="rId20" Type="http://schemas.openxmlformats.org/officeDocument/2006/relationships/hyperlink" Target="https://d.book118.com/245041040120011101" TargetMode="External" /><Relationship Id="rId21" Type="http://schemas.openxmlformats.org/officeDocument/2006/relationships/header" Target="header7.xml" /><Relationship Id="rId22" Type="http://schemas.openxmlformats.org/officeDocument/2006/relationships/footer" Target="footer7.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184F55-96A1-490F-A076-82EF641B3FC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3222</Words>
  <Characters>18366</Characters>
  <Application>Microsoft Office Word</Application>
  <DocSecurity>0</DocSecurity>
  <Lines>153</Lines>
  <Paragraphs>43</Paragraphs>
  <ScaleCrop>false</ScaleCrop>
  <Company>Ghost Win7 SP1 装机版  V2017/06/21</Company>
  <LinksUpToDate>false</LinksUpToDate>
  <CharactersWithSpaces>21545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ABEEL</cp:lastModifiedBy>
  <cp:revision>3</cp:revision>
  <cp:lastPrinted>2021-05-06T14:11:00Z</cp:lastPrinted>
  <dcterms:created xsi:type="dcterms:W3CDTF">2021-05-08T02:52:00Z</dcterms:created>
  <dcterms:modified xsi:type="dcterms:W3CDTF">2024-01-27T17:12:18Z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E6A9FFF3AD274143A77D18BB790AF17F_13</vt:lpwstr>
  </property>
  <property fmtid="{D5CDD505-2E9C-101B-9397-08002B2CF9AE}" pid="3" name="KSOProductBuildVer">
    <vt:lpwstr>2052-12.1.0.16120</vt:lpwstr>
  </property>
  <property fmtid="{D5CDD505-2E9C-101B-9397-08002B2CF9AE}" pid="4" name="KSORubyTemplateID" linkTarget="0">
    <vt:lpwstr>6</vt:lpwstr>
  </property>
</Properties>
</file>