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7"/>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0"/>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3"/>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4"/>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8"/>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19"/>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16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26" type="#_x0000_t75" style="width:61pt;height:16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59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26"/>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27"/>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28" type="#_x0000_t75" style="width:11pt;height:31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06800" cy="1710055"/>
            <wp:effectExtent l="0" t="0" r="12700" b="4445"/>
            <wp:docPr id="114" name="图片 114"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45"/>
                    <pic:cNvPicPr>
                      <a:picLocks noChangeAspect="1"/>
                    </pic:cNvPicPr>
                  </pic:nvPicPr>
                  <pic:blipFill>
                    <a:blip xmlns:r="http://schemas.openxmlformats.org/officeDocument/2006/relationships" r:embed="rId30"/>
                    <a:stretch>
                      <a:fillRect/>
                    </a:stretch>
                  </pic:blipFill>
                  <pic:spPr>
                    <a:xfrm>
                      <a:off x="0" y="0"/>
                      <a:ext cx="3606800" cy="1710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（1）图甲中金属盒在水中的深度为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（2）比较两图可知，液体内部压强随深度的增大而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（3）比较两图，小明认为：液体内部某处到容器底的距离越大，其压强越小。为研究此问题，小华在乙图中保持金属盒的位置不变，往容器内加水，当水面到容器底的距离L满足条件：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，对比甲图，可说明小明的观点是错误的。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31"/>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gh，由题干可知p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，又由ρ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所以烧杯底部受到液体的压强：p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，因为烧杯是直壁容器，烧杯底受到压力等于容器内的液体的重力，所以烧杯底部收到的压强</w:t>
      </w:r>
      <w:r>
        <w:rPr>
          <w:rFonts w:ascii="宋体" w:eastAsia="宋体" w:hAnsi="宋体" w:cs="宋体" w:hint="eastAsia"/>
          <w:color w:val="000000" w:themeColor="text1"/>
          <w:sz w:val="22"/>
          <w14:textFill>
            <w14:solidFill>
              <w14:schemeClr w14:val="tx1"/>
            </w14:solidFill>
          </w14:textFill>
        </w:rPr>
        <w:object>
          <v:shape id="_x0000_i1029" type="#_x0000_t75" style="width:54pt;height:31pt" o:ole="" coordsize="21600,21600" o:preferrelative="t" filled="f" stroked="f">
            <v:stroke joinstyle="miter"/>
            <v:imagedata r:id="rId32" o:title=""/>
            <o:lock v:ext="edit" aspectratio="f"/>
            <w10:anchorlock/>
          </v:shape>
          <o:OLEObject Type="Embed" ProgID="Equation.DSMT4" ShapeID="_x0000_i1029" DrawAspect="Content" ObjectID="_1468075729" r:id="rId33"/>
        </w:object>
      </w:r>
      <w:r>
        <w:rPr>
          <w:rFonts w:ascii="宋体" w:eastAsia="宋体" w:hAnsi="宋体" w:cs="宋体" w:hint="eastAsia"/>
          <w:color w:val="000000" w:themeColor="text1"/>
          <w:sz w:val="22"/>
          <w14:textFill>
            <w14:solidFill>
              <w14:schemeClr w14:val="tx1"/>
            </w14:solidFill>
          </w14:textFill>
        </w:rPr>
        <w:t>；所以甲图中烧杯收到的压强为：</w:t>
      </w:r>
      <w:r>
        <w:rPr>
          <w:rFonts w:ascii="宋体" w:eastAsia="宋体" w:hAnsi="宋体" w:cs="宋体" w:hint="eastAsia"/>
          <w:color w:val="000000" w:themeColor="text1"/>
          <w:sz w:val="22"/>
          <w14:textFill>
            <w14:solidFill>
              <w14:schemeClr w14:val="tx1"/>
            </w14:solidFill>
          </w14:textFill>
        </w:rPr>
        <w:object>
          <v:shape id="_x0000_i1030" type="#_x0000_t75" style="width:55pt;height:32pt" o:ole="" coordsize="21600,21600" o:preferrelative="t" filled="f" stroked="f">
            <v:stroke joinstyle="miter"/>
            <v:imagedata r:id="rId34" o:title=""/>
            <o:lock v:ext="edit" aspectratio="f"/>
            <w10:anchorlock/>
          </v:shape>
          <o:OLEObject Type="Embed" ProgID="Equation.DSMT4" ShapeID="_x0000_i1030" DrawAspect="Content" ObjectID="_1468075730" r:id="rId35"/>
        </w:object>
      </w:r>
      <w:r>
        <w:rPr>
          <w:rFonts w:ascii="宋体" w:eastAsia="宋体" w:hAnsi="宋体" w:cs="宋体" w:hint="eastAsia"/>
          <w:color w:val="000000" w:themeColor="text1"/>
          <w:sz w:val="22"/>
          <w14:textFill>
            <w14:solidFill>
              <w14:schemeClr w14:val="tx1"/>
            </w14:solidFill>
          </w14:textFill>
        </w:rPr>
        <w:t>，乙图中烧杯受到的压强为：</w:t>
      </w:r>
      <w:r>
        <w:rPr>
          <w:rFonts w:ascii="宋体" w:eastAsia="宋体" w:hAnsi="宋体" w:cs="宋体" w:hint="eastAsia"/>
          <w:color w:val="000000" w:themeColor="text1"/>
          <w:sz w:val="22"/>
          <w14:textFill>
            <w14:solidFill>
              <w14:schemeClr w14:val="tx1"/>
            </w14:solidFill>
          </w14:textFill>
        </w:rPr>
        <w:object>
          <v:shape id="_x0000_i1031" type="#_x0000_t75" style="width:55pt;height:31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，p底甲＜p底乙，可得：</w:t>
      </w:r>
      <w:r>
        <w:rPr>
          <w:rFonts w:ascii="宋体" w:eastAsia="宋体" w:hAnsi="宋体" w:cs="宋体" w:hint="eastAsia"/>
          <w:color w:val="000000" w:themeColor="text1"/>
          <w:sz w:val="22"/>
          <w14:textFill>
            <w14:solidFill>
              <w14:schemeClr w14:val="tx1"/>
            </w14:solidFill>
          </w14:textFill>
        </w:rPr>
        <w:object>
          <v:shape id="_x0000_i1032" type="#_x0000_t75" style="width:52pt;height:32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，则两烧杯内液体重G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（3）因为烧杯对桌面的压力为：F=G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，所以甲烧杯对桌面的压力为：F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，乙烧杯对桌面的压力为：F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，由G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，可得烧杯对桌面的压力F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，因为受力面积相同，由压强公式</w:t>
      </w:r>
      <w:r>
        <w:rPr>
          <w:rFonts w:ascii="宋体" w:eastAsia="宋体" w:hAnsi="宋体" w:cs="宋体" w:hint="eastAsia"/>
          <w:color w:val="000000" w:themeColor="text1"/>
          <w:sz w:val="22"/>
          <w14:textFill>
            <w14:solidFill>
              <w14:schemeClr w14:val="tx1"/>
            </w14:solidFill>
          </w14:textFill>
        </w:rPr>
        <w:object>
          <v:shape id="_x0000_i1033" type="#_x0000_t75" style="width:30pt;height:31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可得：烧杯甲、乙对桌面的压强p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10"/>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【分析】本题主要考查的是液体压强公式p=ρgh、压强定义式</w:t>
      </w:r>
      <w:r>
        <w:rPr>
          <w:rFonts w:ascii="宋体" w:eastAsia="宋体" w:hAnsi="宋体" w:cs="宋体" w:hint="eastAsia"/>
          <w:color w:val="000000" w:themeColor="text1"/>
          <w:sz w:val="22"/>
          <w14:textFill>
            <w14:solidFill>
              <w14:schemeClr w14:val="tx1"/>
            </w14:solidFill>
          </w14:textFill>
        </w:rPr>
        <w:object>
          <v:shape id="_x0000_i1034" type="#_x0000_t75" style="width:31pt;height:31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的应用，解决这类题的关键是公式的灵活应用和适用的条件，柱体容器液体对容器底部的压力等于液体的重力也是关键。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【解答】由题知，忽略绳重及摩擦，滑轮相同，提升的物体重相同，且 </w:t>
      </w:r>
      <w:r>
        <w:rPr>
          <w:rFonts w:ascii="宋体" w:eastAsia="宋体" w:hAnsi="宋体" w:cs="宋体" w:hint="eastAsia"/>
          <w:color w:val="000000" w:themeColor="text1"/>
          <w:sz w:val="22"/>
          <w14:textFill>
            <w14:solidFill>
              <w14:schemeClr w14:val="tx1"/>
            </w14:solidFill>
          </w14:textFill>
        </w:rPr>
        <w:object>
          <v:shape id="_x0000_i1035" type="#_x0000_t75" style="width:70pt;height:18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，则两滑轮组所用的拉力分别为： </w:t>
      </w:r>
      <w:r>
        <w:rPr>
          <w:rFonts w:ascii="宋体" w:eastAsia="宋体" w:hAnsi="宋体" w:cs="宋体" w:hint="eastAsia"/>
          <w:color w:val="000000" w:themeColor="text1"/>
          <w:sz w:val="22"/>
          <w14:textFill>
            <w14:solidFill>
              <w14:schemeClr w14:val="tx1"/>
            </w14:solidFill>
          </w14:textFill>
        </w:rPr>
        <w:object>
          <v:shape id="_x0000_i1036" type="#_x0000_t75" style="width:80pt;height:31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7" type="#_x0000_t75" style="width:80pt;height:31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则拉力之比为 </w:t>
      </w:r>
      <w:r>
        <w:rPr>
          <w:rFonts w:ascii="宋体" w:eastAsia="宋体" w:hAnsi="宋体" w:cs="宋体" w:hint="eastAsia"/>
          <w:color w:val="000000" w:themeColor="text1"/>
          <w:sz w:val="22"/>
          <w14:textFill>
            <w14:solidFill>
              <w14:schemeClr w14:val="tx1"/>
            </w14:solidFill>
          </w14:textFill>
        </w:rPr>
        <w:object>
          <v:shape id="_x0000_i1038" type="#_x0000_t75" style="width:182pt;height:31pt" o:ole="" coordsize="21600,21600" o:preferrelative="t" filled="f" stroked="f">
            <v:stroke joinstyle="miter"/>
            <v:imagedata r:id="rId50" o:title=""/>
            <o:lock v:ext="edit" aspectratio="f"/>
            <w10:anchorlock/>
          </v:shape>
          <o:OLEObject Type="Embed" ProgID="Equation.DSMT4" ShapeID="_x0000_i1038" DrawAspect="Content" ObjectID="_1468075738" r:id="rId5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由题知，在相同时间内分别将同一物体匀速提高到相同高度，由 </w:t>
      </w:r>
      <w:r>
        <w:rPr>
          <w:rFonts w:ascii="宋体" w:eastAsia="宋体" w:hAnsi="宋体" w:cs="宋体" w:hint="eastAsia"/>
          <w:color w:val="000000" w:themeColor="text1"/>
          <w:sz w:val="22"/>
          <w14:textFill>
            <w14:solidFill>
              <w14:schemeClr w14:val="tx1"/>
            </w14:solidFill>
          </w14:textFill>
        </w:rPr>
        <w:object>
          <v:shape id="_x0000_i1039" type="#_x0000_t75" style="width:29pt;height:31pt" o:ole="" coordsize="21600,21600" o:preferrelative="t" filled="f" stroked="f">
            <v:stroke joinstyle="miter"/>
            <v:imagedata r:id="rId52" o:title=""/>
            <o:lock v:ext="edit" aspectratio="f"/>
            <w10:anchorlock/>
          </v:shape>
          <o:OLEObject Type="Embed" ProgID="Equation.DSMT4" ShapeID="_x0000_i1039" DrawAspect="Content" ObjectID="_1468075739" r:id="rId53"/>
        </w:object>
      </w:r>
      <w:r>
        <w:rPr>
          <w:rFonts w:ascii="宋体" w:eastAsia="宋体" w:hAnsi="宋体" w:cs="宋体" w:hint="eastAsia"/>
          <w:color w:val="000000" w:themeColor="text1"/>
          <w:sz w:val="22"/>
          <w14:textFill>
            <w14:solidFill>
              <w14:schemeClr w14:val="tx1"/>
            </w14:solidFill>
          </w14:textFill>
        </w:rPr>
        <w:t xml:space="preserve"> 可知物体升高的速度相同，拉力端移动的速度分别为： </w:t>
      </w:r>
      <w:r>
        <w:rPr>
          <w:rFonts w:ascii="宋体" w:eastAsia="宋体" w:hAnsi="宋体" w:cs="宋体" w:hint="eastAsia"/>
          <w:color w:val="000000" w:themeColor="text1"/>
          <w:sz w:val="22"/>
          <w14:textFill>
            <w14:solidFill>
              <w14:schemeClr w14:val="tx1"/>
            </w14:solidFill>
          </w14:textFill>
        </w:rPr>
        <w:object>
          <v:shape id="_x0000_i1040" type="#_x0000_t75" style="width:93pt;height:19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41" type="#_x0000_t75" style="width:51pt;height:18pt" o:ole="" coordsize="21600,21600" o:preferrelative="t" filled="f" stroked="f">
            <v:stroke joinstyle="miter"/>
            <v:imagedata r:id="rId56" o:title=""/>
            <o:lock v:ext="edit" aspectratio="f"/>
            <w10:anchorlock/>
          </v:shape>
          <o:OLEObject Type="Embed" ProgID="Equation.DSMT4" ShapeID="_x0000_i1041" DrawAspect="Content" ObjectID="_1468075741" r:id="rId5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因为 </w:t>
      </w:r>
      <w:r>
        <w:rPr>
          <w:rFonts w:ascii="宋体" w:eastAsia="宋体" w:hAnsi="宋体" w:cs="宋体" w:hint="eastAsia"/>
          <w:color w:val="000000" w:themeColor="text1"/>
          <w:sz w:val="22"/>
          <w14:textFill>
            <w14:solidFill>
              <w14:schemeClr w14:val="tx1"/>
            </w14:solidFill>
          </w14:textFill>
        </w:rPr>
        <w:object>
          <v:shape id="_x0000_i1042" type="#_x0000_t75" style="width:88pt;height:31pt" o:ole="" coordsize="21600,21600" o:preferrelative="t" filled="f" stroked="f">
            <v:stroke joinstyle="miter"/>
            <v:imagedata r:id="rId58" o:title=""/>
            <o:lock v:ext="edit" aspectratio="f"/>
            <w10:anchorlock/>
          </v:shape>
          <o:OLEObject Type="Embed" ProgID="Equation.DSMT4" ShapeID="_x0000_i1042" DrawAspect="Content" ObjectID="_1468075742" r:id="rId5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所以拉力F的功率之比为; </w:t>
      </w:r>
      <m:oMath>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P</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1</m:t>
            </m:r>
          </m:sub>
        </m:sSub>
        <m:r>
          <w:rPr>
            <w:rFonts w:ascii="Cambria Math" w:eastAsia="宋体" w:hAnsi="Cambria Math" w:cs="宋体" w:hint="eastAsia"/>
            <w:color w:val="000000" w:themeColor="text1"/>
            <w:sz w:val="22"/>
            <w14:textFill>
              <w14:solidFill>
                <w14:schemeClr w14:val="tx1"/>
              </w14:solidFill>
            </w14:textFill>
          </w:rPr>
          <m:t>:</m:t>
        </m: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P</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2</m:t>
            </m:r>
          </m:sub>
        </m:sSub>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sub>
            </m:sSub>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v</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sub>
            </m:sSub>
          </m:num>
          <m:den>
            <m:ctrlPr>
              <w:rPr>
                <w:rFonts w:ascii="Cambria Math" w:eastAsia="宋体" w:hAnsi="Cambria Math" w:cs="宋体" w:hint="eastAsia"/>
                <w:color w:val="000000" w:themeColor="text1"/>
                <w:sz w:val="22"/>
                <w14:textFill>
                  <w14:solidFill>
                    <w14:schemeClr w14:val="tx1"/>
                  </w14:solidFill>
                </w14:textFill>
              </w:rPr>
            </m:ctrlP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m:t>
                </m:r>
              </m:sub>
            </m:sSub>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v</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m:t>
                </m:r>
              </m:sub>
            </m:sSub>
          </m:den>
        </m:f>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3×2</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2×3</m:t>
            </m:r>
          </m:den>
        </m:f>
        <m:r>
          <w:rPr>
            <w:rFonts w:ascii="Cambria Math" w:eastAsia="宋体" w:hAnsi="Cambria Math" w:cs="宋体" w:hint="eastAsia"/>
            <w:color w:val="000000" w:themeColor="text1"/>
            <w:sz w:val="22"/>
            <w14:textFill>
              <w14:solidFill>
                <w14:schemeClr w14:val="tx1"/>
              </w14:solidFill>
            </w14:textFill>
          </w:rPr>
          <m:t>=1:1</m:t>
        </m:r>
      </m:oMath>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两滑轮组将物体提升到相同的高度，由W=Gh可知所做的W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相同，忽略绳重及摩擦，所做的额外功W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 xml:space="preserve">h，可知额外功相同，因为 </w:t>
      </w:r>
      <w:r>
        <w:rPr>
          <w:rFonts w:ascii="宋体" w:eastAsia="宋体" w:hAnsi="宋体" w:cs="宋体" w:hint="eastAsia"/>
          <w:color w:val="000000" w:themeColor="text1"/>
          <w:sz w:val="22"/>
          <w14:textFill>
            <w14:solidFill>
              <w14:schemeClr w14:val="tx1"/>
            </w14:solidFill>
          </w14:textFill>
        </w:rPr>
        <w:object>
          <v:shape id="_x0000_i1043" type="#_x0000_t75" style="width:74pt;height:19pt" o:ole="" coordsize="21600,21600" o:preferrelative="t" filled="f" stroked="f">
            <v:stroke joinstyle="miter"/>
            <v:imagedata r:id="rId60" o:title=""/>
            <o:lock v:ext="edit" aspectratio="f"/>
            <w10:anchorlock/>
          </v:shape>
          <o:OLEObject Type="Embed" ProgID="Equation.DSMT4" ShapeID="_x0000_i1043" DrawAspect="Content" ObjectID="_1468075743" r:id="rId6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所以总功相同，由 </w:t>
      </w:r>
      <w:r>
        <w:rPr>
          <w:rFonts w:ascii="宋体" w:eastAsia="宋体" w:hAnsi="宋体" w:cs="宋体" w:hint="eastAsia"/>
          <w:color w:val="000000" w:themeColor="text1"/>
          <w:sz w:val="22"/>
          <w14:textFill>
            <w14:solidFill>
              <w14:schemeClr w14:val="tx1"/>
            </w14:solidFill>
          </w14:textFill>
        </w:rPr>
        <w:object>
          <v:shape id="_x0000_i1044" type="#_x0000_t75" style="width:41pt;height:36pt" o:ole="" coordsize="21600,21600" o:preferrelative="t" filled="f" stroked="f">
            <v:stroke joinstyle="miter"/>
            <v:imagedata r:id="rId62" o:title=""/>
            <o:lock v:ext="edit" aspectratio="f"/>
            <w10:anchorlock/>
          </v:shape>
          <o:OLEObject Type="Embed" ProgID="Equation.DSMT4" ShapeID="_x0000_i1044" DrawAspect="Content" ObjectID="_1468075744" r:id="rId63"/>
        </w:object>
      </w:r>
      <w:r>
        <w:rPr>
          <w:rFonts w:ascii="宋体" w:eastAsia="宋体" w:hAnsi="宋体" w:cs="宋体" w:hint="eastAsia"/>
          <w:color w:val="000000" w:themeColor="text1"/>
          <w:sz w:val="22"/>
          <w14:textFill>
            <w14:solidFill>
              <w14:schemeClr w14:val="tx1"/>
            </w14:solidFill>
          </w14:textFill>
        </w:rPr>
        <w:t xml:space="preserve"> ，可知亮滑轮组机械效率相同，即 </w:t>
      </w:r>
      <w:r>
        <w:rPr>
          <w:rFonts w:ascii="宋体" w:eastAsia="宋体" w:hAnsi="宋体" w:cs="宋体" w:hint="eastAsia"/>
          <w:color w:val="000000" w:themeColor="text1"/>
          <w:sz w:val="22"/>
          <w14:textFill>
            <w14:solidFill>
              <w14:schemeClr w14:val="tx1"/>
            </w14:solidFill>
          </w14:textFill>
        </w:rPr>
        <w:object>
          <v:shape id="_x0000_i1045" type="#_x0000_t75" style="width:56pt;height:18pt" o:ole="" coordsize="21600,21600" o:preferrelative="t" filled="f" stroked="f">
            <v:stroke joinstyle="miter"/>
            <v:imagedata r:id="rId64" o:title=""/>
            <o:lock v:ext="edit" aspectratio="f"/>
            <w10:anchorlock/>
          </v:shape>
          <o:OLEObject Type="Embed" ProgID="Equation.DSMT4" ShapeID="_x0000_i1045" DrawAspect="Content" ObjectID="_1468075745" r:id="rId6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外力做功，利用外力大小乘以位移在力的方向上移动的距离即可，即W=Fs；利用外力做的功除以做功需要的时间即为功率；用滑轮组提升物体，拉力作的功为总功，克服重力做的功为有用功，两者相除即为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https://d.book118.com/245243230224011101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57A63"/>
    <w:rsid w:val="64357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wmf" /><Relationship Id="rId33" Type="http://schemas.openxmlformats.org/officeDocument/2006/relationships/oleObject" Target="embeddings/oleObject5.bin" /><Relationship Id="rId34" Type="http://schemas.openxmlformats.org/officeDocument/2006/relationships/image" Target="media/image26.wmf" /><Relationship Id="rId35" Type="http://schemas.openxmlformats.org/officeDocument/2006/relationships/oleObject" Target="embeddings/oleObject6.bin"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image" Target="media/image2.png" /><Relationship Id="rId50" Type="http://schemas.openxmlformats.org/officeDocument/2006/relationships/image" Target="media/image34.wmf" /><Relationship Id="rId51" Type="http://schemas.openxmlformats.org/officeDocument/2006/relationships/oleObject" Target="embeddings/oleObject14.bin" /><Relationship Id="rId52" Type="http://schemas.openxmlformats.org/officeDocument/2006/relationships/image" Target="media/image35.wmf" /><Relationship Id="rId53" Type="http://schemas.openxmlformats.org/officeDocument/2006/relationships/oleObject" Target="embeddings/oleObject15.bin"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image" Target="media/image37.wmf" /><Relationship Id="rId57" Type="http://schemas.openxmlformats.org/officeDocument/2006/relationships/oleObject" Target="embeddings/oleObject17.bin" /><Relationship Id="rId58" Type="http://schemas.openxmlformats.org/officeDocument/2006/relationships/image" Target="media/image38.wmf" /><Relationship Id="rId59" Type="http://schemas.openxmlformats.org/officeDocument/2006/relationships/oleObject" Target="embeddings/oleObject18.bin" /><Relationship Id="rId6" Type="http://schemas.openxmlformats.org/officeDocument/2006/relationships/image" Target="media/image3.png" /><Relationship Id="rId60" Type="http://schemas.openxmlformats.org/officeDocument/2006/relationships/image" Target="media/image39.wmf" /><Relationship Id="rId61" Type="http://schemas.openxmlformats.org/officeDocument/2006/relationships/oleObject" Target="embeddings/oleObject19.bin" /><Relationship Id="rId62" Type="http://schemas.openxmlformats.org/officeDocument/2006/relationships/image" Target="media/image40.wmf" /><Relationship Id="rId63" Type="http://schemas.openxmlformats.org/officeDocument/2006/relationships/oleObject" Target="embeddings/oleObject20.bin" /><Relationship Id="rId64" Type="http://schemas.openxmlformats.org/officeDocument/2006/relationships/image" Target="media/image41.wmf" /><Relationship Id="rId65" Type="http://schemas.openxmlformats.org/officeDocument/2006/relationships/oleObject" Target="embeddings/oleObject21.bin" /><Relationship Id="rId66" Type="http://schemas.openxmlformats.org/officeDocument/2006/relationships/hyperlink" Target="https://d.book118.com/245243230224011101"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E3208120157A4FB18604894089EC5D6D_11</vt:lpwstr>
  </property>
  <property fmtid="{D5CDD505-2E9C-101B-9397-08002B2CF9AE}" pid="3" name="KSOProductBuildVer">
    <vt:lpwstr>2052-11.1.0.14309</vt:lpwstr>
  </property>
</Properties>
</file>